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DD8AF3">
      <w:pPr>
        <w:pStyle w:val="32"/>
        <w:numPr>
          <w:ilvl w:val="0"/>
          <w:numId w:val="0"/>
        </w:numPr>
        <w:jc w:val="both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MIND 改进论文</w:t>
      </w:r>
    </w:p>
    <w:p w14:paraId="0E02A7B2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融合的论文来自港科大同一团队，与MIND同源，专注解决“风险感知”的问题</w:t>
      </w:r>
    </w:p>
    <w:p w14:paraId="2E43CA4B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改进：风险感知（risk）</w:t>
      </w:r>
    </w:p>
    <w:p w14:paraId="07BE2C81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改进价值：MIND是目前在自动驾驶领域对于已知环境规划的SOTA，也就是说，只要环境信息都已知，那么MIND就能够规划出一条最好的路径顺利通过。但是，MIND最大的缺陷就是对于未知的信息，他是不会考虑的。例如，当前方路况出现墙体或车辆遮挡，MIND会默认没有车辆或行人而全速通过，这就导致如果遇到鬼探头的极端场景，MIND必死无疑。因此，我们只需要在它的缺陷上深度改进，为MIND加上风险感知能力就可补齐短板，超越SOTA。</w:t>
      </w:r>
    </w:p>
    <w:p w14:paraId="1228EC9A">
      <w:pPr>
        <w:numPr>
          <w:ilvl w:val="0"/>
          <w:numId w:val="0"/>
        </w:numP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33BAA7B9">
      <w:pPr>
        <w:pStyle w:val="4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来源论文</w:t>
      </w:r>
    </w:p>
    <w:p w14:paraId="299504B5">
      <w:pP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MARC: Multipolicy and Risk-aware Contingency Planning for Autonomous Driving（2023年顶会）</w:t>
      </w:r>
    </w:p>
    <w:p w14:paraId="352BDB7D">
      <w:pPr>
        <w:pStyle w:val="4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核心思想</w:t>
      </w:r>
    </w:p>
    <w:p w14:paraId="4024F20E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MARC提出了一个非常复杂的双层优化公式用于风险感知，但是对于车载芯片，这样的计算量是极其巨大的。因此，提取它的核心思想，设计了“双层走廊”模型来解决两者的兼容问题。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一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内层走廊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车身为宽，延行驶方向延伸30m，划定安全走廊，如果在此区域内识别出未知区域或遮挡，则通过算法计算出可能出现鬼探头等极端场景的区域，设为“语义风险区”，在此区域内，车辆的cost会显著增加，引导车辆避开危险，降低风险。</w:t>
      </w:r>
    </w:p>
    <w:p w14:paraId="6AA57AFD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6E4A5CD7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</w:p>
    <w:p w14:paraId="09F25D26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效果如图：</w:t>
      </w:r>
    </w:p>
    <w:p w14:paraId="01620E33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drawing>
          <wp:inline distT="0" distB="0" distL="114300" distR="114300">
            <wp:extent cx="5486400" cy="548640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8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C644A">
      <w:pPr>
        <w:keepNext w:val="0"/>
        <w:keepLines w:val="0"/>
        <w:widowControl/>
        <w:numPr>
          <w:ilvl w:val="0"/>
          <w:numId w:val="7"/>
        </w:numPr>
        <w:suppressLineNumbers w:val="0"/>
        <w:jc w:val="left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外层走廊</w:t>
      </w:r>
    </w:p>
    <w:p w14:paraId="74332611">
      <w:pPr>
        <w:keepNext w:val="0"/>
        <w:keepLines w:val="0"/>
        <w:widowControl/>
        <w:numPr>
          <w:ilvl w:val="0"/>
          <w:numId w:val="0"/>
        </w:numPr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以车身左右延长5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m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为宽，延行驶方向延伸30m，划定安全走廊，如果在此区域内识别出未知区域或遮挡，则通过算法计算出可能出现鬼探头等极端场景的区域。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</w:p>
    <w:p w14:paraId="1444AE95">
      <w:pPr>
        <w:pStyle w:val="30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第1步</w:t>
      </w:r>
    </w:p>
    <w:p w14:paraId="0EF33B55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小车离盲区还很远。Cost 函数开始工作</w:t>
      </w:r>
    </w:p>
    <w:p w14:paraId="010BC9EE">
      <w:pPr>
        <w:pStyle w:val="30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算法发现右边有盲区，于是把右侧车道的 Cost 提高。</w:t>
      </w:r>
    </w:p>
    <w:p w14:paraId="659B7787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车子依然保持 40km/h，但方向盘微微向左打了一点，，远离那个危险的已知与未知的边界。</w:t>
      </w:r>
    </w:p>
    <w:p w14:paraId="3E585677">
      <w:pPr>
        <w:pStyle w:val="30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第2步</w:t>
      </w:r>
    </w:p>
    <w:p w14:paraId="345263F8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小车进入了 25 米范围。逆向物理计算发现如果人类以极限内的速度从未知边界冲出，可能与当前速度的小车撞上。</w:t>
      </w:r>
    </w:p>
    <w:p w14:paraId="4D82349D">
      <w:pPr>
        <w:pStyle w:val="30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此时激活幻影，即系统植入一个虚拟的行人从墙角冲出来（让MIND以为有可能撞上）</w:t>
      </w:r>
    </w:p>
    <w:p w14:paraId="04C4F52D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车子开始松油门，速度降到 20km/h。</w:t>
      </w:r>
    </w:p>
    <w:p w14:paraId="3D85F9E6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此时风险场依然在工作，继续挤压小车的横向位置。</w:t>
      </w:r>
    </w:p>
    <w:p w14:paraId="0931D353">
      <w:pPr>
        <w:pStyle w:val="30"/>
        <w:keepNext w:val="0"/>
        <w:keepLines w:val="0"/>
        <w:widowControl/>
        <w:suppressLineNumbers w:val="0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第3步</w:t>
      </w:r>
    </w:p>
    <w:p w14:paraId="412AB27B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到了 近处（近到即便以人类的极限速度从边界冲出来也不会与小车相撞），或者发现遮挡消失，幻影自动消失</w:t>
      </w:r>
    </w:p>
    <w:p w14:paraId="10B273BA">
      <w:pPr>
        <w:pStyle w:val="30"/>
        <w:keepNext w:val="0"/>
        <w:keepLines w:val="0"/>
        <w:widowControl/>
        <w:suppressLineNumbers w:val="0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风险场依然在，防止立刻向右猛打方向盘，直到完全通过路口。</w:t>
      </w:r>
    </w:p>
    <w:p w14:paraId="7CC2D3FC">
      <w:pPr>
        <w:pStyle w:val="30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效果：一脚油门加速离开（符合人类司机的处理方式）。</w:t>
      </w:r>
    </w:p>
    <w:p w14:paraId="4FD4F01A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6019F2C">
      <w:pPr>
        <w:keepNext w:val="0"/>
        <w:keepLines w:val="0"/>
        <w:widowControl/>
        <w:suppressLineNumbers w:val="0"/>
        <w:jc w:val="left"/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学术工程价值：相比于原SOTA，改进后的算法在极端未知场景下碰撞概率大大降低，同时兼顾了工程落地的难度，需对论文进行包装，将概念替换为专业名词，如《PA-LOI: Physics-Aware Latent Obstacle Injection for Safety-Critical End-to-End Planning in Occluded Scenarios (PA-LOI：遮挡场景下端到端规划的物理感知潜在障碍物注入方法)》，再加上实验对比原SOTA，展示方法的巨大提升，可以投稿3月1日截稿的ITSC</w:t>
      </w:r>
      <w:r>
        <w:rPr>
          <w:rFonts w:hint="default" w:ascii="宋体" w:hAnsi="宋体" w:eastAsia="宋体" w:cs="宋体"/>
          <w:kern w:val="0"/>
          <w:sz w:val="24"/>
          <w:szCs w:val="24"/>
          <w:lang w:val="en-US" w:eastAsia="zh-CN" w:bidi="ar"/>
        </w:rPr>
        <w:t>.</w:t>
      </w:r>
    </w:p>
    <w:p w14:paraId="1B6DECA1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1548B421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3B4ED0E5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1BE4C55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具体实现：</w:t>
      </w:r>
    </w:p>
    <w:p w14:paraId="2D4C89C9">
      <w:pPr>
        <w:numPr>
          <w:ilvl w:val="0"/>
          <w:numId w:val="8"/>
        </w:num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内层和外层长度的解释</w:t>
      </w:r>
    </w:p>
    <w:p w14:paraId="28318C2D">
      <w:pPr>
        <w:numPr>
          <w:numId w:val="0"/>
        </w:numPr>
        <w:rPr>
          <w:rFonts w:hint="default" w:asciiTheme="majorEastAsia" w:hAnsiTheme="majorEastAsia" w:eastAsiaTheme="majorEastAsia" w:cstheme="majorEastAsia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ajorEastAsia" w:hAnsiTheme="majorEastAsia" w:eastAsiaTheme="majorEastAsia" w:cstheme="majorEastAsia"/>
          <w:color w:val="auto"/>
          <w:spacing w:val="0"/>
          <w:kern w:val="0"/>
          <w:sz w:val="22"/>
          <w:szCs w:val="22"/>
          <w:lang w:val="en-US" w:eastAsia="zh-CN" w:bidi="ar-SA"/>
        </w:rPr>
        <w:t>内层：</w:t>
      </w:r>
    </w:p>
    <w:p w14:paraId="2D5874E8">
      <w:pPr>
        <w:keepNext w:val="0"/>
        <w:keepLines w:val="0"/>
        <w:widowControl/>
        <w:suppressLineNumbers w:val="0"/>
        <w:jc w:val="left"/>
        <w:rPr>
          <w:rFonts w:hint="default" w:ascii="sans-serif" w:hAnsi="sans-serif" w:eastAsia="sans-serif" w:cs="sans-serif"/>
          <w:i/>
          <w:iCs/>
          <w:kern w:val="0"/>
          <w:sz w:val="24"/>
          <w:szCs w:val="24"/>
          <w:lang w:val="en-US" w:eastAsia="zh-CN" w:bidi="ar"/>
        </w:rPr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"The inner safety boundary  is rigorously defined by the 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system's uncertainty envelope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. It encapsulates the vehicle's lateral control tracking error and the perception noise covariance, ensuring a robust collision-free margin under worst-case dynamics." </w:t>
      </w:r>
      <w:r>
        <w:rPr>
          <w:rFonts w:hint="default" w:ascii="sans-serif" w:hAnsi="sans-serif" w:eastAsia="sans-serif" w:cs="sans-serif"/>
          <w:i/>
          <w:iCs/>
          <w:kern w:val="0"/>
          <w:sz w:val="24"/>
          <w:szCs w:val="24"/>
          <w:lang w:val="en-US" w:eastAsia="zh-CN" w:bidi="ar"/>
        </w:rPr>
        <w:t>(内层安全边界由</w:t>
      </w:r>
      <w:r>
        <w:rPr>
          <w:rFonts w:hint="default" w:ascii="sans-serif" w:hAnsi="sans-serif" w:eastAsia="sans-serif" w:cs="sans-serif"/>
          <w:b/>
          <w:bCs/>
          <w:i/>
          <w:iCs/>
          <w:kern w:val="0"/>
          <w:sz w:val="24"/>
          <w:szCs w:val="24"/>
          <w:lang w:val="en-US" w:eastAsia="zh-CN" w:bidi="ar"/>
        </w:rPr>
        <w:t>系统的误差包络</w:t>
      </w:r>
      <w:r>
        <w:rPr>
          <w:rFonts w:hint="default" w:ascii="sans-serif" w:hAnsi="sans-serif" w:eastAsia="sans-serif" w:cs="sans-serif"/>
          <w:i/>
          <w:iCs/>
          <w:kern w:val="0"/>
          <w:sz w:val="24"/>
          <w:szCs w:val="24"/>
          <w:lang w:val="en-US" w:eastAsia="zh-CN" w:bidi="ar"/>
        </w:rPr>
        <w:t>严格定义。它涵盖了车辆的横向控制跟踪误差和感知噪声协方差，从而在最坏动力学情况下确保无碰撞的安全裕度。)</w:t>
      </w:r>
    </w:p>
    <w:p w14:paraId="3FF05317">
      <w:pPr>
        <w:keepNext w:val="0"/>
        <w:keepLines w:val="0"/>
        <w:widowControl/>
        <w:suppressLineNumbers w:val="0"/>
        <w:jc w:val="left"/>
        <w:rPr>
          <w:rFonts w:hint="eastAsia" w:ascii="sans-serif" w:hAnsi="sans-serif" w:eastAsia="sans-serif" w:cs="sans-serif"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eastAsia" w:ascii="sans-serif" w:hAnsi="sans-serif" w:eastAsia="sans-serif" w:cs="sans-serif"/>
          <w:i/>
          <w:iCs/>
          <w:kern w:val="0"/>
          <w:sz w:val="24"/>
          <w:szCs w:val="24"/>
          <w:lang w:val="en-US" w:eastAsia="zh-CN" w:bidi="ar"/>
        </w:rPr>
        <w:t>在此基础上进行动态计算：</w:t>
      </w:r>
    </w:p>
    <w:p w14:paraId="1E168033">
      <w:pPr>
        <w:pStyle w:val="30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 (静态基准)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  <w:b/>
          <w:bCs/>
        </w:rPr>
        <w:t>1.5 米</w:t>
      </w:r>
      <w:r>
        <w:rPr>
          <w:rFonts w:hint="default" w:ascii="sans-serif" w:hAnsi="sans-serif" w:eastAsia="sans-serif" w:cs="sans-serif"/>
        </w:rPr>
        <w:t xml:space="preserve"> (半车宽 1.0m + 静态缓冲 0.5m)。</w:t>
      </w:r>
    </w:p>
    <w:p w14:paraId="0F1CF760">
      <w:pPr>
        <w:pStyle w:val="30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</w:rPr>
        <w:t>含义</w:t>
      </w:r>
      <w:r>
        <w:rPr>
          <w:rFonts w:hint="default" w:ascii="sans-serif" w:hAnsi="sans-serif" w:eastAsia="sans-serif" w:cs="sans-serif"/>
        </w:rPr>
        <w:t>：车停着不动，我也要留 0.5m 的缝。</w:t>
      </w:r>
    </w:p>
    <w:p w14:paraId="4C466928">
      <w:pPr>
        <w:pStyle w:val="30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>(动态膨胀)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  <w:b/>
          <w:bCs/>
        </w:rPr>
        <w:t>0.05</w:t>
      </w:r>
      <w:r>
        <w:rPr>
          <w:rFonts w:hint="eastAsia" w:ascii="sans-serif" w:hAnsi="sans-serif" w:eastAsia="sans-serif" w:cs="sans-serif"/>
          <w:b/>
          <w:bCs/>
          <w:lang w:val="en-US" w:eastAsia="zh-CN"/>
        </w:rPr>
        <w:t xml:space="preserve"> ✖ </w:t>
      </w:r>
      <w:r>
        <w:rPr>
          <w:rFonts w:hint="default" w:ascii="sans-serif" w:hAnsi="sans-serif" w:eastAsia="sans-serif" w:cs="sans-serif"/>
          <w:b/>
          <w:bCs/>
        </w:rPr>
        <w:t>v</w:t>
      </w:r>
      <w:r>
        <w:rPr>
          <w:rFonts w:hint="default" w:ascii="sans-serif" w:hAnsi="sans-serif" w:eastAsia="sans-serif" w:cs="sans-serif"/>
        </w:rPr>
        <w:t>。</w:t>
      </w:r>
    </w:p>
    <w:p w14:paraId="5F2D5082">
      <w:pPr>
        <w:pStyle w:val="30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sans-serif" w:hAnsi="sans-serif" w:eastAsia="sans-serif" w:cs="sans-serif"/>
          <w:i/>
          <w:iCs/>
          <w:kern w:val="0"/>
          <w:sz w:val="24"/>
          <w:szCs w:val="24"/>
          <w:lang w:val="en-US" w:eastAsia="zh-CN" w:bidi="ar"/>
        </w:rPr>
      </w:pPr>
      <w:r>
        <w:rPr>
          <w:rFonts w:hint="default" w:ascii="sans-serif" w:hAnsi="sans-serif" w:eastAsia="sans-serif" w:cs="sans-serif"/>
          <w:i/>
          <w:iCs/>
        </w:rPr>
        <w:t>含义</w:t>
      </w:r>
      <w:r>
        <w:rPr>
          <w:rFonts w:hint="default" w:ascii="sans-serif" w:hAnsi="sans-serif" w:eastAsia="sans-serif" w:cs="sans-serif"/>
        </w:rPr>
        <w:t>：每增加 1m/s (3.6km/h) 的速度，缓冲区向外扩大 5cm。</w:t>
      </w:r>
    </w:p>
    <w:p w14:paraId="3E415D1A">
      <w:pPr>
        <w:numPr>
          <w:numId w:val="0"/>
        </w:num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外层：</w:t>
      </w:r>
    </w:p>
    <w:p w14:paraId="7FFB56FE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"The outer interaction horizon is determined by the </w:t>
      </w:r>
      <w:r>
        <w:rPr>
          <w:rFonts w:hint="default" w:ascii="sans-serif" w:hAnsi="sans-serif" w:eastAsia="sans-serif" w:cs="sans-serif"/>
          <w:b/>
          <w:bCs/>
          <w:kern w:val="0"/>
          <w:sz w:val="24"/>
          <w:szCs w:val="24"/>
          <w:lang w:val="en-US" w:eastAsia="zh-CN" w:bidi="ar"/>
        </w:rPr>
        <w:t>topological semantics of the road infrastructure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. It is designed to cover the ego-lane's lateral span, enabling the planner to account for potential conflicts with dynamic agents emerging from adjacent occluded regions." </w:t>
      </w:r>
      <w:r>
        <w:rPr>
          <w:rFonts w:hint="default" w:ascii="sans-serif" w:hAnsi="sans-serif" w:eastAsia="sans-serif" w:cs="sans-serif"/>
          <w:i/>
          <w:iCs/>
          <w:kern w:val="0"/>
          <w:sz w:val="24"/>
          <w:szCs w:val="24"/>
          <w:lang w:val="en-US" w:eastAsia="zh-CN" w:bidi="ar"/>
        </w:rPr>
        <w:t>(外层交互视距由</w:t>
      </w:r>
      <w:r>
        <w:rPr>
          <w:rFonts w:hint="default" w:ascii="sans-serif" w:hAnsi="sans-serif" w:eastAsia="sans-serif" w:cs="sans-serif"/>
          <w:b/>
          <w:bCs/>
          <w:i/>
          <w:iCs/>
          <w:kern w:val="0"/>
          <w:sz w:val="24"/>
          <w:szCs w:val="24"/>
          <w:lang w:val="en-US" w:eastAsia="zh-CN" w:bidi="ar"/>
        </w:rPr>
        <w:t>道路基础设施的拓扑语义</w:t>
      </w:r>
      <w:r>
        <w:rPr>
          <w:rFonts w:hint="default" w:ascii="sans-serif" w:hAnsi="sans-serif" w:eastAsia="sans-serif" w:cs="sans-serif"/>
          <w:i/>
          <w:iCs/>
          <w:kern w:val="0"/>
          <w:sz w:val="24"/>
          <w:szCs w:val="24"/>
          <w:lang w:val="en-US" w:eastAsia="zh-CN" w:bidi="ar"/>
        </w:rPr>
        <w:t>决定。它旨在覆盖自车道的横向跨度，使规划器能够处理从相邻遮挡区域出现的动态代理的潜在冲突。)</w:t>
      </w:r>
    </w:p>
    <w:p w14:paraId="46B81956">
      <w:pPr>
        <w:pStyle w:val="30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b/>
          <w:bCs/>
        </w:rPr>
        <w:t xml:space="preserve"> (静态基准)</w:t>
      </w:r>
      <w:r>
        <w:rPr>
          <w:rFonts w:hint="default" w:ascii="sans-serif" w:hAnsi="sans-serif" w:eastAsia="sans-serif" w:cs="sans-serif"/>
        </w:rPr>
        <w:t xml:space="preserve">: </w:t>
      </w:r>
      <w:r>
        <w:rPr>
          <w:rFonts w:hint="default" w:ascii="sans-serif" w:hAnsi="sans-serif" w:eastAsia="sans-serif" w:cs="sans-serif"/>
          <w:b/>
          <w:bCs/>
        </w:rPr>
        <w:t>4.5 米</w:t>
      </w:r>
      <w:r>
        <w:rPr>
          <w:rFonts w:hint="default" w:ascii="sans-serif" w:hAnsi="sans-serif" w:eastAsia="sans-serif" w:cs="sans-serif"/>
        </w:rPr>
        <w:t xml:space="preserve"> (半车宽 1.0m + 车道宽 3.5m)。</w:t>
      </w:r>
    </w:p>
    <w:p w14:paraId="41222D7D">
      <w:pPr>
        <w:pStyle w:val="30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eastAsia" w:ascii="汉仪粗黑简" w:hAnsi="汉仪粗黑简" w:eastAsia="汉仪粗黑简" w:cs="汉仪粗黑简"/>
          <w:lang w:val="en-US" w:eastAsia="zh-CN"/>
        </w:rPr>
      </w:pPr>
      <w:r>
        <w:rPr>
          <w:rFonts w:hint="default" w:ascii="sans-serif" w:hAnsi="sans-serif" w:eastAsia="sans-serif" w:cs="sans-serif"/>
          <w:i/>
          <w:iCs/>
        </w:rPr>
        <w:t>含义</w:t>
      </w:r>
      <w:r>
        <w:rPr>
          <w:rFonts w:hint="default" w:ascii="sans-serif" w:hAnsi="sans-serif" w:eastAsia="sans-serif" w:cs="sans-serif"/>
        </w:rPr>
        <w:t>：覆盖当前车道和隔壁半条车道。</w:t>
      </w:r>
      <w:r>
        <w:rPr>
          <w:rFonts w:hint="eastAsia" w:ascii="sans-serif" w:hAnsi="sans-serif" w:eastAsia="sans-serif" w:cs="sans-serif"/>
          <w:lang w:eastAsia="zh-CN"/>
        </w:rPr>
        <w:t>（</w:t>
      </w:r>
      <w:r>
        <w:rPr>
          <w:rFonts w:hint="eastAsia" w:ascii="sans-serif" w:hAnsi="sans-serif" w:eastAsia="sans-serif" w:cs="sans-serif"/>
          <w:lang w:val="en-US" w:eastAsia="zh-CN"/>
        </w:rPr>
        <w:t>可以不动态计算）</w:t>
      </w:r>
    </w:p>
    <w:p w14:paraId="78BE9CD7">
      <w:pPr>
        <w:numPr>
          <w:numId w:val="0"/>
        </w:num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动态：</w:t>
      </w:r>
    </w:p>
    <w:p w14:paraId="1193BE7B">
      <w:pPr>
        <w:pStyle w:val="30"/>
        <w:keepNext w:val="0"/>
        <w:keepLines w:val="0"/>
        <w:widowControl/>
        <w:suppressLineNumbers w:val="0"/>
        <w:spacing w:before="0" w:beforeAutospacing="0" w:line="23" w:lineRule="atLeast"/>
        <w:ind w:left="720" w:right="720"/>
        <w:rPr>
          <w:rFonts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sz w:val="24"/>
          <w:szCs w:val="24"/>
        </w:rPr>
        <w:t xml:space="preserve">"Unlike static buffers used in prior arts, we introduce a </w:t>
      </w: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velocity-dependent dynamic formulation</w:t>
      </w:r>
      <w:r>
        <w:rPr>
          <w:rFonts w:hint="default" w:ascii="sans-serif" w:hAnsi="sans-serif" w:eastAsia="sans-serif" w:cs="sans-serif"/>
          <w:b/>
          <w:bCs/>
          <w:sz w:val="24"/>
          <w:szCs w:val="24"/>
          <w:lang w:val="en-US"/>
        </w:rPr>
        <w:t>.</w:t>
      </w:r>
      <w:r>
        <w:rPr>
          <w:rFonts w:hint="default" w:ascii="sans-serif" w:hAnsi="sans-serif" w:eastAsia="sans-serif" w:cs="sans-serif"/>
          <w:sz w:val="24"/>
          <w:szCs w:val="24"/>
        </w:rPr>
        <w:t xml:space="preserve"> This explicitly accounts for the </w:t>
      </w:r>
      <w:r>
        <w:rPr>
          <w:rFonts w:hint="default" w:ascii="sans-serif" w:hAnsi="sans-serif" w:eastAsia="sans-serif" w:cs="sans-serif"/>
          <w:b/>
          <w:bCs/>
          <w:sz w:val="24"/>
          <w:szCs w:val="24"/>
        </w:rPr>
        <w:t>latency-induced drift</w:t>
      </w:r>
      <w:r>
        <w:rPr>
          <w:rFonts w:hint="default" w:ascii="sans-serif" w:hAnsi="sans-serif" w:eastAsia="sans-serif" w:cs="sans-serif"/>
          <w:sz w:val="24"/>
          <w:szCs w:val="24"/>
        </w:rPr>
        <w:t xml:space="preserve"> at high speeds, guaranteeing kinematic feasibility during evasive maneuvers."</w:t>
      </w:r>
    </w:p>
    <w:p w14:paraId="719DDD30">
      <w:pPr>
        <w:pStyle w:val="30"/>
        <w:keepNext w:val="0"/>
        <w:keepLines w:val="0"/>
        <w:widowControl/>
        <w:suppressLineNumbers w:val="0"/>
        <w:spacing w:before="0" w:beforeAutospacing="0" w:line="23" w:lineRule="atLeast"/>
        <w:ind w:left="720" w:right="720"/>
        <w:rPr>
          <w:rFonts w:hint="default" w:ascii="sans-serif" w:hAnsi="sans-serif" w:eastAsia="sans-serif" w:cs="sans-serif"/>
        </w:rPr>
      </w:pPr>
      <w:r>
        <w:rPr>
          <w:rFonts w:hint="default" w:ascii="sans-serif" w:hAnsi="sans-serif" w:eastAsia="sans-serif" w:cs="sans-serif"/>
          <w:i/>
          <w:iCs/>
          <w:sz w:val="24"/>
          <w:szCs w:val="24"/>
        </w:rPr>
        <w:t>(与现有技术中使用的静态缓冲区不同，我们引入了</w:t>
      </w:r>
      <w:r>
        <w:rPr>
          <w:rFonts w:hint="default" w:ascii="sans-serif" w:hAnsi="sans-serif" w:eastAsia="sans-serif" w:cs="sans-serif"/>
          <w:b/>
          <w:bCs/>
          <w:i/>
          <w:iCs/>
          <w:sz w:val="24"/>
          <w:szCs w:val="24"/>
        </w:rPr>
        <w:t>速度相关的动态公式</w:t>
      </w:r>
      <w:r>
        <w:rPr>
          <w:rFonts w:hint="default" w:ascii="sans-serif" w:hAnsi="sans-serif" w:eastAsia="sans-serif" w:cs="sans-serif"/>
          <w:i/>
          <w:iCs/>
          <w:sz w:val="24"/>
          <w:szCs w:val="24"/>
        </w:rPr>
        <w:t>...这明确考虑了高速下由</w:t>
      </w:r>
      <w:r>
        <w:rPr>
          <w:rFonts w:hint="default" w:ascii="sans-serif" w:hAnsi="sans-serif" w:eastAsia="sans-serif" w:cs="sans-serif"/>
          <w:b/>
          <w:bCs/>
          <w:i/>
          <w:iCs/>
          <w:sz w:val="24"/>
          <w:szCs w:val="24"/>
        </w:rPr>
        <w:t>延迟引起的漂移</w:t>
      </w:r>
      <w:r>
        <w:rPr>
          <w:rFonts w:hint="default" w:ascii="sans-serif" w:hAnsi="sans-serif" w:eastAsia="sans-serif" w:cs="sans-serif"/>
          <w:i/>
          <w:iCs/>
          <w:sz w:val="24"/>
          <w:szCs w:val="24"/>
        </w:rPr>
        <w:t>，确保了规避动作的运动学可行性。)</w:t>
      </w:r>
    </w:p>
    <w:p w14:paraId="5BE7318F">
      <w:pPr>
        <w:numPr>
          <w:ilvl w:val="0"/>
          <w:numId w:val="8"/>
        </w:numPr>
        <w:ind w:left="0" w:leftChars="0" w:firstLine="0" w:firstLineChars="0"/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风险场的具体实现</w:t>
      </w:r>
    </w:p>
    <w:p w14:paraId="05375871">
      <w:pPr>
        <w:numPr>
          <w:numId w:val="0"/>
        </w:numPr>
        <w:ind w:leftChars="0"/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bookmarkStart w:id="0" w:name="_GoBack"/>
      <w:bookmarkEnd w:id="0"/>
    </w:p>
    <w:p w14:paraId="66CBA78B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1F30FC4D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D8CFBC4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492CEE4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15ADE8FC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7C829A5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BCD9568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928AA28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561AAD7E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7B241B3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232ADAAC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BE4EAA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D047C49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271BC6C2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5878E651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936F961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D1DBDCF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3B8B4C7A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FB76D05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3BE52962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4C21D17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B63B723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CB7FC5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5EADC05F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2B0628C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3E862128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0AFAE3C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5BE96612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AECD96E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58A4104D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9889FC2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EA54C22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9724B80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5714140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2C3AC3AA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27FEA485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153D07C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5EC97DE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0570168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2FB6EB79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2031D7F7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71E644A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5EA265B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3283CEE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1ADE768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34CAA541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F1F68D2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2485F87A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B547BE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67B8689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27D52FE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127128A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74F197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8EA5445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79716D8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2C7C74E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B9171CA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25197B2B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18FDB51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10568EB6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218B4EA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043C9925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511DD12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441094A7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767CBBB3">
      <w:pPr>
        <w:rPr>
          <w:rFonts w:hint="default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</w:p>
    <w:p w14:paraId="62E9CF45">
      <w:pPr>
        <w:pStyle w:val="3"/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其他改进方向：</w:t>
      </w:r>
    </w:p>
    <w:p w14:paraId="33E24FE4">
      <w:pPr>
        <w:pStyle w:val="3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创新点 2：场景自适应（ad</w:t>
      </w:r>
      <w:r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aptive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）</w:t>
      </w:r>
    </w:p>
    <w:p w14:paraId="5B8971CA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来源论文</w:t>
      </w:r>
    </w:p>
    <w:p w14:paraId="6C5B9B88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SIMPL: A Simple and Efficient Multi-agent Motion Prediction Baseline for Autonomous Driving</w:t>
      </w:r>
    </w:p>
    <w:p w14:paraId="7511AFC7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核心思想</w:t>
      </w:r>
    </w:p>
    <w:p w14:paraId="088686C9">
      <w:pPr>
        <w:pStyle w:val="4"/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通过计算路况的混乱程度，对路况进行评估，如果车流混乱，进入“安全模式”小车变得谨慎，以追求安全为主。如果车流稳定且有序，进入“效率模式”小车变得激进，以追求速度为主。</w:t>
      </w:r>
    </w:p>
    <w:p w14:paraId="4DE18A24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实施方式</w:t>
      </w:r>
    </w:p>
    <w:p w14:paraId="0689A8EF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使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用 SIMPL 的相对位姿计算模块来评估场景复杂度。当周围车辆的相对朝向分布混乱时，说明路况复杂，系统自动开启"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安全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模式"。</w:t>
      </w:r>
    </w:p>
    <w:p w14:paraId="1F6BD373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───────────────────────────────────────</w:t>
      </w:r>
    </w:p>
    <w:p w14:paraId="2CAC8904">
      <w:pPr>
        <w:pStyle w:val="3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创新点 3：流效率规划（流效率来源）</w:t>
      </w:r>
    </w:p>
    <w:p w14:paraId="570C25F1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来源论文</w:t>
      </w:r>
    </w:p>
    <w:p w14:paraId="7CEB47C4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EPSILON: An Efficient Planning System for Automated Vehicles in Highly Interactive Environments</w:t>
      </w:r>
    </w:p>
    <w:p w14:paraId="4812E218">
      <w:pPr>
        <w:pStyle w:val="4"/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核心思想</w:t>
      </w:r>
    </w:p>
    <w:p w14:paraId="12541B92">
      <w:p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该论文研究发现很多行驶场景都可以归为简单的跟车，所以我们计算出当前场景小车的三项指标</w:t>
      </w:r>
    </w:p>
    <w:p w14:paraId="03D15DE6">
      <w:pPr>
        <w:numPr>
          <w:ilvl w:val="0"/>
          <w:numId w:val="9"/>
        </w:numP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目标车速与车流平均的速度差</w:t>
      </w:r>
    </w:p>
    <w:p w14:paraId="62E75422">
      <w:pPr>
        <w:numPr>
          <w:ilvl w:val="0"/>
          <w:numId w:val="9"/>
        </w:numPr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前方车是否压制我方速度</w:t>
      </w:r>
    </w:p>
    <w:p w14:paraId="14BE054E">
      <w:pPr>
        <w:numPr>
          <w:ilvl w:val="0"/>
          <w:numId w:val="9"/>
        </w:numPr>
        <w:rPr>
          <w:rFonts w:hint="default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我方速度是否超过车流速度</w:t>
      </w:r>
    </w:p>
    <w:p w14:paraId="545AFD33">
      <w:pPr>
        <w:numPr>
          <w:ilvl w:val="0"/>
          <w:numId w:val="0"/>
        </w:num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引入多维度的流效率评估机制，使车辆在跟车场景中表现得更像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人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——该快快，该慢慢。</w:t>
      </w:r>
    </w:p>
    <w:p w14:paraId="4D1DA6D6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实施方式</w:t>
      </w:r>
    </w:p>
    <w:p w14:paraId="3691405B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将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论文中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的三项流效率指标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加入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到代价函数中，替代原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源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有的简单</w:t>
      </w:r>
      <w:r>
        <w:rPr>
          <w:rFonts w:hint="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只追求速度的</w:t>
      </w: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目标。</w:t>
      </w:r>
    </w:p>
    <w:p w14:paraId="6B99BBEF">
      <w:pP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</w:pPr>
      <w:r>
        <w:rPr>
          <w:rFonts w:hint="eastAsia" w:asciiTheme="minorHAnsi" w:hAnsiTheme="minorHAnsi" w:eastAsiaTheme="minorEastAsia" w:cstheme="minorBidi"/>
          <w:color w:val="auto"/>
          <w:spacing w:val="0"/>
          <w:kern w:val="0"/>
          <w:sz w:val="22"/>
          <w:szCs w:val="22"/>
          <w:lang w:val="en-US" w:eastAsia="zh-CN" w:bidi="ar-SA"/>
        </w:rPr>
        <w:t>───────────────────────────────────────</w:t>
      </w:r>
    </w:p>
    <w:p w14:paraId="552BA579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4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汉仪粗黑简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儷黑 Pro">
    <w:panose1 w:val="020B0500000000000000"/>
    <w:charset w:val="88"/>
    <w:family w:val="auto"/>
    <w:pitch w:val="default"/>
    <w:sig w:usb0="80000001" w:usb1="28091800" w:usb2="00000016" w:usb3="00000000" w:csb0="00100000" w:csb1="00000000"/>
  </w:font>
  <w:font w:name="Arial Black">
    <w:panose1 w:val="020B0A04020102020204"/>
    <w:charset w:val="00"/>
    <w:family w:val="auto"/>
    <w:pitch w:val="default"/>
    <w:sig w:usb0="00000287" w:usb1="00000000" w:usb2="00000000" w:usb3="00000000" w:csb0="2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BBC88E"/>
    <w:multiLevelType w:val="singleLevel"/>
    <w:tmpl w:val="BFBBC88E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3CDCFC5"/>
    <w:multiLevelType w:val="singleLevel"/>
    <w:tmpl w:val="E3CDCFC5"/>
    <w:lvl w:ilvl="0" w:tentative="0">
      <w:start w:val="2"/>
      <w:numFmt w:val="chineseCounting"/>
      <w:lvlText w:val="%1."/>
      <w:lvlJc w:val="left"/>
      <w:pPr>
        <w:tabs>
          <w:tab w:val="left" w:pos="312"/>
        </w:tabs>
      </w:pPr>
      <w:rPr>
        <w:rFonts w:hint="eastAsia"/>
      </w:rPr>
    </w:lvl>
  </w:abstractNum>
  <w:abstractNum w:abstractNumId="2">
    <w:nsid w:val="FDF6BB86"/>
    <w:multiLevelType w:val="singleLevel"/>
    <w:tmpl w:val="FDF6BB8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4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5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4"/>
  </w:num>
  <w:num w:numId="2">
    <w:abstractNumId w:val="7"/>
  </w:num>
  <w:num w:numId="3">
    <w:abstractNumId w:val="8"/>
  </w:num>
  <w:num w:numId="4">
    <w:abstractNumId w:val="5"/>
  </w:num>
  <w:num w:numId="5">
    <w:abstractNumId w:val="3"/>
  </w:num>
  <w:num w:numId="6">
    <w:abstractNumId w:val="6"/>
  </w:num>
  <w:num w:numId="7">
    <w:abstractNumId w:val="1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FB907CD"/>
    <w:rsid w:val="5DFD56D3"/>
    <w:rsid w:val="5FBF5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uiPriority w:val="1"/>
  </w:style>
  <w:style w:type="table" w:default="1" w:styleId="3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8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7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5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6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31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customStyle="1" w:styleId="136">
    <w:name w:val="Header Char"/>
    <w:basedOn w:val="133"/>
    <w:link w:val="25"/>
    <w:uiPriority w:val="99"/>
  </w:style>
  <w:style w:type="character" w:customStyle="1" w:styleId="137">
    <w:name w:val="Footer Char"/>
    <w:basedOn w:val="133"/>
    <w:link w:val="24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33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33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33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33"/>
    <w:link w:val="32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33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33"/>
    <w:link w:val="19"/>
    <w:uiPriority w:val="99"/>
  </w:style>
  <w:style w:type="character" w:customStyle="1" w:styleId="146">
    <w:name w:val="Body Text 2 Char"/>
    <w:basedOn w:val="133"/>
    <w:link w:val="28"/>
    <w:uiPriority w:val="99"/>
  </w:style>
  <w:style w:type="character" w:customStyle="1" w:styleId="147">
    <w:name w:val="Body Text 3 Char"/>
    <w:basedOn w:val="133"/>
    <w:link w:val="17"/>
    <w:uiPriority w:val="99"/>
    <w:rPr>
      <w:sz w:val="16"/>
      <w:szCs w:val="16"/>
    </w:rPr>
  </w:style>
  <w:style w:type="character" w:customStyle="1" w:styleId="148">
    <w:name w:val="Macro Text Char"/>
    <w:basedOn w:val="133"/>
    <w:link w:val="2"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33"/>
    <w:link w:val="149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33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33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33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33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33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33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33"/>
    <w:link w:val="157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1828</TotalTime>
  <ScaleCrop>false</ScaleCrop>
  <LinksUpToDate>false</LinksUpToDate>
  <CharactersWithSpaces>0</CharactersWithSpaces>
  <Application>WPS Office_12.1.21861.21861_F1E327BC-269C-435d-A152-05C5408002CA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2013-12-24T23:15:00Z</dcterms:created>
  <dc:creator>python-docx</dc:creator>
  <dc:description>generated by python-docx</dc:description>
  <cp:lastModifiedBy>菲依</cp:lastModifiedBy>
  <dcterms:modified xsi:type="dcterms:W3CDTF">2026-02-04T22:34:36Z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2052-12.1.21861.21861</vt:lpwstr>
  </property>
  <property fmtid="{D5CDD505-2E9C-101B-9397-08002B2CF9AE}" pid="3" name="ICV">
    <vt:lpwstr>5D3AE66E732F946F56937569781F55CF_42</vt:lpwstr>
  </property>
</Properties>
</file>