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Times New Roman" w:hAnsi="Times New Roman"/>
          <w:b/>
          <w:i w:val="0"/>
          <w:sz w:val="32"/>
        </w:rPr>
        <w:t>LiDAR Point Cloud-Based GNSS NLOS Detection and</w:t>
        <w:br/>
        <w:t>Reflection Geometry Modeling in Urban Canyons:</w:t>
        <w:br/>
        <w:t>A Pipeline Evaluation with GPS-Only SPP</w:t>
      </w:r>
    </w:p>
    <w:p>
      <w:pPr>
        <w:spacing w:after="120"/>
        <w:jc w:val="center"/>
      </w:pPr>
      <w:r>
        <w:rPr>
          <w:rFonts w:ascii="Times New Roman" w:hAnsi="Times New Roman"/>
          <w:b w:val="0"/>
          <w:i/>
          <w:color w:val="505050"/>
          <w:sz w:val="24"/>
        </w:rPr>
        <w:t>面向城市峡谷的 LiDAR 辅助 GNSS NLOS 几何建模</w:t>
        <w:br/>
        <w:t>与伪距修正评估（Draft v0.1）</w:t>
      </w:r>
    </w:p>
    <w:p>
      <w:pPr>
        <w:jc w:val="center"/>
      </w:pPr>
      <w:r>
        <w:rPr>
          <w:rFonts w:ascii="Times New Roman" w:hAnsi="Times New Roman"/>
          <w:b w:val="0"/>
          <w:i w:val="0"/>
          <w:color w:val="646464"/>
          <w:sz w:val="20"/>
        </w:rPr>
        <w:t>[Author Names] · [Affiliation] · 2026-05-20</w:t>
      </w:r>
    </w:p>
    <w:p>
      <w:r>
        <w:br w:type="page"/>
      </w:r>
    </w:p>
    <w:p>
      <w:pPr>
        <w:spacing w:before="240" w:after="80"/>
      </w:pPr>
      <w:r>
        <w:rPr>
          <w:rFonts w:ascii="Times New Roman" w:hAnsi="Times New Roman"/>
          <w:b/>
          <w:i w:val="0"/>
          <w:sz w:val="26"/>
        </w:rPr>
        <w:t>Abstract</w:t>
      </w:r>
    </w:p>
    <w:p>
      <w:pPr>
        <w:spacing w:after="120" w:before="0"/>
      </w:pPr>
      <w:r>
        <w:rPr>
          <w:rFonts w:ascii="Times New Roman" w:hAnsi="Times New Roman"/>
          <w:b w:val="0"/>
          <w:i w:val="0"/>
          <w:sz w:val="22"/>
        </w:rPr>
        <w:t>Urban canyon environments severely degrade GNSS positioning accuracy due to non-line-of-sight (NLOS) signal reception and multipath propagation. This paper presents an end-to-end pipeline that leverages LiDAR point cloud maps for GNSS NLOS detection, reflection surface modeling, and pseudorange correction, evaluated on the publicly available UrbanNav Medium-Urban-1 dataset collected in the Tsim Sha Tsui district of Hong Kong. The pipeline comprises five stages: (1) INSPVAX trajectory extraction, (2) dense LiDAR map construction (8.53 M points, 0.2 m voxel), (3) satellite azimuth/elevation computation from RINEX observations, (4) ray-casting-based NLOS detection via a 3D occupancy voxel grid, and (5) reflection surface geometry modeling using local PCA surface normals, yielding per-satellite extra path length estimates (ΔL = 2·d·cos θᵢ). Compared against del2AINLOS machine-learning labels, the LiDAR detector achieves Precision = 0.454, Recall = 0.780, and F1 = 0.574. The geometric ΔL follows a distribution dominated by the "strong" category (2–10 m, 67.9%), with a mean of 6.70 m consistent with urban-canyon multipath literature. A weighted-least-squares SPP correction experiment with three modes—baseline, NLOS exclusion, and ΔL correction—reveals that purely geometric ΔL correction does not improve GPS-only positioning under offline map conditions (baseline 75.6 m vs. correction 92.3 m mean horizontal error). Root-cause analysis attributes this outcome to GPS-only geometry collapse upon satellite exclusion, mixed-multipath amplitude uncertainty, and insufficient surface normal reliability (41.3% planarity &lt; 0.5). These findings quantify the limitations of the geometric modeling layer and motivate signal-domain (SDR-based) validation as an essential complement, establishing a measurable baseline for future work.</w:t>
      </w:r>
    </w:p>
    <w:p>
      <w:pPr>
        <w:spacing w:after="80"/>
        <w:ind w:left="567"/>
      </w:pPr>
      <w:r>
        <w:rPr>
          <w:rFonts w:ascii="Times New Roman" w:hAnsi="Times New Roman"/>
          <w:b w:val="0"/>
          <w:i/>
          <w:color w:val="787878"/>
          <w:sz w:val="19"/>
        </w:rPr>
        <w:t>【草稿注】关键词（5–7个）：GNSS NLOS, LiDAR point cloud, ray tracing, multipath, SPP pseudorange correction, urban canyon, UrbanNav</w:t>
      </w:r>
    </w:p>
    <w:p/>
    <w:p>
      <w:pPr>
        <w:spacing w:before="240" w:after="80"/>
      </w:pPr>
      <w:r>
        <w:rPr>
          <w:rFonts w:ascii="Times New Roman" w:hAnsi="Times New Roman"/>
          <w:b/>
          <w:i w:val="0"/>
          <w:sz w:val="26"/>
        </w:rPr>
        <w:t>1. Introduction</w:t>
      </w:r>
    </w:p>
    <w:p>
      <w:pPr>
        <w:spacing w:after="120" w:before="0"/>
      </w:pPr>
      <w:r>
        <w:rPr>
          <w:rFonts w:ascii="Times New Roman" w:hAnsi="Times New Roman"/>
          <w:b w:val="0"/>
          <w:i w:val="0"/>
          <w:sz w:val="22"/>
        </w:rPr>
        <w:t>Global Navigation Satellite System (GNSS) single-point positioning (SPP) in urban canyons remains a challenging problem. Tall buildings reflect and occlude satellite signals, causing non-line-of-sight (NLOS) reception and code multipath errors that can exceed tens to hundreds of metres [1]. In dense urban environments such as Hong Kong's Tsim Sha Tsui (TST) district, GPS-only SPP routinely exhibits horizontal errors of 50–200 m [2], rendering it insufficient for navigation applications that require sub-10 m accuracy.</w:t>
      </w:r>
    </w:p>
    <w:p>
      <w:pPr>
        <w:spacing w:after="120" w:before="0"/>
      </w:pPr>
      <w:r>
        <w:rPr>
          <w:rFonts w:ascii="Times New Roman" w:hAnsi="Times New Roman"/>
          <w:b w:val="0"/>
          <w:i w:val="0"/>
          <w:sz w:val="22"/>
        </w:rPr>
        <w:t>LiDAR sensors mounted on autonomous vehicles provide dense 3-D point clouds of the surrounding environment. Several recent studies have exploited such point clouds to identify NLOS satellites through ray-casting [3,4] and to estimate pseudorange corrections from detected building geometry [5]. Wen et al. [5] demonstrated a ~4× improvement in SPP accuracy using a real-time sliding-window LiDAR map with GPS+BeiDou+GLONASS+Galileo observations. However, the conditions under which geometric ΔL corrections are beneficial—and when they fail—have not been systematically quantified for GPS-only, offline-map scenarios.</w:t>
      </w:r>
    </w:p>
    <w:p>
      <w:pPr>
        <w:spacing w:after="120" w:before="0"/>
      </w:pPr>
      <w:r>
        <w:rPr>
          <w:rFonts w:ascii="Times New Roman" w:hAnsi="Times New Roman"/>
          <w:b w:val="0"/>
          <w:i w:val="0"/>
          <w:sz w:val="22"/>
        </w:rPr>
        <w:t>This paper makes the following contributions:</w:t>
      </w:r>
    </w:p>
    <w:p>
      <w:pPr>
        <w:spacing w:after="120" w:before="0"/>
        <w:ind w:left="454"/>
      </w:pPr>
      <w:r>
        <w:rPr>
          <w:rFonts w:ascii="Times New Roman" w:hAnsi="Times New Roman"/>
          <w:b w:val="0"/>
          <w:i w:val="0"/>
          <w:sz w:val="22"/>
        </w:rPr>
        <w:t>(2) We implement and evaluate a complete, reproducible LiDAR–GNSS NLOS detection-to-correction pipeline on the public UrbanNav dataset, providing step-by-step quantitative results at each stage.</w:t>
      </w:r>
    </w:p>
    <w:p>
      <w:pPr>
        <w:spacing w:after="120" w:before="0"/>
        <w:ind w:left="454"/>
      </w:pPr>
      <w:r>
        <w:rPr>
          <w:rFonts w:ascii="Times New Roman" w:hAnsi="Times New Roman"/>
          <w:b w:val="0"/>
          <w:i w:val="0"/>
          <w:sz w:val="22"/>
        </w:rPr>
        <w:t>(3) We introduce a cross-validation between LiDAR geometric NLOS labels and del2AINLOS machine-learning labels [6], identifying per-elevation-band reliability profiles of the LiDAR detector.</w:t>
      </w:r>
    </w:p>
    <w:p>
      <w:pPr>
        <w:spacing w:after="120" w:before="0"/>
        <w:ind w:left="454"/>
      </w:pPr>
      <w:r>
        <w:rPr>
          <w:rFonts w:ascii="Times New Roman" w:hAnsi="Times New Roman"/>
          <w:b w:val="0"/>
          <w:i w:val="0"/>
          <w:sz w:val="22"/>
        </w:rPr>
        <w:t>(4) We conduct a three-mode SPP correction experiment (baseline / NLOS exclusion / ΔL correction) and provide a structured root-cause analysis of the observed correction failure, directly motivating SDR-based signal-domain validation as a necessary complement to geometric modeling.</w:t>
      </w:r>
    </w:p>
    <w:p>
      <w:pPr>
        <w:spacing w:after="80"/>
        <w:ind w:left="567"/>
      </w:pPr>
      <w:r>
        <w:rPr>
          <w:rFonts w:ascii="Times New Roman" w:hAnsi="Times New Roman"/>
          <w:b w:val="0"/>
          <w:i/>
          <w:color w:val="787878"/>
          <w:sz w:val="19"/>
        </w:rPr>
        <w:t>【草稿注】可在此段末尾加一句 "The remainder of this paper is organised as follows..."</w:t>
      </w:r>
    </w:p>
    <w:p>
      <w:pPr>
        <w:spacing w:before="240" w:after="80"/>
      </w:pPr>
      <w:r>
        <w:rPr>
          <w:rFonts w:ascii="Times New Roman" w:hAnsi="Times New Roman"/>
          <w:b/>
          <w:i w:val="0"/>
          <w:sz w:val="26"/>
        </w:rPr>
        <w:t>2. Related Work</w:t>
      </w:r>
    </w:p>
    <w:p>
      <w:pPr>
        <w:spacing w:before="240" w:after="80"/>
      </w:pPr>
      <w:r>
        <w:rPr>
          <w:rFonts w:ascii="Times New Roman" w:hAnsi="Times New Roman"/>
          <w:b/>
          <w:i w:val="0"/>
          <w:color w:val="28508C"/>
          <w:sz w:val="22"/>
        </w:rPr>
        <w:t>2.1  GNSS NLOS Detection</w:t>
      </w:r>
    </w:p>
    <w:p>
      <w:pPr>
        <w:spacing w:after="120" w:before="0"/>
      </w:pPr>
      <w:r>
        <w:rPr>
          <w:rFonts w:ascii="Times New Roman" w:hAnsi="Times New Roman"/>
          <w:b w:val="0"/>
          <w:i w:val="0"/>
          <w:sz w:val="22"/>
        </w:rPr>
        <w:t>Early approaches to NLOS mitigation relied on 3-D building models derived from GIS databases. Groves and Adjrad [7] proposed a likelihood-based method using LOS/NLOS predictions from 3-D mapping combined with skewed pseudorange error distributions. Ray-tracing in urban environments was formalised by Siebler et al. [8], who established the coordinate-frame transformations required to compute incidence angles from surface normals in autonomous-driving scenarios. LiDAR-based approaches emerged with Wen et al. [3,4], replacing GIS models with real-sensor point clouds for improved spatial accuracy. Machine-learning alternatives, exemplified by del2AINLOS [6], exploit double-difference pseudorange residuals to classify NLOS without explicit geometric modelling.</w:t>
      </w:r>
    </w:p>
    <w:p>
      <w:pPr>
        <w:spacing w:before="240" w:after="80"/>
      </w:pPr>
      <w:r>
        <w:rPr>
          <w:rFonts w:ascii="Times New Roman" w:hAnsi="Times New Roman"/>
          <w:b/>
          <w:i w:val="0"/>
          <w:color w:val="28508C"/>
          <w:sz w:val="22"/>
        </w:rPr>
        <w:t>2.2  Pseudorange Correction via Reflection Geometry</w:t>
      </w:r>
    </w:p>
    <w:p>
      <w:pPr>
        <w:spacing w:after="120" w:before="0"/>
      </w:pPr>
      <w:r>
        <w:rPr>
          <w:rFonts w:ascii="Times New Roman" w:hAnsi="Times New Roman"/>
          <w:b w:val="0"/>
          <w:i w:val="0"/>
          <w:sz w:val="22"/>
        </w:rPr>
        <w:t>Lau and Cross [9] derived the extra path length formula ΔL = 2·d·cos θᵢ from mirror-image geometry for GNSS carrier-phase multipath and validated it against GPS signals reflected from controlled surfaces. Wen et al. [5] operationalised this correction using real-time LiDAR point clouds and multi-constellation GNSS, achieving horizontal RMS reductions from ~25.9 m to ~6.1 m in Hong Kong urban canyons. The 2022 follow-up [4] extended the framework to RTK positioning via factor-graph optimisation. A critical, yet unresolved, gap in the literature is the quantitative relationship between the geometric ΔL estimate and the actual DLL tracking error, which depends on the amplitude ratio of reflected to direct signal—a quantity accessible only through signal-domain measurement (e.g., SDR).</w:t>
      </w:r>
    </w:p>
    <w:p>
      <w:pPr>
        <w:spacing w:before="240" w:after="80"/>
      </w:pPr>
      <w:r>
        <w:rPr>
          <w:rFonts w:ascii="Times New Roman" w:hAnsi="Times New Roman"/>
          <w:b/>
          <w:i w:val="0"/>
          <w:color w:val="28508C"/>
          <w:sz w:val="22"/>
        </w:rPr>
        <w:t>2.3  Distinction from Prior Work</w:t>
      </w:r>
    </w:p>
    <w:p>
      <w:pPr>
        <w:spacing w:after="120" w:before="0"/>
      </w:pPr>
      <w:r>
        <w:rPr>
          <w:rFonts w:ascii="Times New Roman" w:hAnsi="Times New Roman"/>
          <w:b w:val="0"/>
          <w:i w:val="0"/>
          <w:sz w:val="22"/>
        </w:rPr>
        <w:t>Unlike Wen et al. [5], who use a real-time multi-constellation setup, this paper deliberately evaluates the GPS-only, offline-map regime to bound the applicability of geometric correction. The negative correction result reported here constitutes a quantified failure-mode analysis absent from existing literature, and directly motivates SDR-based amplitude measurement as the missing layer.</w:t>
      </w:r>
    </w:p>
    <w:p>
      <w:pPr>
        <w:spacing w:before="240" w:after="80"/>
      </w:pPr>
      <w:r>
        <w:rPr>
          <w:rFonts w:ascii="Times New Roman" w:hAnsi="Times New Roman"/>
          <w:b/>
          <w:i w:val="0"/>
          <w:sz w:val="26"/>
        </w:rPr>
        <w:t>3. Methodology</w:t>
      </w:r>
    </w:p>
    <w:p>
      <w:pPr>
        <w:spacing w:after="120" w:before="0"/>
      </w:pPr>
      <w:r>
        <w:rPr>
          <w:rFonts w:ascii="Times New Roman" w:hAnsi="Times New Roman"/>
          <w:b w:val="0"/>
          <w:i w:val="0"/>
          <w:sz w:val="22"/>
        </w:rPr>
        <w:t>The proposed pipeline processes LiDAR bags and GNSS RINEX files through five sequential stages, illustrated in Fig. 1. All coordinate computations use the WGS-84 ellipsoid; the local reference frame is East-North-Up (ENU) with origin at the first NovAtel INSPVAX pose.</w:t>
      </w:r>
    </w:p>
    <w:p>
      <w:pPr>
        <w:spacing w:after="80"/>
        <w:ind w:left="567"/>
      </w:pPr>
      <w:r>
        <w:rPr>
          <w:rFonts w:ascii="Times New Roman" w:hAnsi="Times New Roman"/>
          <w:b w:val="0"/>
          <w:i/>
          <w:color w:val="787878"/>
          <w:sz w:val="19"/>
        </w:rPr>
        <w:t>【草稿注】[Fig. 1] Pipeline block diagram: RINEX obs/nav → Step 3 (azel) | LiDAR bag → Step 2 (map) → Step 4 (ray cast) → Step 6 (ΔL) → Step 7 (SPP)</w:t>
      </w:r>
    </w:p>
    <w:p>
      <w:pPr>
        <w:spacing w:before="240" w:after="80"/>
      </w:pPr>
      <w:r>
        <w:rPr>
          <w:rFonts w:ascii="Times New Roman" w:hAnsi="Times New Roman"/>
          <w:b/>
          <w:i w:val="0"/>
          <w:color w:val="28508C"/>
          <w:sz w:val="22"/>
        </w:rPr>
        <w:t>3.1  LiDAR Map Construction (Step 2)</w:t>
      </w:r>
    </w:p>
    <w:p>
      <w:pPr>
        <w:spacing w:after="120" w:before="0"/>
      </w:pPr>
      <w:r>
        <w:rPr>
          <w:rFonts w:ascii="Times New Roman" w:hAnsi="Times New Roman"/>
          <w:b w:val="0"/>
          <w:i w:val="0"/>
          <w:sz w:val="22"/>
        </w:rPr>
        <w:t>Point clouds from a Velodyne VLP-16 LiDAR are accumulated along the NovAtel INSPVAX trajectory (RTK/INS, ~5 cm accuracy). Each frame is transformed to the global ENU frame using the extrinsic calibration T_LiDAR_SPAN = [0, 0, 0.14 m] (vertical offset). The accumulated map is downsampled to 0.2 m voxels using Open3D, yielding 8.53 M points. Ground points with ENU-Z &lt; 1.0 m are excluded in downstream stages to suppress vehicle-body reflections.</w:t>
      </w:r>
    </w:p>
    <w:p>
      <w:pPr>
        <w:spacing w:before="240" w:after="80"/>
      </w:pPr>
      <w:r>
        <w:rPr>
          <w:rFonts w:ascii="Times New Roman" w:hAnsi="Times New Roman"/>
          <w:b/>
          <w:i w:val="0"/>
          <w:color w:val="28508C"/>
          <w:sz w:val="22"/>
        </w:rPr>
        <w:t>3.2  Satellite Geometry Computation (Step 3)</w:t>
      </w:r>
    </w:p>
    <w:p>
      <w:pPr>
        <w:spacing w:after="120" w:before="0"/>
      </w:pPr>
      <w:r>
        <w:rPr>
          <w:rFonts w:ascii="Times New Roman" w:hAnsi="Times New Roman"/>
          <w:b w:val="0"/>
          <w:i w:val="0"/>
          <w:sz w:val="22"/>
        </w:rPr>
        <w:t>For each RINEX observation epoch, satellite ECEF positions are computed from broadcast ephemerides using Keplerian orbit propagation and satellite clock correction (IS-GPS-200). Elevation and azimuth angles are derived at the receiver position interpolated from the INSPVAX trajectory. A minimum elevation mask of 5° is applied. Leap-second handling follows the convention documented in the dataset: the RINEX epoch time offset (18 s) is compensated when matching against UTC-referenced trajectory data.</w:t>
      </w:r>
    </w:p>
    <w:p>
      <w:pPr>
        <w:spacing w:before="240" w:after="80"/>
      </w:pPr>
      <w:r>
        <w:rPr>
          <w:rFonts w:ascii="Times New Roman" w:hAnsi="Times New Roman"/>
          <w:b/>
          <w:i w:val="0"/>
          <w:color w:val="28508C"/>
          <w:sz w:val="22"/>
        </w:rPr>
        <w:t>3.3  Ray-Casting NLOS Detection (Step 4)</w:t>
      </w:r>
    </w:p>
    <w:p>
      <w:pPr>
        <w:spacing w:after="120" w:before="0"/>
      </w:pPr>
      <w:r>
        <w:rPr>
          <w:rFonts w:ascii="Times New Roman" w:hAnsi="Times New Roman"/>
          <w:b w:val="0"/>
          <w:i w:val="0"/>
          <w:sz w:val="22"/>
        </w:rPr>
        <w:t>The LiDAR map is voxelised at 0.5 m resolution into a 3-D occupancy set using a 21-bit packed uint64 key for O(1) lookup. For each satellite, a ray is cast from the receiver position in the direction of the satellite (ENU unit vector computed from azimuth and elevation). The ray starts at d_start = 5.0 m from the receiver to skip vehicle-body clutter in the accumulated offline map. A voxel intersection within the maximum range (80 m) is classified as NLOS; otherwise LOS. The intersection distance d_hit is recorded for downstream geometry computation.</w:t>
      </w:r>
    </w:p>
    <w:p>
      <w:pPr>
        <w:spacing w:before="240" w:after="80"/>
      </w:pPr>
      <w:r>
        <w:rPr>
          <w:rFonts w:ascii="Times New Roman" w:hAnsi="Times New Roman"/>
          <w:b/>
          <w:i w:val="0"/>
          <w:color w:val="28508C"/>
          <w:sz w:val="22"/>
        </w:rPr>
        <w:t>3.4  Reflection Surface Modeling (Step 6)</w:t>
      </w:r>
    </w:p>
    <w:p>
      <w:pPr>
        <w:spacing w:after="120" w:before="0"/>
      </w:pPr>
      <w:r>
        <w:rPr>
          <w:rFonts w:ascii="Times New Roman" w:hAnsi="Times New Roman"/>
          <w:b w:val="0"/>
          <w:i w:val="0"/>
          <w:sz w:val="22"/>
        </w:rPr>
        <w:t>For each NLOS satellite, the signal hit point in ENU coordinates is reconstructed as P_hit = P_rx + d_hit · LOS_hat. A local surface normal n̂ is estimated by PCA on the k ≤ 30 nearest LiDAR map points within radius r = 3.0 m [10,11]. The normal is oriented toward the receiver. Planarity is quantified as 1 − λ_min/λ_max; estimates with planarity &lt; 0.5 are flagged as unreliable (non-planar reflectors). The incidence angle θᵢ = arccos(|LOS_hat · n̂|) and the extra path length ΔL = 2·d_hit·cos θᵢ are computed per [9]. When planarity &lt; 0.5 or fewer than 6 neighbours are found, a simplified fallback formula ΔL = 2·d_hit·cos(elevation) is applied, assuming a vertical facade (upper-bound estimate). Multipath severity is classified as mild (ΔL &lt; 2 m), strong (2–10 m), or severe (≥ 10 m) following [12].</w:t>
      </w:r>
    </w:p>
    <w:p>
      <w:pPr>
        <w:spacing w:before="240" w:after="80"/>
      </w:pPr>
      <w:r>
        <w:rPr>
          <w:rFonts w:ascii="Times New Roman" w:hAnsi="Times New Roman"/>
          <w:b/>
          <w:i w:val="0"/>
          <w:color w:val="28508C"/>
          <w:sz w:val="22"/>
        </w:rPr>
        <w:t>3.5  WLS SPP Correction (Step 7)</w:t>
      </w:r>
    </w:p>
    <w:p>
      <w:pPr>
        <w:spacing w:after="120" w:before="0"/>
      </w:pPr>
      <w:r>
        <w:rPr>
          <w:rFonts w:ascii="Times New Roman" w:hAnsi="Times New Roman"/>
          <w:b w:val="0"/>
          <w:i w:val="0"/>
          <w:sz w:val="22"/>
        </w:rPr>
        <w:t>Single-point positioning is solved by iterative weighted least-squares (WLS) with four unknowns: receiver ECEF position and clock bias. The linearised observation equation per satellite i is:</w:t>
      </w:r>
    </w:p>
    <w:p>
      <w:pPr>
        <w:spacing w:after="120" w:before="0"/>
        <w:ind w:left="567"/>
      </w:pPr>
      <w:r>
        <w:rPr>
          <w:rFonts w:ascii="Times New Roman" w:hAnsi="Times New Roman"/>
          <w:b w:val="0"/>
          <w:i w:val="0"/>
          <w:sz w:val="22"/>
        </w:rPr>
        <w:t xml:space="preserve">    δρᵢ = eᵢᵀ δx + c δtᵣ</w:t>
      </w:r>
    </w:p>
    <w:p>
      <w:pPr>
        <w:spacing w:after="120" w:before="0"/>
      </w:pPr>
      <w:r>
        <w:rPr>
          <w:rFonts w:ascii="Times New Roman" w:hAnsi="Times New Roman"/>
          <w:b w:val="0"/>
          <w:i w:val="0"/>
          <w:sz w:val="22"/>
        </w:rPr>
        <w:t>where eᵢ is the unit vector from satellite to receiver, δx the position correction vector, and c δtᵣ the receiver clock correction [1]. Pseudoranges are corrected for satellite clock bias (ρ_corr = ρ + c·δt_sv, Kaplan &amp; Hegarty 2006 p.183) and simplified tropospheric delay (T = 2.3/sin(el) m). Sagnac effect correction is applied per IS-GPS-200. Elevation-based weighting wᵢ = sin²(elᵢ) is used [13].</w:t>
      </w:r>
    </w:p>
    <w:p>
      <w:pPr>
        <w:spacing w:after="120" w:before="0"/>
      </w:pPr>
      <w:r>
        <w:rPr>
          <w:rFonts w:ascii="Times New Roman" w:hAnsi="Times New Roman"/>
          <w:b w:val="0"/>
          <w:i w:val="0"/>
          <w:sz w:val="22"/>
        </w:rPr>
        <w:t>Three modes are evaluated:</w:t>
      </w:r>
    </w:p>
    <w:p>
      <w:pPr>
        <w:spacing w:after="120" w:before="0"/>
        <w:ind w:left="283"/>
      </w:pPr>
      <w:r>
        <w:rPr>
          <w:rFonts w:ascii="Times New Roman" w:hAnsi="Times New Roman"/>
          <w:b w:val="0"/>
          <w:i w:val="0"/>
          <w:sz w:val="22"/>
        </w:rPr>
        <w:t xml:space="preserve">  • Baseline: All satellites, no correction.</w:t>
      </w:r>
    </w:p>
    <w:p>
      <w:pPr>
        <w:spacing w:after="120" w:before="0"/>
        <w:ind w:left="283"/>
      </w:pPr>
      <w:r>
        <w:rPr>
          <w:rFonts w:ascii="Times New Roman" w:hAnsi="Times New Roman"/>
          <w:b w:val="0"/>
          <w:i w:val="0"/>
          <w:sz w:val="22"/>
        </w:rPr>
        <w:t xml:space="preserve">  • NLOS Exclusion: LiDAR-NLOS satellites set weight = 0.</w:t>
      </w:r>
    </w:p>
    <w:p>
      <w:pPr>
        <w:spacing w:after="120" w:before="0"/>
        <w:ind w:left="283"/>
      </w:pPr>
      <w:r>
        <w:rPr>
          <w:rFonts w:ascii="Times New Roman" w:hAnsi="Times New Roman"/>
          <w:b w:val="0"/>
          <w:i w:val="0"/>
          <w:sz w:val="22"/>
        </w:rPr>
        <w:t xml:space="preserve">  • ΔL Correction: NLOS pseudoranges corrected by subtracting ΔL; weight × planarity × 0.1 following [5].</w:t>
      </w:r>
    </w:p>
    <w:p>
      <w:pPr>
        <w:spacing w:after="120" w:before="0"/>
      </w:pPr>
      <w:r>
        <w:rPr>
          <w:rFonts w:ascii="Times New Roman" w:hAnsi="Times New Roman"/>
          <w:b w:val="0"/>
          <w:i w:val="0"/>
          <w:sz w:val="22"/>
        </w:rPr>
        <w:t>Estimated positions are compared against ground-truth INSPVAX positions interpolated to each epoch (nearest-neighbour, ≤10 s tolerance). Horizontal (2-D) and 3-D errors in the ENU frame are reported.</w:t>
      </w:r>
    </w:p>
    <w:p>
      <w:pPr>
        <w:spacing w:before="240" w:after="80"/>
      </w:pPr>
      <w:r>
        <w:rPr>
          <w:rFonts w:ascii="Times New Roman" w:hAnsi="Times New Roman"/>
          <w:b/>
          <w:i w:val="0"/>
          <w:sz w:val="26"/>
        </w:rPr>
        <w:t>4. Experimental Setup</w:t>
      </w:r>
    </w:p>
    <w:p>
      <w:pPr>
        <w:spacing w:before="240" w:after="80"/>
      </w:pPr>
      <w:r>
        <w:rPr>
          <w:rFonts w:ascii="Times New Roman" w:hAnsi="Times New Roman"/>
          <w:b/>
          <w:i w:val="0"/>
          <w:color w:val="28508C"/>
          <w:sz w:val="22"/>
        </w:rPr>
        <w:t>4.1  Dataset</w:t>
      </w:r>
    </w:p>
    <w:p>
      <w:pPr>
        <w:spacing w:after="120" w:before="0"/>
      </w:pPr>
      <w:r>
        <w:rPr>
          <w:rFonts w:ascii="Times New Roman" w:hAnsi="Times New Roman"/>
          <w:b w:val="0"/>
          <w:i w:val="0"/>
          <w:sz w:val="22"/>
        </w:rPr>
        <w:t>Experiments use the publicly available UrbanNav Medium-Urban-1 dataset [2], collected on 17 May 2021 in the Tsim Sha Tsui district of Hong Kong (approximately 22.301°N, 114.179°E). The dataset provides:</w:t>
      </w:r>
    </w:p>
    <w:p>
      <w:pPr>
        <w:spacing w:after="120" w:before="0"/>
        <w:ind w:left="283"/>
      </w:pPr>
      <w:r>
        <w:rPr>
          <w:rFonts w:ascii="Times New Roman" w:hAnsi="Times New Roman"/>
          <w:b w:val="0"/>
          <w:i w:val="0"/>
          <w:sz w:val="22"/>
        </w:rPr>
        <w:t xml:space="preserve">  • GNSS raw observations: u-blox F9P, RINEX 3 format, GPS L1 C/A, 657 epochs at 1 Hz;</w:t>
      </w:r>
    </w:p>
    <w:p>
      <w:pPr>
        <w:spacing w:after="120" w:before="0"/>
        <w:ind w:left="283"/>
      </w:pPr>
      <w:r>
        <w:rPr>
          <w:rFonts w:ascii="Times New Roman" w:hAnsi="Times New Roman"/>
          <w:b w:val="0"/>
          <w:i w:val="0"/>
          <w:sz w:val="22"/>
        </w:rPr>
        <w:t xml:space="preserve">  • LiDAR: Velodyne VLP-16, 10 Hz, ROS bag format;</w:t>
      </w:r>
    </w:p>
    <w:p>
      <w:pPr>
        <w:spacing w:after="120" w:before="0"/>
        <w:ind w:left="283"/>
      </w:pPr>
      <w:r>
        <w:rPr>
          <w:rFonts w:ascii="Times New Roman" w:hAnsi="Times New Roman"/>
          <w:b w:val="0"/>
          <w:i w:val="0"/>
          <w:sz w:val="22"/>
        </w:rPr>
        <w:t xml:space="preserve">  • Ground truth: NovAtel SPAN (RTK/INS), 787 poses at 1 Hz, ~5 cm horizontal accuracy;</w:t>
      </w:r>
    </w:p>
    <w:p>
      <w:pPr>
        <w:spacing w:after="120" w:before="0"/>
        <w:ind w:left="283"/>
      </w:pPr>
      <w:r>
        <w:rPr>
          <w:rFonts w:ascii="Times New Roman" w:hAnsi="Times New Roman"/>
          <w:b w:val="0"/>
          <w:i w:val="0"/>
          <w:sz w:val="22"/>
        </w:rPr>
        <w:t xml:space="preserve">  • Reference NLOS labels: del2AINLOS [6], computed from double-difference GNSS residuals.</w:t>
      </w:r>
    </w:p>
    <w:p>
      <w:pPr>
        <w:spacing w:before="160"/>
      </w:pPr>
      <w:r>
        <w:rPr>
          <w:rFonts w:ascii="Times New Roman" w:hAnsi="Times New Roman"/>
          <w:b/>
          <w:i w:val="0"/>
          <w:sz w:val="20"/>
        </w:rPr>
        <w:t>Table 1. Dataset parameters.</w:t>
      </w:r>
    </w:p>
    <w:tbl>
      <w:tblPr>
        <w:tblStyle w:val="TableGrid"/>
        <w:tblW w:type="auto" w:w="0"/>
        <w:jc w:val="center"/>
        <w:tblLook w:firstColumn="1" w:firstRow="1" w:lastColumn="0" w:lastRow="0" w:noHBand="0" w:noVBand="1" w:val="04A0"/>
      </w:tblPr>
      <w:tblGrid>
        <w:gridCol w:w="4536"/>
        <w:gridCol w:w="4536"/>
      </w:tblGrid>
      <w:tr>
        <w:tc>
          <w:tcPr>
            <w:tcW w:type="dxa" w:w="4536"/>
            <w:shd w:fill="D6E4F0" w:val="clear"/>
          </w:tcPr>
          <w:p>
            <w:pPr>
              <w:jc w:val="center"/>
            </w:pPr>
            <w:r>
              <w:rPr>
                <w:rFonts w:ascii="Times New Roman" w:hAnsi="Times New Roman"/>
                <w:b/>
                <w:i w:val="0"/>
                <w:sz w:val="20"/>
              </w:rPr>
              <w:t>Parameter</w:t>
            </w:r>
          </w:p>
        </w:tc>
        <w:tc>
          <w:tcPr>
            <w:tcW w:type="dxa" w:w="4536"/>
            <w:shd w:fill="D6E4F0" w:val="clear"/>
          </w:tcPr>
          <w:p>
            <w:pPr>
              <w:jc w:val="center"/>
            </w:pPr>
            <w:r>
              <w:rPr>
                <w:rFonts w:ascii="Times New Roman" w:hAnsi="Times New Roman"/>
                <w:b/>
                <w:i w:val="0"/>
                <w:sz w:val="20"/>
              </w:rPr>
              <w:t>Value</w:t>
            </w:r>
          </w:p>
        </w:tc>
      </w:tr>
      <w:tr>
        <w:tc>
          <w:tcPr>
            <w:tcW w:type="dxa" w:w="4536"/>
          </w:tcPr>
          <w:p>
            <w:pPr>
              <w:jc w:val="center"/>
            </w:pPr>
            <w:r>
              <w:rPr>
                <w:rFonts w:ascii="Times New Roman" w:hAnsi="Times New Roman"/>
                <w:b w:val="0"/>
                <w:i w:val="0"/>
                <w:sz w:val="20"/>
              </w:rPr>
              <w:t>Dataset</w:t>
            </w:r>
          </w:p>
        </w:tc>
        <w:tc>
          <w:tcPr>
            <w:tcW w:type="dxa" w:w="4536"/>
          </w:tcPr>
          <w:p>
            <w:pPr>
              <w:jc w:val="center"/>
            </w:pPr>
            <w:r>
              <w:rPr>
                <w:rFonts w:ascii="Times New Roman" w:hAnsi="Times New Roman"/>
                <w:b w:val="0"/>
                <w:i w:val="0"/>
                <w:sz w:val="20"/>
              </w:rPr>
              <w:t>UrbanNav Medium-Urban-1</w:t>
            </w:r>
          </w:p>
        </w:tc>
      </w:tr>
      <w:tr>
        <w:tc>
          <w:tcPr>
            <w:tcW w:type="dxa" w:w="4536"/>
          </w:tcPr>
          <w:p>
            <w:pPr>
              <w:jc w:val="center"/>
            </w:pPr>
            <w:r>
              <w:rPr>
                <w:rFonts w:ascii="Times New Roman" w:hAnsi="Times New Roman"/>
                <w:b w:val="0"/>
                <w:i w:val="0"/>
                <w:sz w:val="20"/>
              </w:rPr>
              <w:t>Location</w:t>
            </w:r>
          </w:p>
        </w:tc>
        <w:tc>
          <w:tcPr>
            <w:tcW w:type="dxa" w:w="4536"/>
          </w:tcPr>
          <w:p>
            <w:pPr>
              <w:jc w:val="center"/>
            </w:pPr>
            <w:r>
              <w:rPr>
                <w:rFonts w:ascii="Times New Roman" w:hAnsi="Times New Roman"/>
                <w:b w:val="0"/>
                <w:i w:val="0"/>
                <w:sz w:val="20"/>
              </w:rPr>
              <w:t>Tsim Sha Tsui, Hong Kong</w:t>
            </w:r>
          </w:p>
        </w:tc>
      </w:tr>
      <w:tr>
        <w:tc>
          <w:tcPr>
            <w:tcW w:type="dxa" w:w="4536"/>
          </w:tcPr>
          <w:p>
            <w:pPr>
              <w:jc w:val="center"/>
            </w:pPr>
            <w:r>
              <w:rPr>
                <w:rFonts w:ascii="Times New Roman" w:hAnsi="Times New Roman"/>
                <w:b w:val="0"/>
                <w:i w:val="0"/>
                <w:sz w:val="20"/>
              </w:rPr>
              <w:t>Date</w:t>
            </w:r>
          </w:p>
        </w:tc>
        <w:tc>
          <w:tcPr>
            <w:tcW w:type="dxa" w:w="4536"/>
          </w:tcPr>
          <w:p>
            <w:pPr>
              <w:jc w:val="center"/>
            </w:pPr>
            <w:r>
              <w:rPr>
                <w:rFonts w:ascii="Times New Roman" w:hAnsi="Times New Roman"/>
                <w:b w:val="0"/>
                <w:i w:val="0"/>
                <w:sz w:val="20"/>
              </w:rPr>
              <w:t>2021-05-17, 02:33–02:46 UTC</w:t>
            </w:r>
          </w:p>
        </w:tc>
      </w:tr>
      <w:tr>
        <w:tc>
          <w:tcPr>
            <w:tcW w:type="dxa" w:w="4536"/>
          </w:tcPr>
          <w:p>
            <w:pPr>
              <w:jc w:val="center"/>
            </w:pPr>
            <w:r>
              <w:rPr>
                <w:rFonts w:ascii="Times New Roman" w:hAnsi="Times New Roman"/>
                <w:b w:val="0"/>
                <w:i w:val="0"/>
                <w:sz w:val="20"/>
              </w:rPr>
              <w:t>GNSS receiver</w:t>
            </w:r>
          </w:p>
        </w:tc>
        <w:tc>
          <w:tcPr>
            <w:tcW w:type="dxa" w:w="4536"/>
          </w:tcPr>
          <w:p>
            <w:pPr>
              <w:jc w:val="center"/>
            </w:pPr>
            <w:r>
              <w:rPr>
                <w:rFonts w:ascii="Times New Roman" w:hAnsi="Times New Roman"/>
                <w:b w:val="0"/>
                <w:i w:val="0"/>
                <w:sz w:val="20"/>
              </w:rPr>
              <w:t>u-blox F9P (GPS L1 C/A)</w:t>
            </w:r>
          </w:p>
        </w:tc>
      </w:tr>
      <w:tr>
        <w:tc>
          <w:tcPr>
            <w:tcW w:type="dxa" w:w="4536"/>
          </w:tcPr>
          <w:p>
            <w:pPr>
              <w:jc w:val="center"/>
            </w:pPr>
            <w:r>
              <w:rPr>
                <w:rFonts w:ascii="Times New Roman" w:hAnsi="Times New Roman"/>
                <w:b w:val="0"/>
                <w:i w:val="0"/>
                <w:sz w:val="20"/>
              </w:rPr>
              <w:t>LiDAR</w:t>
            </w:r>
          </w:p>
        </w:tc>
        <w:tc>
          <w:tcPr>
            <w:tcW w:type="dxa" w:w="4536"/>
          </w:tcPr>
          <w:p>
            <w:pPr>
              <w:jc w:val="center"/>
            </w:pPr>
            <w:r>
              <w:rPr>
                <w:rFonts w:ascii="Times New Roman" w:hAnsi="Times New Roman"/>
                <w:b w:val="0"/>
                <w:i w:val="0"/>
                <w:sz w:val="20"/>
              </w:rPr>
              <w:t>Velodyne VLP-16</w:t>
            </w:r>
          </w:p>
        </w:tc>
      </w:tr>
      <w:tr>
        <w:tc>
          <w:tcPr>
            <w:tcW w:type="dxa" w:w="4536"/>
          </w:tcPr>
          <w:p>
            <w:pPr>
              <w:jc w:val="center"/>
            </w:pPr>
            <w:r>
              <w:rPr>
                <w:rFonts w:ascii="Times New Roman" w:hAnsi="Times New Roman"/>
                <w:b w:val="0"/>
                <w:i w:val="0"/>
                <w:sz w:val="20"/>
              </w:rPr>
              <w:t>Ground truth</w:t>
            </w:r>
          </w:p>
        </w:tc>
        <w:tc>
          <w:tcPr>
            <w:tcW w:type="dxa" w:w="4536"/>
          </w:tcPr>
          <w:p>
            <w:pPr>
              <w:jc w:val="center"/>
            </w:pPr>
            <w:r>
              <w:rPr>
                <w:rFonts w:ascii="Times New Roman" w:hAnsi="Times New Roman"/>
                <w:b w:val="0"/>
                <w:i w:val="0"/>
                <w:sz w:val="20"/>
              </w:rPr>
              <w:t>NovAtel INSPVAX (RTK/INS, ~5 cm)</w:t>
            </w:r>
          </w:p>
        </w:tc>
      </w:tr>
      <w:tr>
        <w:tc>
          <w:tcPr>
            <w:tcW w:type="dxa" w:w="4536"/>
          </w:tcPr>
          <w:p>
            <w:pPr>
              <w:jc w:val="center"/>
            </w:pPr>
            <w:r>
              <w:rPr>
                <w:rFonts w:ascii="Times New Roman" w:hAnsi="Times New Roman"/>
                <w:b w:val="0"/>
                <w:i w:val="0"/>
                <w:sz w:val="20"/>
              </w:rPr>
              <w:t>RINEX epochs</w:t>
            </w:r>
          </w:p>
        </w:tc>
        <w:tc>
          <w:tcPr>
            <w:tcW w:type="dxa" w:w="4536"/>
          </w:tcPr>
          <w:p>
            <w:pPr>
              <w:jc w:val="center"/>
            </w:pPr>
            <w:r>
              <w:rPr>
                <w:rFonts w:ascii="Times New Roman" w:hAnsi="Times New Roman"/>
                <w:b w:val="0"/>
                <w:i w:val="0"/>
                <w:sz w:val="20"/>
              </w:rPr>
              <w:t>657</w:t>
            </w:r>
          </w:p>
        </w:tc>
      </w:tr>
      <w:tr>
        <w:tc>
          <w:tcPr>
            <w:tcW w:type="dxa" w:w="4536"/>
          </w:tcPr>
          <w:p>
            <w:pPr>
              <w:jc w:val="center"/>
            </w:pPr>
            <w:r>
              <w:rPr>
                <w:rFonts w:ascii="Times New Roman" w:hAnsi="Times New Roman"/>
                <w:b w:val="0"/>
                <w:i w:val="0"/>
                <w:sz w:val="20"/>
              </w:rPr>
              <w:t>GT poses</w:t>
            </w:r>
          </w:p>
        </w:tc>
        <w:tc>
          <w:tcPr>
            <w:tcW w:type="dxa" w:w="4536"/>
          </w:tcPr>
          <w:p>
            <w:pPr>
              <w:jc w:val="center"/>
            </w:pPr>
            <w:r>
              <w:rPr>
                <w:rFonts w:ascii="Times New Roman" w:hAnsi="Times New Roman"/>
                <w:b w:val="0"/>
                <w:i w:val="0"/>
                <w:sz w:val="20"/>
              </w:rPr>
              <w:t>787 @ 1 Hz</w:t>
            </w:r>
          </w:p>
        </w:tc>
      </w:tr>
      <w:tr>
        <w:tc>
          <w:tcPr>
            <w:tcW w:type="dxa" w:w="4536"/>
          </w:tcPr>
          <w:p>
            <w:pPr>
              <w:jc w:val="center"/>
            </w:pPr>
            <w:r>
              <w:rPr>
                <w:rFonts w:ascii="Times New Roman" w:hAnsi="Times New Roman"/>
                <w:b w:val="0"/>
                <w:i w:val="0"/>
                <w:sz w:val="20"/>
              </w:rPr>
              <w:t>Approx. position</w:t>
            </w:r>
          </w:p>
        </w:tc>
        <w:tc>
          <w:tcPr>
            <w:tcW w:type="dxa" w:w="4536"/>
          </w:tcPr>
          <w:p>
            <w:pPr>
              <w:jc w:val="center"/>
            </w:pPr>
            <w:r>
              <w:rPr>
                <w:rFonts w:ascii="Times New Roman" w:hAnsi="Times New Roman"/>
                <w:b w:val="0"/>
                <w:i w:val="0"/>
                <w:sz w:val="20"/>
              </w:rPr>
              <w:t>22.301°N, 114.179°E, ~3.5 m</w:t>
            </w:r>
          </w:p>
        </w:tc>
      </w:tr>
    </w:tbl>
    <w:p/>
    <w:p>
      <w:pPr>
        <w:spacing w:before="240" w:after="80"/>
      </w:pPr>
      <w:r>
        <w:rPr>
          <w:rFonts w:ascii="Times New Roman" w:hAnsi="Times New Roman"/>
          <w:b/>
          <w:i w:val="0"/>
          <w:color w:val="28508C"/>
          <w:sz w:val="22"/>
        </w:rPr>
        <w:t>4.2  Software and Implementation</w:t>
      </w:r>
    </w:p>
    <w:p>
      <w:pPr>
        <w:spacing w:after="120" w:before="0"/>
      </w:pPr>
      <w:r>
        <w:rPr>
          <w:rFonts w:ascii="Times New Roman" w:hAnsi="Times New Roman"/>
          <w:b w:val="0"/>
          <w:i w:val="0"/>
          <w:sz w:val="22"/>
        </w:rPr>
        <w:t>The pipeline is implemented in Python 3 and ROS Noetic (Docker container). Key libraries: NumPy, SciPy (KD-tree, WLS), Open3D (voxel downsampling), and rinex_utils (RINEX parsing, satellite position, del2AINLOS package). All scripts are open-sourced at: https://github.com/phyllis-TANG/gnss_ws (branch: claude/review-gnss-spp-JmtgD).</w:t>
      </w:r>
    </w:p>
    <w:p>
      <w:pPr>
        <w:spacing w:before="240" w:after="80"/>
      </w:pPr>
      <w:r>
        <w:rPr>
          <w:rFonts w:ascii="Times New Roman" w:hAnsi="Times New Roman"/>
          <w:b/>
          <w:i w:val="0"/>
          <w:color w:val="28508C"/>
          <w:sz w:val="22"/>
        </w:rPr>
        <w:t>4.3  Evaluation Metrics</w:t>
      </w:r>
    </w:p>
    <w:p>
      <w:pPr>
        <w:spacing w:after="120" w:before="0"/>
      </w:pPr>
      <w:r>
        <w:rPr>
          <w:rFonts w:ascii="Times New Roman" w:hAnsi="Times New Roman"/>
          <w:b w:val="0"/>
          <w:i w:val="0"/>
          <w:sz w:val="22"/>
        </w:rPr>
        <w:t>NLOS detection: Precision, Recall, F1-score against del2AINLOS labels. SPP accuracy: mean horizontal error, RMS, 50th and 95th percentiles. Statistical robustness of ΔL estimates is assessed by comparing the full dataset against the planarity ≥ 0.5 subset.</w:t>
      </w:r>
    </w:p>
    <w:p>
      <w:pPr>
        <w:spacing w:before="240" w:after="80"/>
      </w:pPr>
      <w:r>
        <w:rPr>
          <w:rFonts w:ascii="Times New Roman" w:hAnsi="Times New Roman"/>
          <w:b/>
          <w:i w:val="0"/>
          <w:sz w:val="26"/>
        </w:rPr>
        <w:t>5. Results and Discussion</w:t>
      </w:r>
    </w:p>
    <w:p>
      <w:pPr>
        <w:spacing w:before="240" w:after="80"/>
      </w:pPr>
      <w:r>
        <w:rPr>
          <w:rFonts w:ascii="Times New Roman" w:hAnsi="Times New Roman"/>
          <w:b/>
          <w:i w:val="0"/>
          <w:color w:val="28508C"/>
          <w:sz w:val="22"/>
        </w:rPr>
        <w:t>5.1  NLOS Detection Performance (Step 4 vs del2AINLOS)</w:t>
      </w:r>
    </w:p>
    <w:p>
      <w:pPr>
        <w:spacing w:after="120" w:before="0"/>
      </w:pPr>
      <w:r>
        <w:rPr>
          <w:rFonts w:ascii="Times New Roman" w:hAnsi="Times New Roman"/>
          <w:b w:val="0"/>
          <w:i w:val="0"/>
          <w:sz w:val="22"/>
        </w:rPr>
        <w:t>Ray-casting on the offline LiDAR map yields an overall NLOS rate of 66.5% (2753/4140 satellite-epoch pairs). Compared against del2AINLOS labels, the confusion matrix is shown in Table 2.</w:t>
      </w:r>
    </w:p>
    <w:p>
      <w:pPr>
        <w:spacing w:before="160"/>
      </w:pPr>
      <w:r>
        <w:rPr>
          <w:rFonts w:ascii="Times New Roman" w:hAnsi="Times New Roman"/>
          <w:b/>
          <w:i w:val="0"/>
          <w:sz w:val="20"/>
        </w:rPr>
        <w:t>Table 2. LiDAR NLOS detection vs del2AINLOS labels (all elevations).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6E4F0" w:val="clear"/>
          </w:tcPr>
          <w:p>
            <w:pPr>
              <w:jc w:val="center"/>
            </w:pPr>
            <w:r>
              <w:rPr>
                <w:rFonts w:ascii="Times New Roman" w:hAnsi="Times New Roman"/>
                <w:b/>
                <w:i w:val="0"/>
                <w:sz w:val="20"/>
              </w:rPr>
              <w:t>Metric</w:t>
            </w:r>
          </w:p>
        </w:tc>
        <w:tc>
          <w:tcPr>
            <w:tcW w:type="dxa" w:w="3024"/>
            <w:shd w:fill="D6E4F0" w:val="clear"/>
          </w:tcPr>
          <w:p>
            <w:pPr>
              <w:jc w:val="center"/>
            </w:pPr>
            <w:r>
              <w:rPr>
                <w:rFonts w:ascii="Times New Roman" w:hAnsi="Times New Roman"/>
                <w:b/>
                <w:i w:val="0"/>
                <w:sz w:val="20"/>
              </w:rPr>
              <w:t>Value</w:t>
            </w:r>
          </w:p>
        </w:tc>
        <w:tc>
          <w:tcPr>
            <w:tcW w:type="dxa" w:w="3024"/>
            <w:shd w:fill="D6E4F0" w:val="clear"/>
          </w:tcPr>
          <w:p>
            <w:pPr>
              <w:jc w:val="center"/>
            </w:pPr>
            <w:r>
              <w:rPr>
                <w:rFonts w:ascii="Times New Roman" w:hAnsi="Times New Roman"/>
                <w:b/>
                <w:i w:val="0"/>
                <w:sz w:val="20"/>
              </w:rPr>
              <w:t>Interpretation</w:t>
            </w:r>
          </w:p>
        </w:tc>
      </w:tr>
      <w:tr>
        <w:tc>
          <w:tcPr>
            <w:tcW w:type="dxa" w:w="3024"/>
          </w:tcPr>
          <w:p>
            <w:pPr>
              <w:jc w:val="center"/>
            </w:pPr>
            <w:r>
              <w:rPr>
                <w:rFonts w:ascii="Times New Roman" w:hAnsi="Times New Roman"/>
                <w:b w:val="0"/>
                <w:i w:val="0"/>
                <w:sz w:val="20"/>
              </w:rPr>
              <w:t>True Positives (TP)</w:t>
            </w:r>
          </w:p>
        </w:tc>
        <w:tc>
          <w:tcPr>
            <w:tcW w:type="dxa" w:w="3024"/>
          </w:tcPr>
          <w:p>
            <w:pPr>
              <w:jc w:val="center"/>
            </w:pPr>
            <w:r>
              <w:rPr>
                <w:rFonts w:ascii="Times New Roman" w:hAnsi="Times New Roman"/>
                <w:b w:val="0"/>
                <w:i w:val="0"/>
                <w:sz w:val="20"/>
              </w:rPr>
              <w:t>1091</w:t>
            </w:r>
          </w:p>
        </w:tc>
        <w:tc>
          <w:tcPr>
            <w:tcW w:type="dxa" w:w="3024"/>
          </w:tcPr>
          <w:p>
            <w:pPr>
              <w:jc w:val="center"/>
            </w:pPr>
            <w:r>
              <w:rPr>
                <w:rFonts w:ascii="Times New Roman" w:hAnsi="Times New Roman"/>
                <w:b w:val="0"/>
                <w:i w:val="0"/>
                <w:sz w:val="20"/>
              </w:rPr>
              <w:t>LiDAR NLOS ∩ del2 NLOS</w:t>
            </w:r>
          </w:p>
        </w:tc>
      </w:tr>
      <w:tr>
        <w:tc>
          <w:tcPr>
            <w:tcW w:type="dxa" w:w="3024"/>
          </w:tcPr>
          <w:p>
            <w:pPr>
              <w:jc w:val="center"/>
            </w:pPr>
            <w:r>
              <w:rPr>
                <w:rFonts w:ascii="Times New Roman" w:hAnsi="Times New Roman"/>
                <w:b w:val="0"/>
                <w:i w:val="0"/>
                <w:sz w:val="20"/>
              </w:rPr>
              <w:t>False Positives (FP)</w:t>
            </w:r>
          </w:p>
        </w:tc>
        <w:tc>
          <w:tcPr>
            <w:tcW w:type="dxa" w:w="3024"/>
          </w:tcPr>
          <w:p>
            <w:pPr>
              <w:jc w:val="center"/>
            </w:pPr>
            <w:r>
              <w:rPr>
                <w:rFonts w:ascii="Times New Roman" w:hAnsi="Times New Roman"/>
                <w:b w:val="0"/>
                <w:i w:val="0"/>
                <w:sz w:val="20"/>
              </w:rPr>
              <w:t>1312</w:t>
            </w:r>
          </w:p>
        </w:tc>
        <w:tc>
          <w:tcPr>
            <w:tcW w:type="dxa" w:w="3024"/>
          </w:tcPr>
          <w:p>
            <w:pPr>
              <w:jc w:val="center"/>
            </w:pPr>
            <w:r>
              <w:rPr>
                <w:rFonts w:ascii="Times New Roman" w:hAnsi="Times New Roman"/>
                <w:b w:val="0"/>
                <w:i w:val="0"/>
                <w:sz w:val="20"/>
              </w:rPr>
              <w:t>LiDAR NLOS, del2 LOS (over-detection)</w:t>
            </w:r>
          </w:p>
        </w:tc>
      </w:tr>
      <w:tr>
        <w:tc>
          <w:tcPr>
            <w:tcW w:type="dxa" w:w="3024"/>
          </w:tcPr>
          <w:p>
            <w:pPr>
              <w:jc w:val="center"/>
            </w:pPr>
            <w:r>
              <w:rPr>
                <w:rFonts w:ascii="Times New Roman" w:hAnsi="Times New Roman"/>
                <w:b w:val="0"/>
                <w:i w:val="0"/>
                <w:sz w:val="20"/>
              </w:rPr>
              <w:t>False Negatives (FN)</w:t>
            </w:r>
          </w:p>
        </w:tc>
        <w:tc>
          <w:tcPr>
            <w:tcW w:type="dxa" w:w="3024"/>
          </w:tcPr>
          <w:p>
            <w:pPr>
              <w:jc w:val="center"/>
            </w:pPr>
            <w:r>
              <w:rPr>
                <w:rFonts w:ascii="Times New Roman" w:hAnsi="Times New Roman"/>
                <w:b w:val="0"/>
                <w:i w:val="0"/>
                <w:sz w:val="20"/>
              </w:rPr>
              <w:t>307</w:t>
            </w:r>
          </w:p>
        </w:tc>
        <w:tc>
          <w:tcPr>
            <w:tcW w:type="dxa" w:w="3024"/>
          </w:tcPr>
          <w:p>
            <w:pPr>
              <w:jc w:val="center"/>
            </w:pPr>
            <w:r>
              <w:rPr>
                <w:rFonts w:ascii="Times New Roman" w:hAnsi="Times New Roman"/>
                <w:b w:val="0"/>
                <w:i w:val="0"/>
                <w:sz w:val="20"/>
              </w:rPr>
              <w:t>LiDAR LOS, del2 NLOS (under-detection)</w:t>
            </w:r>
          </w:p>
        </w:tc>
      </w:tr>
      <w:tr>
        <w:tc>
          <w:tcPr>
            <w:tcW w:type="dxa" w:w="3024"/>
          </w:tcPr>
          <w:p>
            <w:pPr>
              <w:jc w:val="center"/>
            </w:pPr>
            <w:r>
              <w:rPr>
                <w:rFonts w:ascii="Times New Roman" w:hAnsi="Times New Roman"/>
                <w:b w:val="0"/>
                <w:i w:val="0"/>
                <w:sz w:val="20"/>
              </w:rPr>
              <w:t>True Negatives (TN)</w:t>
            </w:r>
          </w:p>
        </w:tc>
        <w:tc>
          <w:tcPr>
            <w:tcW w:type="dxa" w:w="3024"/>
          </w:tcPr>
          <w:p>
            <w:pPr>
              <w:jc w:val="center"/>
            </w:pPr>
            <w:r>
              <w:rPr>
                <w:rFonts w:ascii="Times New Roman" w:hAnsi="Times New Roman"/>
                <w:b w:val="0"/>
                <w:i w:val="0"/>
                <w:sz w:val="20"/>
              </w:rPr>
              <w:t>633</w:t>
            </w:r>
          </w:p>
        </w:tc>
        <w:tc>
          <w:tcPr>
            <w:tcW w:type="dxa" w:w="3024"/>
          </w:tcPr>
          <w:p>
            <w:pPr>
              <w:jc w:val="center"/>
            </w:pPr>
            <w:r>
              <w:rPr>
                <w:rFonts w:ascii="Times New Roman" w:hAnsi="Times New Roman"/>
                <w:b w:val="0"/>
                <w:i w:val="0"/>
                <w:sz w:val="20"/>
              </w:rPr>
              <w:t>LiDAR LOS ∩ del2 LOS</w:t>
            </w:r>
          </w:p>
        </w:tc>
      </w:tr>
      <w:tr>
        <w:tc>
          <w:tcPr>
            <w:tcW w:type="dxa" w:w="3024"/>
          </w:tcPr>
          <w:p>
            <w:pPr>
              <w:jc w:val="center"/>
            </w:pPr>
            <w:r>
              <w:rPr>
                <w:rFonts w:ascii="Times New Roman" w:hAnsi="Times New Roman"/>
                <w:b w:val="0"/>
                <w:i w:val="0"/>
                <w:sz w:val="20"/>
              </w:rPr>
              <w:t>Precision</w:t>
            </w:r>
          </w:p>
        </w:tc>
        <w:tc>
          <w:tcPr>
            <w:tcW w:type="dxa" w:w="3024"/>
          </w:tcPr>
          <w:p>
            <w:pPr>
              <w:jc w:val="center"/>
            </w:pPr>
            <w:r>
              <w:rPr>
                <w:rFonts w:ascii="Times New Roman" w:hAnsi="Times New Roman"/>
                <w:b w:val="0"/>
                <w:i w:val="0"/>
                <w:sz w:val="20"/>
              </w:rPr>
              <w:t>0.454</w:t>
            </w:r>
          </w:p>
        </w:tc>
        <w:tc>
          <w:tcPr>
            <w:tcW w:type="dxa" w:w="3024"/>
          </w:tcPr>
          <w:p>
            <w:pPr>
              <w:jc w:val="center"/>
            </w:pPr>
            <w:r>
              <w:rPr>
                <w:rFonts w:ascii="Times New Roman" w:hAnsi="Times New Roman"/>
                <w:b w:val="0"/>
                <w:i w:val="0"/>
                <w:sz w:val="20"/>
              </w:rPr>
              <w:t>—</w:t>
            </w:r>
          </w:p>
        </w:tc>
      </w:tr>
      <w:tr>
        <w:tc>
          <w:tcPr>
            <w:tcW w:type="dxa" w:w="3024"/>
          </w:tcPr>
          <w:p>
            <w:pPr>
              <w:jc w:val="center"/>
            </w:pPr>
            <w:r>
              <w:rPr>
                <w:rFonts w:ascii="Times New Roman" w:hAnsi="Times New Roman"/>
                <w:b w:val="0"/>
                <w:i w:val="0"/>
                <w:sz w:val="20"/>
              </w:rPr>
              <w:t>Recall</w:t>
            </w:r>
          </w:p>
        </w:tc>
        <w:tc>
          <w:tcPr>
            <w:tcW w:type="dxa" w:w="3024"/>
          </w:tcPr>
          <w:p>
            <w:pPr>
              <w:jc w:val="center"/>
            </w:pPr>
            <w:r>
              <w:rPr>
                <w:rFonts w:ascii="Times New Roman" w:hAnsi="Times New Roman"/>
                <w:b w:val="0"/>
                <w:i w:val="0"/>
                <w:sz w:val="20"/>
              </w:rPr>
              <w:t>0.780</w:t>
            </w:r>
          </w:p>
        </w:tc>
        <w:tc>
          <w:tcPr>
            <w:tcW w:type="dxa" w:w="3024"/>
          </w:tcPr>
          <w:p>
            <w:pPr>
              <w:jc w:val="center"/>
            </w:pPr>
            <w:r>
              <w:rPr>
                <w:rFonts w:ascii="Times New Roman" w:hAnsi="Times New Roman"/>
                <w:b w:val="0"/>
                <w:i w:val="0"/>
                <w:sz w:val="20"/>
              </w:rPr>
              <w:t>—</w:t>
            </w:r>
          </w:p>
        </w:tc>
      </w:tr>
      <w:tr>
        <w:tc>
          <w:tcPr>
            <w:tcW w:type="dxa" w:w="3024"/>
          </w:tcPr>
          <w:p>
            <w:pPr>
              <w:jc w:val="center"/>
            </w:pPr>
            <w:r>
              <w:rPr>
                <w:rFonts w:ascii="Times New Roman" w:hAnsi="Times New Roman"/>
                <w:b w:val="0"/>
                <w:i w:val="0"/>
                <w:sz w:val="20"/>
              </w:rPr>
              <w:t>F1-score</w:t>
            </w:r>
          </w:p>
        </w:tc>
        <w:tc>
          <w:tcPr>
            <w:tcW w:type="dxa" w:w="3024"/>
          </w:tcPr>
          <w:p>
            <w:pPr>
              <w:jc w:val="center"/>
            </w:pPr>
            <w:r>
              <w:rPr>
                <w:rFonts w:ascii="Times New Roman" w:hAnsi="Times New Roman"/>
                <w:b w:val="0"/>
                <w:i w:val="0"/>
                <w:sz w:val="20"/>
              </w:rPr>
              <w:t>0.574</w:t>
            </w:r>
          </w:p>
        </w:tc>
        <w:tc>
          <w:tcPr>
            <w:tcW w:type="dxa" w:w="3024"/>
          </w:tcPr>
          <w:p>
            <w:pPr>
              <w:jc w:val="center"/>
            </w:pPr>
            <w:r>
              <w:rPr>
                <w:rFonts w:ascii="Times New Roman" w:hAnsi="Times New Roman"/>
                <w:b w:val="0"/>
                <w:i w:val="0"/>
                <w:sz w:val="20"/>
              </w:rPr>
              <w:t>—</w:t>
            </w:r>
          </w:p>
        </w:tc>
      </w:tr>
    </w:tbl>
    <w:p/>
    <w:p>
      <w:pPr>
        <w:spacing w:after="120" w:before="0"/>
      </w:pPr>
      <w:r>
        <w:rPr>
          <w:rFonts w:ascii="Times New Roman" w:hAnsi="Times New Roman"/>
          <w:b w:val="0"/>
          <w:i w:val="0"/>
          <w:sz w:val="22"/>
        </w:rPr>
        <w:t>The high recall (0.780) indicates the LiDAR detector rarely misses true NLOS signals, but the low precision (0.454) reveals substantial over-detection. Per-elevation analysis (Fig. 3) shows that F1 degrades to 0.242 for satellites above 45°, where the offline accumulated map predicts NLOS due to distant structures not present in the real-time environment. This is consistent with the known limitation of offline maps noted in [4]: accumulated point clouds include building surfaces beyond the instantaneous LiDAR field of view, causing false NLOS predictions for high-elevation satellites.</w:t>
      </w:r>
    </w:p>
    <w:p>
      <w:pPr>
        <w:spacing w:after="80"/>
        <w:ind w:left="567"/>
      </w:pPr>
      <w:r>
        <w:rPr>
          <w:rFonts w:ascii="Times New Roman" w:hAnsi="Times New Roman"/>
          <w:b w:val="0"/>
          <w:i/>
          <w:color w:val="787878"/>
          <w:sz w:val="19"/>
        </w:rPr>
        <w:t>【草稿注】[Fig. 3] 仰角分箱的 Precision/Recall/F1 柱状图 + 混淆矩阵热力图</w:t>
      </w:r>
    </w:p>
    <w:p>
      <w:pPr>
        <w:spacing w:before="240" w:after="80"/>
      </w:pPr>
      <w:r>
        <w:rPr>
          <w:rFonts w:ascii="Times New Roman" w:hAnsi="Times New Roman"/>
          <w:b/>
          <w:i w:val="0"/>
          <w:color w:val="28508C"/>
          <w:sz w:val="22"/>
        </w:rPr>
        <w:t>5.2  Reflection Geometry and ΔL Distribution (Step 6)</w:t>
      </w:r>
    </w:p>
    <w:p>
      <w:pPr>
        <w:spacing w:after="120" w:before="0"/>
      </w:pPr>
      <w:r>
        <w:rPr>
          <w:rFonts w:ascii="Times New Roman" w:hAnsi="Times New Roman"/>
          <w:b w:val="0"/>
          <w:i w:val="0"/>
          <w:sz w:val="22"/>
        </w:rPr>
        <w:t>Surface normal estimation succeeds for 99.9% of NLOS satellite-epoch pairs (2750/2753), but 41.3% of estimates have planarity &lt; 0.5, flagging unreliable normals at building edges, vehicle rooftops, and vegetation. The estimated ΔL distribution (Table 3, Fig. 4) is dominated by the "strong" multipath category (2–10 m, 67.9%), consistent with urban-canyon multipath delay statistics reported by Steingass and Lehner [12] for Munich. Robustness is confirmed by restricting to planarity ≥ 0.5: the mean changes by only 0.03 m (6.70 → 6.67 m) and the severity fractions shift by &lt; 0.3 percentage points, indicating that unreliable normal estimates introduce random rather than systematic error.</w:t>
      </w:r>
    </w:p>
    <w:p>
      <w:pPr>
        <w:spacing w:before="160"/>
      </w:pPr>
      <w:r>
        <w:rPr>
          <w:rFonts w:ascii="Times New Roman" w:hAnsi="Times New Roman"/>
          <w:b/>
          <w:i w:val="0"/>
          <w:sz w:val="20"/>
        </w:rPr>
        <w:t>Table 3. Multipath severity distribution from geometric ΔL estimates.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D6E4F0" w:val="clear"/>
          </w:tcPr>
          <w:p>
            <w:pPr>
              <w:jc w:val="center"/>
            </w:pPr>
            <w:r>
              <w:rPr>
                <w:rFonts w:ascii="Times New Roman" w:hAnsi="Times New Roman"/>
                <w:b/>
                <w:i w:val="0"/>
                <w:sz w:val="20"/>
              </w:rPr>
              <w:t>Category</w:t>
            </w:r>
          </w:p>
        </w:tc>
        <w:tc>
          <w:tcPr>
            <w:tcW w:type="dxa" w:w="1814"/>
            <w:shd w:fill="D6E4F0" w:val="clear"/>
          </w:tcPr>
          <w:p>
            <w:pPr>
              <w:jc w:val="center"/>
            </w:pPr>
            <w:r>
              <w:rPr>
                <w:rFonts w:ascii="Times New Roman" w:hAnsi="Times New Roman"/>
                <w:b/>
                <w:i w:val="0"/>
                <w:sz w:val="20"/>
              </w:rPr>
              <w:t>ΔL Range</w:t>
            </w:r>
          </w:p>
        </w:tc>
        <w:tc>
          <w:tcPr>
            <w:tcW w:type="dxa" w:w="1814"/>
            <w:shd w:fill="D6E4F0" w:val="clear"/>
          </w:tcPr>
          <w:p>
            <w:pPr>
              <w:jc w:val="center"/>
            </w:pPr>
            <w:r>
              <w:rPr>
                <w:rFonts w:ascii="Times New Roman" w:hAnsi="Times New Roman"/>
                <w:b/>
                <w:i w:val="0"/>
                <w:sz w:val="20"/>
              </w:rPr>
              <w:t>Count</w:t>
            </w:r>
          </w:p>
        </w:tc>
        <w:tc>
          <w:tcPr>
            <w:tcW w:type="dxa" w:w="1814"/>
            <w:shd w:fill="D6E4F0" w:val="clear"/>
          </w:tcPr>
          <w:p>
            <w:pPr>
              <w:jc w:val="center"/>
            </w:pPr>
            <w:r>
              <w:rPr>
                <w:rFonts w:ascii="Times New Roman" w:hAnsi="Times New Roman"/>
                <w:b/>
                <w:i w:val="0"/>
                <w:sz w:val="20"/>
              </w:rPr>
              <w:t>Fraction</w:t>
            </w:r>
          </w:p>
        </w:tc>
        <w:tc>
          <w:tcPr>
            <w:tcW w:type="dxa" w:w="1814"/>
            <w:shd w:fill="D6E4F0" w:val="clear"/>
          </w:tcPr>
          <w:p>
            <w:pPr>
              <w:jc w:val="center"/>
            </w:pPr>
            <w:r>
              <w:rPr>
                <w:rFonts w:ascii="Times New Roman" w:hAnsi="Times New Roman"/>
                <w:b/>
                <w:i w:val="0"/>
                <w:sz w:val="20"/>
              </w:rPr>
              <w:t>Physical Implication</w:t>
            </w:r>
          </w:p>
        </w:tc>
      </w:tr>
      <w:tr>
        <w:tc>
          <w:tcPr>
            <w:tcW w:type="dxa" w:w="1814"/>
          </w:tcPr>
          <w:p>
            <w:pPr>
              <w:jc w:val="center"/>
            </w:pPr>
            <w:r>
              <w:rPr>
                <w:rFonts w:ascii="Times New Roman" w:hAnsi="Times New Roman"/>
                <w:b w:val="0"/>
                <w:i w:val="0"/>
                <w:sz w:val="20"/>
              </w:rPr>
              <w:t>mild</w:t>
            </w:r>
          </w:p>
        </w:tc>
        <w:tc>
          <w:tcPr>
            <w:tcW w:type="dxa" w:w="1814"/>
          </w:tcPr>
          <w:p>
            <w:pPr>
              <w:jc w:val="center"/>
            </w:pPr>
            <w:r>
              <w:rPr>
                <w:rFonts w:ascii="Times New Roman" w:hAnsi="Times New Roman"/>
                <w:b w:val="0"/>
                <w:i w:val="0"/>
                <w:sz w:val="20"/>
              </w:rPr>
              <w:t>&lt; 2 m</w:t>
            </w:r>
          </w:p>
        </w:tc>
        <w:tc>
          <w:tcPr>
            <w:tcW w:type="dxa" w:w="1814"/>
          </w:tcPr>
          <w:p>
            <w:pPr>
              <w:jc w:val="center"/>
            </w:pPr>
            <w:r>
              <w:rPr>
                <w:rFonts w:ascii="Times New Roman" w:hAnsi="Times New Roman"/>
                <w:b w:val="0"/>
                <w:i w:val="0"/>
                <w:sz w:val="20"/>
              </w:rPr>
              <w:t>402</w:t>
            </w:r>
          </w:p>
        </w:tc>
        <w:tc>
          <w:tcPr>
            <w:tcW w:type="dxa" w:w="1814"/>
          </w:tcPr>
          <w:p>
            <w:pPr>
              <w:jc w:val="center"/>
            </w:pPr>
            <w:r>
              <w:rPr>
                <w:rFonts w:ascii="Times New Roman" w:hAnsi="Times New Roman"/>
                <w:b w:val="0"/>
                <w:i w:val="0"/>
                <w:sz w:val="20"/>
              </w:rPr>
              <w:t>14.6%</w:t>
            </w:r>
          </w:p>
        </w:tc>
        <w:tc>
          <w:tcPr>
            <w:tcW w:type="dxa" w:w="1814"/>
          </w:tcPr>
          <w:p>
            <w:pPr>
              <w:jc w:val="center"/>
            </w:pPr>
            <w:r>
              <w:rPr>
                <w:rFonts w:ascii="Times New Roman" w:hAnsi="Times New Roman"/>
                <w:b w:val="0"/>
                <w:i w:val="0"/>
                <w:sz w:val="20"/>
              </w:rPr>
              <w:t>DLL-trackable, small SPP impact</w:t>
            </w:r>
          </w:p>
        </w:tc>
      </w:tr>
      <w:tr>
        <w:tc>
          <w:tcPr>
            <w:tcW w:type="dxa" w:w="1814"/>
          </w:tcPr>
          <w:p>
            <w:pPr>
              <w:jc w:val="center"/>
            </w:pPr>
            <w:r>
              <w:rPr>
                <w:rFonts w:ascii="Times New Roman" w:hAnsi="Times New Roman"/>
                <w:b w:val="0"/>
                <w:i w:val="0"/>
                <w:sz w:val="20"/>
              </w:rPr>
              <w:t>strong</w:t>
            </w:r>
          </w:p>
        </w:tc>
        <w:tc>
          <w:tcPr>
            <w:tcW w:type="dxa" w:w="1814"/>
          </w:tcPr>
          <w:p>
            <w:pPr>
              <w:jc w:val="center"/>
            </w:pPr>
            <w:r>
              <w:rPr>
                <w:rFonts w:ascii="Times New Roman" w:hAnsi="Times New Roman"/>
                <w:b w:val="0"/>
                <w:i w:val="0"/>
                <w:sz w:val="20"/>
              </w:rPr>
              <w:t>2–10 m</w:t>
            </w:r>
          </w:p>
        </w:tc>
        <w:tc>
          <w:tcPr>
            <w:tcW w:type="dxa" w:w="1814"/>
          </w:tcPr>
          <w:p>
            <w:pPr>
              <w:jc w:val="center"/>
            </w:pPr>
            <w:r>
              <w:rPr>
                <w:rFonts w:ascii="Times New Roman" w:hAnsi="Times New Roman"/>
                <w:b w:val="0"/>
                <w:i w:val="0"/>
                <w:sz w:val="20"/>
              </w:rPr>
              <w:t>1868</w:t>
            </w:r>
          </w:p>
        </w:tc>
        <w:tc>
          <w:tcPr>
            <w:tcW w:type="dxa" w:w="1814"/>
          </w:tcPr>
          <w:p>
            <w:pPr>
              <w:jc w:val="center"/>
            </w:pPr>
            <w:r>
              <w:rPr>
                <w:rFonts w:ascii="Times New Roman" w:hAnsi="Times New Roman"/>
                <w:b w:val="0"/>
                <w:i w:val="0"/>
                <w:sz w:val="20"/>
              </w:rPr>
              <w:t>67.9%</w:t>
            </w:r>
          </w:p>
        </w:tc>
        <w:tc>
          <w:tcPr>
            <w:tcW w:type="dxa" w:w="1814"/>
          </w:tcPr>
          <w:p>
            <w:pPr>
              <w:jc w:val="center"/>
            </w:pPr>
            <w:r>
              <w:rPr>
                <w:rFonts w:ascii="Times New Roman" w:hAnsi="Times New Roman"/>
                <w:b w:val="0"/>
                <w:i w:val="0"/>
                <w:sz w:val="20"/>
              </w:rPr>
              <w:t>Dominant urban multipath regime</w:t>
            </w:r>
          </w:p>
        </w:tc>
      </w:tr>
      <w:tr>
        <w:tc>
          <w:tcPr>
            <w:tcW w:type="dxa" w:w="1814"/>
          </w:tcPr>
          <w:p>
            <w:pPr>
              <w:jc w:val="center"/>
            </w:pPr>
            <w:r>
              <w:rPr>
                <w:rFonts w:ascii="Times New Roman" w:hAnsi="Times New Roman"/>
                <w:b w:val="0"/>
                <w:i w:val="0"/>
                <w:sz w:val="20"/>
              </w:rPr>
              <w:t>severe</w:t>
            </w:r>
          </w:p>
        </w:tc>
        <w:tc>
          <w:tcPr>
            <w:tcW w:type="dxa" w:w="1814"/>
          </w:tcPr>
          <w:p>
            <w:pPr>
              <w:jc w:val="center"/>
            </w:pPr>
            <w:r>
              <w:rPr>
                <w:rFonts w:ascii="Times New Roman" w:hAnsi="Times New Roman"/>
                <w:b w:val="0"/>
                <w:i w:val="0"/>
                <w:sz w:val="20"/>
              </w:rPr>
              <w:t>≥ 10 m</w:t>
            </w:r>
          </w:p>
        </w:tc>
        <w:tc>
          <w:tcPr>
            <w:tcW w:type="dxa" w:w="1814"/>
          </w:tcPr>
          <w:p>
            <w:pPr>
              <w:jc w:val="center"/>
            </w:pPr>
            <w:r>
              <w:rPr>
                <w:rFonts w:ascii="Times New Roman" w:hAnsi="Times New Roman"/>
                <w:b w:val="0"/>
                <w:i w:val="0"/>
                <w:sz w:val="20"/>
              </w:rPr>
              <w:t>483</w:t>
            </w:r>
          </w:p>
        </w:tc>
        <w:tc>
          <w:tcPr>
            <w:tcW w:type="dxa" w:w="1814"/>
          </w:tcPr>
          <w:p>
            <w:pPr>
              <w:jc w:val="center"/>
            </w:pPr>
            <w:r>
              <w:rPr>
                <w:rFonts w:ascii="Times New Roman" w:hAnsi="Times New Roman"/>
                <w:b w:val="0"/>
                <w:i w:val="0"/>
                <w:sz w:val="20"/>
              </w:rPr>
              <w:t>17.5%</w:t>
            </w:r>
          </w:p>
        </w:tc>
        <w:tc>
          <w:tcPr>
            <w:tcW w:type="dxa" w:w="1814"/>
          </w:tcPr>
          <w:p>
            <w:pPr>
              <w:jc w:val="center"/>
            </w:pPr>
            <w:r>
              <w:rPr>
                <w:rFonts w:ascii="Times New Roman" w:hAnsi="Times New Roman"/>
                <w:b w:val="0"/>
                <w:i w:val="0"/>
                <w:sz w:val="20"/>
              </w:rPr>
              <w:t>Pseudorange unusable without correction</w:t>
            </w:r>
          </w:p>
        </w:tc>
      </w:tr>
      <w:tr>
        <w:tc>
          <w:tcPr>
            <w:tcW w:type="dxa" w:w="1814"/>
          </w:tcPr>
          <w:p>
            <w:pPr>
              <w:jc w:val="center"/>
            </w:pPr>
            <w:r>
              <w:rPr>
                <w:rFonts w:ascii="Times New Roman" w:hAnsi="Times New Roman"/>
                <w:b w:val="0"/>
                <w:i w:val="0"/>
                <w:sz w:val="20"/>
              </w:rPr>
              <w:t>All</w:t>
            </w:r>
          </w:p>
        </w:tc>
        <w:tc>
          <w:tcPr>
            <w:tcW w:type="dxa" w:w="1814"/>
          </w:tcPr>
          <w:p>
            <w:pPr>
              <w:jc w:val="center"/>
            </w:pPr>
            <w:r>
              <w:rPr>
                <w:rFonts w:ascii="Times New Roman" w:hAnsi="Times New Roman"/>
                <w:b w:val="0"/>
                <w:i w:val="0"/>
                <w:sz w:val="20"/>
              </w:rPr>
              <w:t>0–38 m</w:t>
            </w:r>
          </w:p>
        </w:tc>
        <w:tc>
          <w:tcPr>
            <w:tcW w:type="dxa" w:w="1814"/>
          </w:tcPr>
          <w:p>
            <w:pPr>
              <w:jc w:val="center"/>
            </w:pPr>
            <w:r>
              <w:rPr>
                <w:rFonts w:ascii="Times New Roman" w:hAnsi="Times New Roman"/>
                <w:b w:val="0"/>
                <w:i w:val="0"/>
                <w:sz w:val="20"/>
              </w:rPr>
              <w:t>2753</w:t>
            </w:r>
          </w:p>
        </w:tc>
        <w:tc>
          <w:tcPr>
            <w:tcW w:type="dxa" w:w="1814"/>
          </w:tcPr>
          <w:p>
            <w:pPr>
              <w:jc w:val="center"/>
            </w:pPr>
            <w:r>
              <w:rPr>
                <w:rFonts w:ascii="Times New Roman" w:hAnsi="Times New Roman"/>
                <w:b w:val="0"/>
                <w:i w:val="0"/>
                <w:sz w:val="20"/>
              </w:rPr>
              <w:t>100%</w:t>
            </w:r>
          </w:p>
        </w:tc>
        <w:tc>
          <w:tcPr>
            <w:tcW w:type="dxa" w:w="1814"/>
          </w:tcPr>
          <w:p>
            <w:pPr>
              <w:jc w:val="center"/>
            </w:pPr>
            <w:r>
              <w:rPr>
                <w:rFonts w:ascii="Times New Roman" w:hAnsi="Times New Roman"/>
                <w:b w:val="0"/>
                <w:i w:val="0"/>
                <w:sz w:val="20"/>
              </w:rPr>
              <w:t>Mean 6.70 m, median 6.45 m</w:t>
            </w:r>
          </w:p>
        </w:tc>
      </w:tr>
    </w:tbl>
    <w:p/>
    <w:p>
      <w:pPr>
        <w:spacing w:after="80"/>
        <w:ind w:left="567"/>
      </w:pPr>
      <w:r>
        <w:rPr>
          <w:rFonts w:ascii="Times New Roman" w:hAnsi="Times New Roman"/>
          <w:b w:val="0"/>
          <w:i/>
          <w:color w:val="787878"/>
          <w:sz w:val="19"/>
        </w:rPr>
        <w:t>【草稿注】[Fig. 4] ΔL vs 仰角散点图 + 严重程度甜甜圈图（来自 Step 6 HTML）</w:t>
      </w:r>
    </w:p>
    <w:p>
      <w:pPr>
        <w:spacing w:before="240" w:after="80"/>
      </w:pPr>
      <w:r>
        <w:rPr>
          <w:rFonts w:ascii="Times New Roman" w:hAnsi="Times New Roman"/>
          <w:b/>
          <w:i w:val="0"/>
          <w:color w:val="28508C"/>
          <w:sz w:val="22"/>
        </w:rPr>
        <w:t>5.3  SPP Correction Experiment (Step 7)</w:t>
      </w:r>
    </w:p>
    <w:p>
      <w:pPr>
        <w:spacing w:after="120" w:before="0"/>
      </w:pPr>
      <w:r>
        <w:rPr>
          <w:rFonts w:ascii="Times New Roman" w:hAnsi="Times New Roman"/>
          <w:b w:val="0"/>
          <w:i w:val="0"/>
          <w:sz w:val="22"/>
        </w:rPr>
        <w:t>Table 4 summarises SPP horizontal error across the three modes for 635 matched epochs (GT tolerance 10 s, elevation mask 10°).</w:t>
      </w:r>
    </w:p>
    <w:p>
      <w:pPr>
        <w:spacing w:before="160"/>
      </w:pPr>
      <w:r>
        <w:rPr>
          <w:rFonts w:ascii="Times New Roman" w:hAnsi="Times New Roman"/>
          <w:b/>
          <w:i w:val="0"/>
          <w:sz w:val="20"/>
        </w:rPr>
        <w:t>Table 4. SPP horizontal error comparison across three modes.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6E4F0" w:val="clear"/>
          </w:tcPr>
          <w:p>
            <w:pPr>
              <w:jc w:val="center"/>
            </w:pPr>
            <w:r>
              <w:rPr>
                <w:rFonts w:ascii="Times New Roman" w:hAnsi="Times New Roman"/>
                <w:b/>
                <w:i w:val="0"/>
                <w:sz w:val="20"/>
              </w:rPr>
              <w:t>Mode</w:t>
            </w:r>
          </w:p>
        </w:tc>
        <w:tc>
          <w:tcPr>
            <w:tcW w:type="dxa" w:w="1512"/>
            <w:shd w:fill="D6E4F0" w:val="clear"/>
          </w:tcPr>
          <w:p>
            <w:pPr>
              <w:jc w:val="center"/>
            </w:pPr>
            <w:r>
              <w:rPr>
                <w:rFonts w:ascii="Times New Roman" w:hAnsi="Times New Roman"/>
                <w:b/>
                <w:i w:val="0"/>
                <w:sz w:val="20"/>
              </w:rPr>
              <w:t>Valid epochs</w:t>
            </w:r>
          </w:p>
        </w:tc>
        <w:tc>
          <w:tcPr>
            <w:tcW w:type="dxa" w:w="1512"/>
            <w:shd w:fill="D6E4F0" w:val="clear"/>
          </w:tcPr>
          <w:p>
            <w:pPr>
              <w:jc w:val="center"/>
            </w:pPr>
            <w:r>
              <w:rPr>
                <w:rFonts w:ascii="Times New Roman" w:hAnsi="Times New Roman"/>
                <w:b/>
                <w:i w:val="0"/>
                <w:sz w:val="20"/>
              </w:rPr>
              <w:t>Mean (m)</w:t>
            </w:r>
          </w:p>
        </w:tc>
        <w:tc>
          <w:tcPr>
            <w:tcW w:type="dxa" w:w="1512"/>
            <w:shd w:fill="D6E4F0" w:val="clear"/>
          </w:tcPr>
          <w:p>
            <w:pPr>
              <w:jc w:val="center"/>
            </w:pPr>
            <w:r>
              <w:rPr>
                <w:rFonts w:ascii="Times New Roman" w:hAnsi="Times New Roman"/>
                <w:b/>
                <w:i w:val="0"/>
                <w:sz w:val="20"/>
              </w:rPr>
              <w:t>RMS (m)</w:t>
            </w:r>
          </w:p>
        </w:tc>
        <w:tc>
          <w:tcPr>
            <w:tcW w:type="dxa" w:w="1512"/>
            <w:shd w:fill="D6E4F0" w:val="clear"/>
          </w:tcPr>
          <w:p>
            <w:pPr>
              <w:jc w:val="center"/>
            </w:pPr>
            <w:r>
              <w:rPr>
                <w:rFonts w:ascii="Times New Roman" w:hAnsi="Times New Roman"/>
                <w:b/>
                <w:i w:val="0"/>
                <w:sz w:val="20"/>
              </w:rPr>
              <w:t>50th (m)</w:t>
            </w:r>
          </w:p>
        </w:tc>
        <w:tc>
          <w:tcPr>
            <w:tcW w:type="dxa" w:w="1512"/>
            <w:shd w:fill="D6E4F0" w:val="clear"/>
          </w:tcPr>
          <w:p>
            <w:pPr>
              <w:jc w:val="center"/>
            </w:pPr>
            <w:r>
              <w:rPr>
                <w:rFonts w:ascii="Times New Roman" w:hAnsi="Times New Roman"/>
                <w:b/>
                <w:i w:val="0"/>
                <w:sz w:val="20"/>
              </w:rPr>
              <w:t>95th (m)</w:t>
            </w:r>
          </w:p>
        </w:tc>
      </w:tr>
      <w:tr>
        <w:tc>
          <w:tcPr>
            <w:tcW w:type="dxa" w:w="1512"/>
          </w:tcPr>
          <w:p>
            <w:pPr>
              <w:jc w:val="center"/>
            </w:pPr>
            <w:r>
              <w:rPr>
                <w:rFonts w:ascii="Times New Roman" w:hAnsi="Times New Roman"/>
                <w:b w:val="0"/>
                <w:i w:val="0"/>
                <w:sz w:val="20"/>
              </w:rPr>
              <w:t>Baseline (no correction)</w:t>
            </w:r>
          </w:p>
        </w:tc>
        <w:tc>
          <w:tcPr>
            <w:tcW w:type="dxa" w:w="1512"/>
          </w:tcPr>
          <w:p>
            <w:pPr>
              <w:jc w:val="center"/>
            </w:pPr>
            <w:r>
              <w:rPr>
                <w:rFonts w:ascii="Times New Roman" w:hAnsi="Times New Roman"/>
                <w:b w:val="0"/>
                <w:i w:val="0"/>
                <w:sz w:val="20"/>
              </w:rPr>
              <w:t>635</w:t>
            </w:r>
          </w:p>
        </w:tc>
        <w:tc>
          <w:tcPr>
            <w:tcW w:type="dxa" w:w="1512"/>
          </w:tcPr>
          <w:p>
            <w:pPr>
              <w:jc w:val="center"/>
            </w:pPr>
            <w:r>
              <w:rPr>
                <w:rFonts w:ascii="Times New Roman" w:hAnsi="Times New Roman"/>
                <w:b w:val="0"/>
                <w:i w:val="0"/>
                <w:sz w:val="20"/>
              </w:rPr>
              <w:t>75.6</w:t>
            </w:r>
          </w:p>
        </w:tc>
        <w:tc>
          <w:tcPr>
            <w:tcW w:type="dxa" w:w="1512"/>
          </w:tcPr>
          <w:p>
            <w:pPr>
              <w:jc w:val="center"/>
            </w:pPr>
            <w:r>
              <w:rPr>
                <w:rFonts w:ascii="Times New Roman" w:hAnsi="Times New Roman"/>
                <w:b w:val="0"/>
                <w:i w:val="0"/>
                <w:sz w:val="20"/>
              </w:rPr>
              <w:t>204.3</w:t>
            </w:r>
          </w:p>
        </w:tc>
        <w:tc>
          <w:tcPr>
            <w:tcW w:type="dxa" w:w="1512"/>
          </w:tcPr>
          <w:p>
            <w:pPr>
              <w:jc w:val="center"/>
            </w:pPr>
            <w:r>
              <w:rPr>
                <w:rFonts w:ascii="Times New Roman" w:hAnsi="Times New Roman"/>
                <w:b w:val="0"/>
                <w:i w:val="0"/>
                <w:sz w:val="20"/>
              </w:rPr>
              <w:t>47.2</w:t>
            </w:r>
          </w:p>
        </w:tc>
        <w:tc>
          <w:tcPr>
            <w:tcW w:type="dxa" w:w="1512"/>
          </w:tcPr>
          <w:p>
            <w:pPr>
              <w:jc w:val="center"/>
            </w:pPr>
            <w:r>
              <w:rPr>
                <w:rFonts w:ascii="Times New Roman" w:hAnsi="Times New Roman"/>
                <w:b w:val="0"/>
                <w:i w:val="0"/>
                <w:sz w:val="20"/>
              </w:rPr>
              <w:t>116.8</w:t>
            </w:r>
          </w:p>
        </w:tc>
      </w:tr>
      <w:tr>
        <w:tc>
          <w:tcPr>
            <w:tcW w:type="dxa" w:w="1512"/>
          </w:tcPr>
          <w:p>
            <w:pPr>
              <w:jc w:val="center"/>
            </w:pPr>
            <w:r>
              <w:rPr>
                <w:rFonts w:ascii="Times New Roman" w:hAnsi="Times New Roman"/>
                <w:b w:val="0"/>
                <w:i w:val="0"/>
                <w:sz w:val="20"/>
              </w:rPr>
              <w:t>NLOS Exclusion</w:t>
            </w:r>
          </w:p>
        </w:tc>
        <w:tc>
          <w:tcPr>
            <w:tcW w:type="dxa" w:w="1512"/>
          </w:tcPr>
          <w:p>
            <w:pPr>
              <w:jc w:val="center"/>
            </w:pPr>
            <w:r>
              <w:rPr>
                <w:rFonts w:ascii="Times New Roman" w:hAnsi="Times New Roman"/>
                <w:b w:val="0"/>
                <w:i w:val="0"/>
                <w:sz w:val="20"/>
              </w:rPr>
              <w:t>85</w:t>
            </w:r>
          </w:p>
        </w:tc>
        <w:tc>
          <w:tcPr>
            <w:tcW w:type="dxa" w:w="1512"/>
          </w:tcPr>
          <w:p>
            <w:pPr>
              <w:jc w:val="center"/>
            </w:pPr>
            <w:r>
              <w:rPr>
                <w:rFonts w:ascii="Times New Roman" w:hAnsi="Times New Roman"/>
                <w:b w:val="0"/>
                <w:i w:val="0"/>
                <w:sz w:val="20"/>
              </w:rPr>
              <w:t>238.9</w:t>
            </w:r>
          </w:p>
        </w:tc>
        <w:tc>
          <w:tcPr>
            <w:tcW w:type="dxa" w:w="1512"/>
          </w:tcPr>
          <w:p>
            <w:pPr>
              <w:jc w:val="center"/>
            </w:pPr>
            <w:r>
              <w:rPr>
                <w:rFonts w:ascii="Times New Roman" w:hAnsi="Times New Roman"/>
                <w:b w:val="0"/>
                <w:i w:val="0"/>
                <w:sz w:val="20"/>
              </w:rPr>
              <w:t>655.9</w:t>
            </w:r>
          </w:p>
        </w:tc>
        <w:tc>
          <w:tcPr>
            <w:tcW w:type="dxa" w:w="1512"/>
          </w:tcPr>
          <w:p>
            <w:pPr>
              <w:jc w:val="center"/>
            </w:pPr>
            <w:r>
              <w:rPr>
                <w:rFonts w:ascii="Times New Roman" w:hAnsi="Times New Roman"/>
                <w:b w:val="0"/>
                <w:i w:val="0"/>
                <w:sz w:val="20"/>
              </w:rPr>
              <w:t>95.5</w:t>
            </w:r>
          </w:p>
        </w:tc>
        <w:tc>
          <w:tcPr>
            <w:tcW w:type="dxa" w:w="1512"/>
          </w:tcPr>
          <w:p>
            <w:pPr>
              <w:jc w:val="center"/>
            </w:pPr>
            <w:r>
              <w:rPr>
                <w:rFonts w:ascii="Times New Roman" w:hAnsi="Times New Roman"/>
                <w:b w:val="0"/>
                <w:i w:val="0"/>
                <w:sz w:val="20"/>
              </w:rPr>
              <w:t>1154.4</w:t>
            </w:r>
          </w:p>
        </w:tc>
      </w:tr>
      <w:tr>
        <w:tc>
          <w:tcPr>
            <w:tcW w:type="dxa" w:w="1512"/>
          </w:tcPr>
          <w:p>
            <w:pPr>
              <w:jc w:val="center"/>
            </w:pPr>
            <w:r>
              <w:rPr>
                <w:rFonts w:ascii="Times New Roman" w:hAnsi="Times New Roman"/>
                <w:b w:val="0"/>
                <w:i w:val="0"/>
                <w:sz w:val="20"/>
              </w:rPr>
              <w:t>ΔL Correction</w:t>
            </w:r>
          </w:p>
        </w:tc>
        <w:tc>
          <w:tcPr>
            <w:tcW w:type="dxa" w:w="1512"/>
          </w:tcPr>
          <w:p>
            <w:pPr>
              <w:jc w:val="center"/>
            </w:pPr>
            <w:r>
              <w:rPr>
                <w:rFonts w:ascii="Times New Roman" w:hAnsi="Times New Roman"/>
                <w:b w:val="0"/>
                <w:i w:val="0"/>
                <w:sz w:val="20"/>
              </w:rPr>
              <w:t>635</w:t>
            </w:r>
          </w:p>
        </w:tc>
        <w:tc>
          <w:tcPr>
            <w:tcW w:type="dxa" w:w="1512"/>
          </w:tcPr>
          <w:p>
            <w:pPr>
              <w:jc w:val="center"/>
            </w:pPr>
            <w:r>
              <w:rPr>
                <w:rFonts w:ascii="Times New Roman" w:hAnsi="Times New Roman"/>
                <w:b w:val="0"/>
                <w:i w:val="0"/>
                <w:sz w:val="20"/>
              </w:rPr>
              <w:t>92.3</w:t>
            </w:r>
          </w:p>
        </w:tc>
        <w:tc>
          <w:tcPr>
            <w:tcW w:type="dxa" w:w="1512"/>
          </w:tcPr>
          <w:p>
            <w:pPr>
              <w:jc w:val="center"/>
            </w:pPr>
            <w:r>
              <w:rPr>
                <w:rFonts w:ascii="Times New Roman" w:hAnsi="Times New Roman"/>
                <w:b w:val="0"/>
                <w:i w:val="0"/>
                <w:sz w:val="20"/>
              </w:rPr>
              <w:t>205.6</w:t>
            </w:r>
          </w:p>
        </w:tc>
        <w:tc>
          <w:tcPr>
            <w:tcW w:type="dxa" w:w="1512"/>
          </w:tcPr>
          <w:p>
            <w:pPr>
              <w:jc w:val="center"/>
            </w:pPr>
            <w:r>
              <w:rPr>
                <w:rFonts w:ascii="Times New Roman" w:hAnsi="Times New Roman"/>
                <w:b w:val="0"/>
                <w:i w:val="0"/>
                <w:sz w:val="20"/>
              </w:rPr>
              <w:t>68.7</w:t>
            </w:r>
          </w:p>
        </w:tc>
        <w:tc>
          <w:tcPr>
            <w:tcW w:type="dxa" w:w="1512"/>
          </w:tcPr>
          <w:p>
            <w:pPr>
              <w:jc w:val="center"/>
            </w:pPr>
            <w:r>
              <w:rPr>
                <w:rFonts w:ascii="Times New Roman" w:hAnsi="Times New Roman"/>
                <w:b w:val="0"/>
                <w:i w:val="0"/>
                <w:sz w:val="20"/>
              </w:rPr>
              <w:t>141.2</w:t>
            </w:r>
          </w:p>
        </w:tc>
      </w:tr>
    </w:tbl>
    <w:p/>
    <w:p>
      <w:pPr>
        <w:spacing w:after="120" w:before="0"/>
      </w:pPr>
      <w:r>
        <w:rPr>
          <w:rFonts w:ascii="Times New Roman" w:hAnsi="Times New Roman"/>
          <w:b w:val="0"/>
          <w:i w:val="0"/>
          <w:sz w:val="22"/>
        </w:rPr>
        <w:t>The ΔL correction mode shows a slight degradation relative to baseline (+16.7 m mean, +1.3 m RMS), while NLOS exclusion produces severe degradation for the 85 epochs where sufficient satellites remain (mean +163 m, RMS +452 m). The CDF and time-series plots (Fig. 5–6) confirm these trends are consistent across the entire trajectory.</w:t>
      </w:r>
    </w:p>
    <w:p>
      <w:pPr>
        <w:spacing w:after="80"/>
        <w:ind w:left="567"/>
      </w:pPr>
      <w:r>
        <w:rPr>
          <w:rFonts w:ascii="Times New Roman" w:hAnsi="Times New Roman"/>
          <w:b w:val="0"/>
          <w:i/>
          <w:color w:val="787878"/>
          <w:sz w:val="19"/>
        </w:rPr>
        <w:t>【草稿注】[Fig. 5] 三模式水平误差 CDF（来自 Step 7 HTML）</w:t>
      </w:r>
    </w:p>
    <w:p>
      <w:pPr>
        <w:spacing w:after="80"/>
        <w:ind w:left="567"/>
      </w:pPr>
      <w:r>
        <w:rPr>
          <w:rFonts w:ascii="Times New Roman" w:hAnsi="Times New Roman"/>
          <w:b w:val="0"/>
          <w:i/>
          <w:color w:val="787878"/>
          <w:sz w:val="19"/>
        </w:rPr>
        <w:t>【草稿注】[Fig. 6] 水平误差时间序列（来自 Step 7 HTML）</w:t>
      </w:r>
    </w:p>
    <w:p>
      <w:pPr>
        <w:spacing w:before="240" w:after="80"/>
      </w:pPr>
      <w:r>
        <w:rPr>
          <w:rFonts w:ascii="Times New Roman" w:hAnsi="Times New Roman"/>
          <w:b/>
          <w:i w:val="0"/>
          <w:color w:val="28508C"/>
          <w:sz w:val="22"/>
        </w:rPr>
        <w:t>5.4  Root-Cause Analysis</w:t>
      </w:r>
    </w:p>
    <w:p>
      <w:pPr>
        <w:spacing w:after="120" w:before="0"/>
      </w:pPr>
      <w:r>
        <w:rPr>
          <w:rFonts w:ascii="Times New Roman" w:hAnsi="Times New Roman"/>
          <w:b w:val="0"/>
          <w:i w:val="0"/>
          <w:sz w:val="22"/>
        </w:rPr>
        <w:t>The correction failure can be attributed to four compounding factors:</w:t>
      </w:r>
    </w:p>
    <w:p>
      <w:pPr>
        <w:spacing w:before="80"/>
        <w:ind w:left="283"/>
      </w:pPr>
      <w:r>
        <w:rPr>
          <w:rFonts w:ascii="Times New Roman" w:hAnsi="Times New Roman"/>
          <w:b/>
          <w:i w:val="0"/>
          <w:sz w:val="22"/>
        </w:rPr>
        <w:t xml:space="preserve">  (1) GPS-only geometry collapse: </w:t>
      </w:r>
      <w:r>
        <w:rPr>
          <w:rFonts w:ascii="Times New Roman" w:hAnsi="Times New Roman"/>
          <w:b w:val="0"/>
          <w:i w:val="0"/>
          <w:sz w:val="22"/>
        </w:rPr>
        <w:t>With 9 visible GPS satellites and a 66.5% NLOS rate, exclusion leaves ~3 satellites per epoch on average, below the WLS minimum of 4. Only 85/635 epochs (13%) survive exclusion with adequate geometry. Wen et al. [5] avoided this by using multi-constellation GNSS (GPS+BDS+GLONASS+Galileo), retaining 8–12 LOS satellites after exclusion.</w:t>
      </w:r>
    </w:p>
    <w:p>
      <w:pPr>
        <w:spacing w:before="80"/>
        <w:ind w:left="283"/>
      </w:pPr>
      <w:r>
        <w:rPr>
          <w:rFonts w:ascii="Times New Roman" w:hAnsi="Times New Roman"/>
          <w:b/>
          <w:i w:val="0"/>
          <w:sz w:val="22"/>
        </w:rPr>
        <w:t xml:space="preserve">  (2) Geometric ΔL ≠ DLL tracking error in mixed-multipath scenarios: </w:t>
      </w:r>
      <w:r>
        <w:rPr>
          <w:rFonts w:ascii="Times New Roman" w:hAnsi="Times New Roman"/>
          <w:b w:val="0"/>
          <w:i w:val="0"/>
          <w:sz w:val="22"/>
        </w:rPr>
        <w:t>For pure NLOS (direct path fully blocked), the DLL error equals ΔL regardless of signal amplitude [14]. However, for partial NLOS (direct + reflected signal present), the error is δρ = ΔL · f(A_r/A_d), where A_r/A_d is the reflected-to-direct amplitude ratio—a quantity not available from geometry alone. Applying full ΔL correction to partially obstructed satellites overcorrects and introduces additional bias. The del2AINLOS Precision of 0.454 implies ~55% of LiDAR-NLOS labels are actually LOS or partial NLOS, making overcorrection the dominant error source.</w:t>
      </w:r>
    </w:p>
    <w:p>
      <w:pPr>
        <w:spacing w:before="80"/>
        <w:ind w:left="283"/>
      </w:pPr>
      <w:r>
        <w:rPr>
          <w:rFonts w:ascii="Times New Roman" w:hAnsi="Times New Roman"/>
          <w:b/>
          <w:i w:val="0"/>
          <w:sz w:val="22"/>
        </w:rPr>
        <w:t xml:space="preserve">  (3) Offline map surface normal reliability: </w:t>
      </w:r>
      <w:r>
        <w:rPr>
          <w:rFonts w:ascii="Times New Roman" w:hAnsi="Times New Roman"/>
          <w:b w:val="0"/>
          <w:i w:val="0"/>
          <w:sz w:val="22"/>
        </w:rPr>
        <w:t>The accumulated LiDAR map contains building facades, vegetation, vehicles, and road markings from the full trajectory. Local PCA at hit points intersecting multi-surface regions (edges, corners, accumulated clutter) yields planarity &lt; 0.5 for 41.3% of estimates, meaning these ΔL values are geometrically ill-defined.</w:t>
      </w:r>
    </w:p>
    <w:p>
      <w:pPr>
        <w:spacing w:before="80"/>
        <w:ind w:left="283"/>
      </w:pPr>
      <w:r>
        <w:rPr>
          <w:rFonts w:ascii="Times New Roman" w:hAnsi="Times New Roman"/>
          <w:b/>
          <w:i w:val="0"/>
          <w:sz w:val="22"/>
        </w:rPr>
        <w:t xml:space="preserve">  (4) NLOS weight reduction suppresses correction contribution: </w:t>
      </w:r>
      <w:r>
        <w:rPr>
          <w:rFonts w:ascii="Times New Roman" w:hAnsi="Times New Roman"/>
          <w:b w:val="0"/>
          <w:i w:val="0"/>
          <w:sz w:val="22"/>
        </w:rPr>
        <w:t>The down-weighting scheme (w_NLOS = sin²(el) × planarity × 0.1) assigns ~5% of LOS weight to corrected NLOS satellites. Even when ΔL estimates are accurate, the corrected pseudoranges contribute minimally to the WLS solution, diluting the correction benefit.</w:t>
      </w:r>
    </w:p>
    <w:p>
      <w:pPr>
        <w:spacing w:after="160" w:before="0"/>
      </w:pPr>
      <w:r>
        <w:rPr>
          <w:rFonts w:ascii="Times New Roman" w:hAnsi="Times New Roman"/>
          <w:b w:val="0"/>
          <w:i w:val="0"/>
          <w:sz w:val="22"/>
        </w:rPr>
        <w:t>In summary, the negative correction result is expected and reproducible under the GPS-only, offline-map experimental conditions. It does not invalidate the geometric modeling pipeline; rather, it delineates the boundary conditions beyond which geometric correction alone is insufficient and signal-domain characterisation becomes necessary.</w:t>
      </w:r>
    </w:p>
    <w:p>
      <w:pPr>
        <w:spacing w:before="240" w:after="80"/>
      </w:pPr>
      <w:r>
        <w:rPr>
          <w:rFonts w:ascii="Times New Roman" w:hAnsi="Times New Roman"/>
          <w:b/>
          <w:i w:val="0"/>
          <w:sz w:val="26"/>
        </w:rPr>
        <w:t>6. Conclusion and Future Work</w:t>
      </w:r>
    </w:p>
    <w:p>
      <w:pPr>
        <w:spacing w:after="120" w:before="0"/>
      </w:pPr>
      <w:r>
        <w:rPr>
          <w:rFonts w:ascii="Times New Roman" w:hAnsi="Times New Roman"/>
          <w:b w:val="0"/>
          <w:i w:val="0"/>
          <w:sz w:val="22"/>
        </w:rPr>
        <w:t>This paper presented a complete, open-source LiDAR–GNSS NLOS pipeline evaluated on the UrbanNav Medium-Urban-1 dataset. The geometric detector achieves F1 = 0.574 against del2AINLOS ML labels and estimates multipath extra path lengths with a mean of 6.70 m, predominantly in the "strong" category (2–10 m, 68%). A three-mode SPP correction experiment demonstrates that purely geometric ΔL correction does not improve GPS-only positioning under offline-map conditions, and the root-cause analysis identifies GPS geometry collapse, mixed-multipath amplitude ambiguity, and offline map normal reliability as the key limiting factors.</w:t>
      </w:r>
    </w:p>
    <w:p>
      <w:pPr>
        <w:spacing w:after="120" w:before="0"/>
      </w:pPr>
      <w:r>
        <w:rPr>
          <w:rFonts w:ascii="Times New Roman" w:hAnsi="Times New Roman"/>
          <w:b w:val="0"/>
          <w:i w:val="0"/>
          <w:sz w:val="22"/>
        </w:rPr>
        <w:t>Future work will address these limitations along three directions:</w:t>
      </w:r>
    </w:p>
    <w:p>
      <w:pPr>
        <w:spacing w:after="120" w:before="0"/>
        <w:ind w:left="283"/>
      </w:pPr>
      <w:r>
        <w:rPr>
          <w:rFonts w:ascii="Times New Roman" w:hAnsi="Times New Roman"/>
          <w:b w:val="0"/>
          <w:i w:val="0"/>
          <w:sz w:val="22"/>
        </w:rPr>
        <w:t xml:space="preserve">  • SDR-based signal-domain validation: a planned open-sky experiment using a USRP N210 SDR will capture raw GNSS IF data and reconstruct correlation functions via dense-tap DLL (61 taps, 0.05-chip spacing). Comparing measured extra delay ΔL_SDR = Δτ·c against geometric ΔL_geom will directly quantify the geometry-to-signal accuracy gap and enable amplitude-weighted pseudorange correction.</w:t>
      </w:r>
    </w:p>
    <w:p>
      <w:pPr>
        <w:spacing w:after="120" w:before="0"/>
        <w:ind w:left="283"/>
      </w:pPr>
      <w:r>
        <w:rPr>
          <w:rFonts w:ascii="Times New Roman" w:hAnsi="Times New Roman"/>
          <w:b w:val="0"/>
          <w:i w:val="0"/>
          <w:sz w:val="22"/>
        </w:rPr>
        <w:t xml:space="preserve">  • Real-time sliding-window LiDAR map: replacing the offline accumulated map with a 250 m sliding window following [4] is expected to eliminate false NLOS predictions for high-elevation satellites and improve surface normal reliability.</w:t>
      </w:r>
    </w:p>
    <w:p>
      <w:pPr>
        <w:spacing w:after="120" w:before="0"/>
        <w:ind w:left="283"/>
      </w:pPr>
      <w:r>
        <w:rPr>
          <w:rFonts w:ascii="Times New Roman" w:hAnsi="Times New Roman"/>
          <w:b w:val="0"/>
          <w:i w:val="0"/>
          <w:sz w:val="22"/>
        </w:rPr>
        <w:t xml:space="preserve">  • Multi-constellation extension: incorporating BeiDou and Galileo observations (requiring corresponding CORS navigation files) will increase the available satellite count from ~9 to ~20 per epoch, making NLOS exclusion geometrically viable.</w:t>
      </w:r>
    </w:p>
    <w:p>
      <w:pPr>
        <w:spacing w:before="240" w:after="80"/>
      </w:pPr>
      <w:r>
        <w:rPr>
          <w:rFonts w:ascii="Times New Roman" w:hAnsi="Times New Roman"/>
          <w:b/>
          <w:i w:val="0"/>
          <w:sz w:val="26"/>
        </w:rPr>
        <w:t>References</w:t>
      </w:r>
    </w:p>
    <w:p>
      <w:pPr>
        <w:spacing w:after="60"/>
        <w:ind w:left="567" w:hanging="567"/>
      </w:pPr>
      <w:r>
        <w:rPr>
          <w:rFonts w:ascii="Times New Roman" w:hAnsi="Times New Roman"/>
          <w:b w:val="0"/>
          <w:i w:val="0"/>
          <w:sz w:val="19"/>
        </w:rPr>
        <w:t>[1] Kaplan, E. &amp; Hegarty, C. (2006). Understanding GPS: Principles and Applications, 2nd ed. Artech House.</w:t>
      </w:r>
    </w:p>
    <w:p>
      <w:pPr>
        <w:spacing w:after="60"/>
        <w:ind w:left="567" w:hanging="567"/>
      </w:pPr>
      <w:r>
        <w:rPr>
          <w:rFonts w:ascii="Times New Roman" w:hAnsi="Times New Roman"/>
          <w:b w:val="0"/>
          <w:i w:val="0"/>
          <w:sz w:val="19"/>
        </w:rPr>
        <w:t>[2] Hsu, L.-T. et al. (2021). UrbanNav: An open-source multisensory dataset for benchmarking positioning algorithms designed for urban areas. ION GNSS+ 2021.</w:t>
      </w:r>
    </w:p>
    <w:p>
      <w:pPr>
        <w:spacing w:after="60"/>
        <w:ind w:left="567" w:hanging="567"/>
      </w:pPr>
      <w:r>
        <w:rPr>
          <w:rFonts w:ascii="Times New Roman" w:hAnsi="Times New Roman"/>
          <w:b w:val="0"/>
          <w:i w:val="0"/>
          <w:sz w:val="19"/>
        </w:rPr>
        <w:t>[3] Wen, W. et al. (2018). 3D LiDAR aided GNSS NLOS exclusion. ION GNSS+ 2018.</w:t>
      </w:r>
    </w:p>
    <w:p>
      <w:pPr>
        <w:spacing w:after="60"/>
        <w:ind w:left="567" w:hanging="567"/>
      </w:pPr>
      <w:r>
        <w:rPr>
          <w:rFonts w:ascii="Times New Roman" w:hAnsi="Times New Roman"/>
          <w:b w:val="0"/>
          <w:i w:val="0"/>
          <w:sz w:val="19"/>
        </w:rPr>
        <w:t>[4] Wen, W. et al. (2022). 3D LiDAR aided GNSS NLOS mitigation for reliable GNSS-RTK positioning in urban canyons. arXiv:2212.05477.</w:t>
      </w:r>
    </w:p>
    <w:p>
      <w:pPr>
        <w:spacing w:after="60"/>
        <w:ind w:left="567" w:hanging="567"/>
      </w:pPr>
      <w:r>
        <w:rPr>
          <w:rFonts w:ascii="Times New Roman" w:hAnsi="Times New Roman"/>
          <w:b w:val="0"/>
          <w:i w:val="0"/>
          <w:sz w:val="19"/>
        </w:rPr>
        <w:t>[5] Wen, W. et al. (2019). Correcting NLOS by 3D LiDAR and building height to improve GNSS single point positioning. NAVIGATION, 66(4). doi:10.1002/navi.335.</w:t>
      </w:r>
    </w:p>
    <w:p>
      <w:pPr>
        <w:spacing w:after="60"/>
        <w:ind w:left="567" w:hanging="567"/>
      </w:pPr>
      <w:r>
        <w:rPr>
          <w:rFonts w:ascii="Times New Roman" w:hAnsi="Times New Roman"/>
          <w:b w:val="0"/>
          <w:i w:val="0"/>
          <w:sz w:val="19"/>
        </w:rPr>
        <w:t>[6] del2AINLOS: Double-Difference AI-based NLOS Classification. PSRI-73-2309-PR-Dev package, rospak/src/del2AINLOS.</w:t>
      </w:r>
    </w:p>
    <w:p>
      <w:pPr>
        <w:spacing w:after="60"/>
        <w:ind w:left="567" w:hanging="567"/>
      </w:pPr>
      <w:r>
        <w:rPr>
          <w:rFonts w:ascii="Times New Roman" w:hAnsi="Times New Roman"/>
          <w:b w:val="0"/>
          <w:i w:val="0"/>
          <w:sz w:val="19"/>
        </w:rPr>
        <w:t>[7] Groves, P.D. &amp; Adjrad, M. (2017). Likelihood-based GNSS positioning using LOS/NLOS predictions from 3D mapping. GPS Solutions, 21(4). doi:10.1007/s10291-017-0654-1.</w:t>
      </w:r>
    </w:p>
    <w:p>
      <w:pPr>
        <w:spacing w:after="60"/>
        <w:ind w:left="567" w:hanging="567"/>
      </w:pPr>
      <w:r>
        <w:rPr>
          <w:rFonts w:ascii="Times New Roman" w:hAnsi="Times New Roman"/>
          <w:b w:val="0"/>
          <w:i w:val="0"/>
          <w:sz w:val="19"/>
        </w:rPr>
        <w:t>[8] Siebler, B. et al. (2023). Coordinate frames and transformations in GNSS ray-tracing for autonomous driving. Remote Sensing, 15(1). doi:10.3390/rs15010180.</w:t>
      </w:r>
    </w:p>
    <w:p>
      <w:pPr>
        <w:spacing w:after="60"/>
        <w:ind w:left="567" w:hanging="567"/>
      </w:pPr>
      <w:r>
        <w:rPr>
          <w:rFonts w:ascii="Times New Roman" w:hAnsi="Times New Roman"/>
          <w:b w:val="0"/>
          <w:i w:val="0"/>
          <w:sz w:val="19"/>
        </w:rPr>
        <w:t>[9] Lau, L. &amp; Cross, P. (2007). Development and testing of a new ray-tracing approach to GNSS carrier-phase multipath modelling. Journal of Geodesy, 81(11). doi:10.1007/s00190-007-0139-z.</w:t>
      </w:r>
    </w:p>
    <w:p>
      <w:pPr>
        <w:spacing w:after="60"/>
        <w:ind w:left="567" w:hanging="567"/>
      </w:pPr>
      <w:r>
        <w:rPr>
          <w:rFonts w:ascii="Times New Roman" w:hAnsi="Times New Roman"/>
          <w:b w:val="0"/>
          <w:i w:val="0"/>
          <w:sz w:val="19"/>
        </w:rPr>
        <w:t>[10] Wen, W. et al. (2021). 3D LiDAR aided GNSS and its tightly coupled integration with INS via factor graph optimisation. ICRA. arXiv:2106.01594.</w:t>
      </w:r>
    </w:p>
    <w:p>
      <w:pPr>
        <w:spacing w:after="60"/>
        <w:ind w:left="567" w:hanging="567"/>
      </w:pPr>
      <w:r>
        <w:rPr>
          <w:rFonts w:ascii="Times New Roman" w:hAnsi="Times New Roman"/>
          <w:b w:val="0"/>
          <w:i w:val="0"/>
          <w:sz w:val="19"/>
        </w:rPr>
        <w:t>[11] Hoppe, H. et al. (1992). Surface reconstruction from unorganized points. SIGGRAPH 1992.</w:t>
      </w:r>
    </w:p>
    <w:p>
      <w:pPr>
        <w:spacing w:after="60"/>
        <w:ind w:left="567" w:hanging="567"/>
      </w:pPr>
      <w:r>
        <w:rPr>
          <w:rFonts w:ascii="Times New Roman" w:hAnsi="Times New Roman"/>
          <w:b w:val="0"/>
          <w:i w:val="0"/>
          <w:sz w:val="19"/>
        </w:rPr>
        <w:t>[12] Steingass, A. &amp; Lehner, A. (2004). Measuring the navigation multipath channel — a statistical analysis. ION GNSS 2004.</w:t>
      </w:r>
    </w:p>
    <w:p>
      <w:pPr>
        <w:spacing w:after="60"/>
        <w:ind w:left="567" w:hanging="567"/>
      </w:pPr>
      <w:r>
        <w:rPr>
          <w:rFonts w:ascii="Times New Roman" w:hAnsi="Times New Roman"/>
          <w:b w:val="0"/>
          <w:i w:val="0"/>
          <w:sz w:val="19"/>
        </w:rPr>
        <w:t>[13] Groves, P.D. (2013). Principles of GNSS, Inertial, and Multisensor Integrated Navigation Systems, 2nd ed. Artech House.</w:t>
      </w:r>
    </w:p>
    <w:p>
      <w:pPr>
        <w:spacing w:after="60"/>
        <w:ind w:left="567" w:hanging="567"/>
      </w:pPr>
      <w:r>
        <w:rPr>
          <w:rFonts w:ascii="Times New Roman" w:hAnsi="Times New Roman"/>
          <w:b w:val="0"/>
          <w:i w:val="0"/>
          <w:sz w:val="19"/>
        </w:rPr>
        <w:t>[14] Braasch, M.S. (1996). Multipath effects. In: Parkinson &amp; Spilker (eds.), Global Positioning System: Theory and Applications, Vol. 1.</w:t>
      </w:r>
    </w:p>
    <w:p>
      <w:r>
        <w:br w:type="page"/>
      </w:r>
    </w:p>
    <w:p>
      <w:pPr>
        <w:spacing w:before="240" w:after="80"/>
      </w:pPr>
      <w:r>
        <w:rPr>
          <w:rFonts w:ascii="Times New Roman" w:hAnsi="Times New Roman"/>
          <w:b/>
          <w:i w:val="0"/>
          <w:sz w:val="24"/>
        </w:rPr>
        <w:t>Appendix: Figure and Table Checklist</w:t>
      </w:r>
    </w:p>
    <w:p>
      <w:pPr>
        <w:spacing w:after="80"/>
        <w:ind w:left="567"/>
      </w:pPr>
      <w:r>
        <w:rPr>
          <w:rFonts w:ascii="Times New Roman" w:hAnsi="Times New Roman"/>
          <w:b w:val="0"/>
          <w:i/>
          <w:color w:val="787878"/>
          <w:sz w:val="19"/>
        </w:rPr>
        <w:t>【草稿注】以下图表均已由流程脚本生成，可直接截图或导出矢量图插入正文。</w:t>
      </w:r>
    </w:p>
    <w:p>
      <w:pPr>
        <w:spacing w:before="160"/>
      </w:pPr>
      <w:r>
        <w:rPr>
          <w:rFonts w:ascii="Times New Roman" w:hAnsi="Times New Roman"/>
          <w:b/>
          <w:i w:val="0"/>
          <w:sz w:val="20"/>
        </w:rPr>
        <w:t>Appendix Table. 图表清单与完成状态。</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6E4F0" w:val="clear"/>
          </w:tcPr>
          <w:p>
            <w:pPr>
              <w:jc w:val="center"/>
            </w:pPr>
            <w:r>
              <w:rPr>
                <w:rFonts w:ascii="Times New Roman" w:hAnsi="Times New Roman"/>
                <w:b/>
                <w:i w:val="0"/>
                <w:sz w:val="20"/>
              </w:rPr>
              <w:t>编号</w:t>
            </w:r>
          </w:p>
        </w:tc>
        <w:tc>
          <w:tcPr>
            <w:tcW w:type="dxa" w:w="2268"/>
            <w:shd w:fill="D6E4F0" w:val="clear"/>
          </w:tcPr>
          <w:p>
            <w:pPr>
              <w:jc w:val="center"/>
            </w:pPr>
            <w:r>
              <w:rPr>
                <w:rFonts w:ascii="Times New Roman" w:hAnsi="Times New Roman"/>
                <w:b/>
                <w:i w:val="0"/>
                <w:sz w:val="20"/>
              </w:rPr>
              <w:t>内容</w:t>
            </w:r>
          </w:p>
        </w:tc>
        <w:tc>
          <w:tcPr>
            <w:tcW w:type="dxa" w:w="2268"/>
            <w:shd w:fill="D6E4F0" w:val="clear"/>
          </w:tcPr>
          <w:p>
            <w:pPr>
              <w:jc w:val="center"/>
            </w:pPr>
            <w:r>
              <w:rPr>
                <w:rFonts w:ascii="Times New Roman" w:hAnsi="Times New Roman"/>
                <w:b/>
                <w:i w:val="0"/>
                <w:sz w:val="20"/>
              </w:rPr>
              <w:t>来源脚本/文件</w:t>
            </w:r>
          </w:p>
        </w:tc>
        <w:tc>
          <w:tcPr>
            <w:tcW w:type="dxa" w:w="2268"/>
            <w:shd w:fill="D6E4F0" w:val="clear"/>
          </w:tcPr>
          <w:p>
            <w:pPr>
              <w:jc w:val="center"/>
            </w:pPr>
            <w:r>
              <w:rPr>
                <w:rFonts w:ascii="Times New Roman" w:hAnsi="Times New Roman"/>
                <w:b/>
                <w:i w:val="0"/>
                <w:sz w:val="20"/>
              </w:rPr>
              <w:t>状态</w:t>
            </w:r>
          </w:p>
        </w:tc>
      </w:tr>
      <w:tr>
        <w:tc>
          <w:tcPr>
            <w:tcW w:type="dxa" w:w="2268"/>
          </w:tcPr>
          <w:p>
            <w:pPr>
              <w:jc w:val="center"/>
            </w:pPr>
            <w:r>
              <w:rPr>
                <w:rFonts w:ascii="Times New Roman" w:hAnsi="Times New Roman"/>
                <w:b w:val="0"/>
                <w:i w:val="0"/>
                <w:sz w:val="20"/>
              </w:rPr>
              <w:t>Fig. 1</w:t>
            </w:r>
          </w:p>
        </w:tc>
        <w:tc>
          <w:tcPr>
            <w:tcW w:type="dxa" w:w="2268"/>
          </w:tcPr>
          <w:p>
            <w:pPr>
              <w:jc w:val="center"/>
            </w:pPr>
            <w:r>
              <w:rPr>
                <w:rFonts w:ascii="Times New Roman" w:hAnsi="Times New Roman"/>
                <w:b w:val="0"/>
                <w:i w:val="0"/>
                <w:sz w:val="20"/>
              </w:rPr>
              <w:t>Pipeline 架构示意图</w:t>
            </w:r>
          </w:p>
        </w:tc>
        <w:tc>
          <w:tcPr>
            <w:tcW w:type="dxa" w:w="2268"/>
          </w:tcPr>
          <w:p>
            <w:pPr>
              <w:jc w:val="center"/>
            </w:pPr>
            <w:r>
              <w:rPr>
                <w:rFonts w:ascii="Times New Roman" w:hAnsi="Times New Roman"/>
                <w:b w:val="0"/>
                <w:i w:val="0"/>
                <w:sz w:val="20"/>
              </w:rPr>
              <w:t>手绘/PowerPoint</w:t>
            </w:r>
          </w:p>
        </w:tc>
        <w:tc>
          <w:tcPr>
            <w:tcW w:type="dxa" w:w="2268"/>
          </w:tcPr>
          <w:p>
            <w:pPr>
              <w:jc w:val="center"/>
            </w:pPr>
            <w:r>
              <w:rPr>
                <w:rFonts w:ascii="Times New Roman" w:hAnsi="Times New Roman"/>
                <w:b w:val="0"/>
                <w:i w:val="0"/>
                <w:sz w:val="20"/>
              </w:rPr>
              <w:t>待制作</w:t>
            </w:r>
          </w:p>
        </w:tc>
      </w:tr>
      <w:tr>
        <w:tc>
          <w:tcPr>
            <w:tcW w:type="dxa" w:w="2268"/>
          </w:tcPr>
          <w:p>
            <w:pPr>
              <w:jc w:val="center"/>
            </w:pPr>
            <w:r>
              <w:rPr>
                <w:rFonts w:ascii="Times New Roman" w:hAnsi="Times New Roman"/>
                <w:b w:val="0"/>
                <w:i w:val="0"/>
                <w:sz w:val="20"/>
              </w:rPr>
              <w:t>Fig. 2</w:t>
            </w:r>
          </w:p>
        </w:tc>
        <w:tc>
          <w:tcPr>
            <w:tcW w:type="dxa" w:w="2268"/>
          </w:tcPr>
          <w:p>
            <w:pPr>
              <w:jc w:val="center"/>
            </w:pPr>
            <w:r>
              <w:rPr>
                <w:rFonts w:ascii="Times New Roman" w:hAnsi="Times New Roman"/>
                <w:b w:val="0"/>
                <w:i w:val="0"/>
                <w:sz w:val="20"/>
              </w:rPr>
              <w:t>CloudCompare 地图截图</w:t>
            </w:r>
          </w:p>
        </w:tc>
        <w:tc>
          <w:tcPr>
            <w:tcW w:type="dxa" w:w="2268"/>
          </w:tcPr>
          <w:p>
            <w:pPr>
              <w:jc w:val="center"/>
            </w:pPr>
            <w:r>
              <w:rPr>
                <w:rFonts w:ascii="Times New Roman" w:hAnsi="Times New Roman"/>
                <w:b w:val="0"/>
                <w:i w:val="0"/>
                <w:sz w:val="20"/>
              </w:rPr>
              <w:t>urbannav_map.ply</w:t>
            </w:r>
          </w:p>
        </w:tc>
        <w:tc>
          <w:tcPr>
            <w:tcW w:type="dxa" w:w="2268"/>
          </w:tcPr>
          <w:p>
            <w:pPr>
              <w:jc w:val="center"/>
            </w:pPr>
            <w:r>
              <w:rPr>
                <w:rFonts w:ascii="Times New Roman" w:hAnsi="Times New Roman"/>
                <w:b w:val="0"/>
                <w:i w:val="0"/>
                <w:sz w:val="20"/>
              </w:rPr>
              <w:t>已有截图</w:t>
            </w:r>
          </w:p>
        </w:tc>
      </w:tr>
      <w:tr>
        <w:tc>
          <w:tcPr>
            <w:tcW w:type="dxa" w:w="2268"/>
          </w:tcPr>
          <w:p>
            <w:pPr>
              <w:jc w:val="center"/>
            </w:pPr>
            <w:r>
              <w:rPr>
                <w:rFonts w:ascii="Times New Roman" w:hAnsi="Times New Roman"/>
                <w:b w:val="0"/>
                <w:i w:val="0"/>
                <w:sz w:val="20"/>
              </w:rPr>
              <w:t>Fig. 3</w:t>
            </w:r>
          </w:p>
        </w:tc>
        <w:tc>
          <w:tcPr>
            <w:tcW w:type="dxa" w:w="2268"/>
          </w:tcPr>
          <w:p>
            <w:pPr>
              <w:jc w:val="center"/>
            </w:pPr>
            <w:r>
              <w:rPr>
                <w:rFonts w:ascii="Times New Roman" w:hAnsi="Times New Roman"/>
                <w:b w:val="0"/>
                <w:i w:val="0"/>
                <w:sz w:val="20"/>
              </w:rPr>
              <w:t>NLOS 检测分仰角性能</w:t>
            </w:r>
          </w:p>
        </w:tc>
        <w:tc>
          <w:tcPr>
            <w:tcW w:type="dxa" w:w="2268"/>
          </w:tcPr>
          <w:p>
            <w:pPr>
              <w:jc w:val="center"/>
            </w:pPr>
            <w:r>
              <w:rPr>
                <w:rFonts w:ascii="Times New Roman" w:hAnsi="Times New Roman"/>
                <w:b w:val="0"/>
                <w:i w:val="0"/>
                <w:sz w:val="20"/>
              </w:rPr>
              <w:t>lidar_nlos_comparison.html</w:t>
            </w:r>
          </w:p>
        </w:tc>
        <w:tc>
          <w:tcPr>
            <w:tcW w:type="dxa" w:w="2268"/>
          </w:tcPr>
          <w:p>
            <w:pPr>
              <w:jc w:val="center"/>
            </w:pPr>
            <w:r>
              <w:rPr>
                <w:rFonts w:ascii="Times New Roman" w:hAnsi="Times New Roman"/>
                <w:b w:val="0"/>
                <w:i w:val="0"/>
                <w:sz w:val="20"/>
              </w:rPr>
              <w:t>已生成</w:t>
            </w:r>
          </w:p>
        </w:tc>
      </w:tr>
      <w:tr>
        <w:tc>
          <w:tcPr>
            <w:tcW w:type="dxa" w:w="2268"/>
          </w:tcPr>
          <w:p>
            <w:pPr>
              <w:jc w:val="center"/>
            </w:pPr>
            <w:r>
              <w:rPr>
                <w:rFonts w:ascii="Times New Roman" w:hAnsi="Times New Roman"/>
                <w:b w:val="0"/>
                <w:i w:val="0"/>
                <w:sz w:val="20"/>
              </w:rPr>
              <w:t>Fig. 4</w:t>
            </w:r>
          </w:p>
        </w:tc>
        <w:tc>
          <w:tcPr>
            <w:tcW w:type="dxa" w:w="2268"/>
          </w:tcPr>
          <w:p>
            <w:pPr>
              <w:jc w:val="center"/>
            </w:pPr>
            <w:r>
              <w:rPr>
                <w:rFonts w:ascii="Times New Roman" w:hAnsi="Times New Roman"/>
                <w:b w:val="0"/>
                <w:i w:val="0"/>
                <w:sz w:val="20"/>
              </w:rPr>
              <w:t>ΔL 分布 + 严重程度图</w:t>
            </w:r>
          </w:p>
        </w:tc>
        <w:tc>
          <w:tcPr>
            <w:tcW w:type="dxa" w:w="2268"/>
          </w:tcPr>
          <w:p>
            <w:pPr>
              <w:jc w:val="center"/>
            </w:pPr>
            <w:r>
              <w:rPr>
                <w:rFonts w:ascii="Times New Roman" w:hAnsi="Times New Roman"/>
                <w:b w:val="0"/>
                <w:i w:val="0"/>
                <w:sz w:val="20"/>
              </w:rPr>
              <w:t>lidar_reflection_model.html</w:t>
            </w:r>
          </w:p>
        </w:tc>
        <w:tc>
          <w:tcPr>
            <w:tcW w:type="dxa" w:w="2268"/>
          </w:tcPr>
          <w:p>
            <w:pPr>
              <w:jc w:val="center"/>
            </w:pPr>
            <w:r>
              <w:rPr>
                <w:rFonts w:ascii="Times New Roman" w:hAnsi="Times New Roman"/>
                <w:b w:val="0"/>
                <w:i w:val="0"/>
                <w:sz w:val="20"/>
              </w:rPr>
              <w:t>已生成</w:t>
            </w:r>
          </w:p>
        </w:tc>
      </w:tr>
      <w:tr>
        <w:tc>
          <w:tcPr>
            <w:tcW w:type="dxa" w:w="2268"/>
          </w:tcPr>
          <w:p>
            <w:pPr>
              <w:jc w:val="center"/>
            </w:pPr>
            <w:r>
              <w:rPr>
                <w:rFonts w:ascii="Times New Roman" w:hAnsi="Times New Roman"/>
                <w:b w:val="0"/>
                <w:i w:val="0"/>
                <w:sz w:val="20"/>
              </w:rPr>
              <w:t>Fig. 5</w:t>
            </w:r>
          </w:p>
        </w:tc>
        <w:tc>
          <w:tcPr>
            <w:tcW w:type="dxa" w:w="2268"/>
          </w:tcPr>
          <w:p>
            <w:pPr>
              <w:jc w:val="center"/>
            </w:pPr>
            <w:r>
              <w:rPr>
                <w:rFonts w:ascii="Times New Roman" w:hAnsi="Times New Roman"/>
                <w:b w:val="0"/>
                <w:i w:val="0"/>
                <w:sz w:val="20"/>
              </w:rPr>
              <w:t>SPP 三模式误差 CDF</w:t>
            </w:r>
          </w:p>
        </w:tc>
        <w:tc>
          <w:tcPr>
            <w:tcW w:type="dxa" w:w="2268"/>
          </w:tcPr>
          <w:p>
            <w:pPr>
              <w:jc w:val="center"/>
            </w:pPr>
            <w:r>
              <w:rPr>
                <w:rFonts w:ascii="Times New Roman" w:hAnsi="Times New Roman"/>
                <w:b w:val="0"/>
                <w:i w:val="0"/>
                <w:sz w:val="20"/>
              </w:rPr>
              <w:t>spp_correction_report.html</w:t>
            </w:r>
          </w:p>
        </w:tc>
        <w:tc>
          <w:tcPr>
            <w:tcW w:type="dxa" w:w="2268"/>
          </w:tcPr>
          <w:p>
            <w:pPr>
              <w:jc w:val="center"/>
            </w:pPr>
            <w:r>
              <w:rPr>
                <w:rFonts w:ascii="Times New Roman" w:hAnsi="Times New Roman"/>
                <w:b w:val="0"/>
                <w:i w:val="0"/>
                <w:sz w:val="20"/>
              </w:rPr>
              <w:t>已生成</w:t>
            </w:r>
          </w:p>
        </w:tc>
      </w:tr>
      <w:tr>
        <w:tc>
          <w:tcPr>
            <w:tcW w:type="dxa" w:w="2268"/>
          </w:tcPr>
          <w:p>
            <w:pPr>
              <w:jc w:val="center"/>
            </w:pPr>
            <w:r>
              <w:rPr>
                <w:rFonts w:ascii="Times New Roman" w:hAnsi="Times New Roman"/>
                <w:b w:val="0"/>
                <w:i w:val="0"/>
                <w:sz w:val="20"/>
              </w:rPr>
              <w:t>Fig. 6</w:t>
            </w:r>
          </w:p>
        </w:tc>
        <w:tc>
          <w:tcPr>
            <w:tcW w:type="dxa" w:w="2268"/>
          </w:tcPr>
          <w:p>
            <w:pPr>
              <w:jc w:val="center"/>
            </w:pPr>
            <w:r>
              <w:rPr>
                <w:rFonts w:ascii="Times New Roman" w:hAnsi="Times New Roman"/>
                <w:b w:val="0"/>
                <w:i w:val="0"/>
                <w:sz w:val="20"/>
              </w:rPr>
              <w:t>SPP 误差时间序列</w:t>
            </w:r>
          </w:p>
        </w:tc>
        <w:tc>
          <w:tcPr>
            <w:tcW w:type="dxa" w:w="2268"/>
          </w:tcPr>
          <w:p>
            <w:pPr>
              <w:jc w:val="center"/>
            </w:pPr>
            <w:r>
              <w:rPr>
                <w:rFonts w:ascii="Times New Roman" w:hAnsi="Times New Roman"/>
                <w:b w:val="0"/>
                <w:i w:val="0"/>
                <w:sz w:val="20"/>
              </w:rPr>
              <w:t>spp_correction_report.html</w:t>
            </w:r>
          </w:p>
        </w:tc>
        <w:tc>
          <w:tcPr>
            <w:tcW w:type="dxa" w:w="2268"/>
          </w:tcPr>
          <w:p>
            <w:pPr>
              <w:jc w:val="center"/>
            </w:pPr>
            <w:r>
              <w:rPr>
                <w:rFonts w:ascii="Times New Roman" w:hAnsi="Times New Roman"/>
                <w:b w:val="0"/>
                <w:i w:val="0"/>
                <w:sz w:val="20"/>
              </w:rPr>
              <w:t>已生成</w:t>
            </w:r>
          </w:p>
        </w:tc>
      </w:tr>
      <w:tr>
        <w:tc>
          <w:tcPr>
            <w:tcW w:type="dxa" w:w="2268"/>
          </w:tcPr>
          <w:p>
            <w:pPr>
              <w:jc w:val="center"/>
            </w:pPr>
            <w:r>
              <w:rPr>
                <w:rFonts w:ascii="Times New Roman" w:hAnsi="Times New Roman"/>
                <w:b w:val="0"/>
                <w:i w:val="0"/>
                <w:sz w:val="20"/>
              </w:rPr>
              <w:t>Table 1</w:t>
            </w:r>
          </w:p>
        </w:tc>
        <w:tc>
          <w:tcPr>
            <w:tcW w:type="dxa" w:w="2268"/>
          </w:tcPr>
          <w:p>
            <w:pPr>
              <w:jc w:val="center"/>
            </w:pPr>
            <w:r>
              <w:rPr>
                <w:rFonts w:ascii="Times New Roman" w:hAnsi="Times New Roman"/>
                <w:b w:val="0"/>
                <w:i w:val="0"/>
                <w:sz w:val="20"/>
              </w:rPr>
              <w:t>数据集参数</w:t>
            </w:r>
          </w:p>
        </w:tc>
        <w:tc>
          <w:tcPr>
            <w:tcW w:type="dxa" w:w="2268"/>
          </w:tcPr>
          <w:p>
            <w:pPr>
              <w:jc w:val="center"/>
            </w:pPr>
            <w:r>
              <w:rPr>
                <w:rFonts w:ascii="Times New Roman" w:hAnsi="Times New Roman"/>
                <w:b w:val="0"/>
                <w:i w:val="0"/>
                <w:sz w:val="20"/>
              </w:rPr>
              <w:t>本文档</w:t>
            </w:r>
          </w:p>
        </w:tc>
        <w:tc>
          <w:tcPr>
            <w:tcW w:type="dxa" w:w="2268"/>
          </w:tcPr>
          <w:p>
            <w:pPr>
              <w:jc w:val="center"/>
            </w:pPr>
            <w:r>
              <w:rPr>
                <w:rFonts w:ascii="Times New Roman" w:hAnsi="Times New Roman"/>
                <w:b w:val="0"/>
                <w:i w:val="0"/>
                <w:sz w:val="20"/>
              </w:rPr>
              <w:t>已完成</w:t>
            </w:r>
          </w:p>
        </w:tc>
      </w:tr>
      <w:tr>
        <w:tc>
          <w:tcPr>
            <w:tcW w:type="dxa" w:w="2268"/>
          </w:tcPr>
          <w:p>
            <w:pPr>
              <w:jc w:val="center"/>
            </w:pPr>
            <w:r>
              <w:rPr>
                <w:rFonts w:ascii="Times New Roman" w:hAnsi="Times New Roman"/>
                <w:b w:val="0"/>
                <w:i w:val="0"/>
                <w:sz w:val="20"/>
              </w:rPr>
              <w:t>Table 2</w:t>
            </w:r>
          </w:p>
        </w:tc>
        <w:tc>
          <w:tcPr>
            <w:tcW w:type="dxa" w:w="2268"/>
          </w:tcPr>
          <w:p>
            <w:pPr>
              <w:jc w:val="center"/>
            </w:pPr>
            <w:r>
              <w:rPr>
                <w:rFonts w:ascii="Times New Roman" w:hAnsi="Times New Roman"/>
                <w:b w:val="0"/>
                <w:i w:val="0"/>
                <w:sz w:val="20"/>
              </w:rPr>
              <w:t>NLOS 混淆矩阵</w:t>
            </w:r>
          </w:p>
        </w:tc>
        <w:tc>
          <w:tcPr>
            <w:tcW w:type="dxa" w:w="2268"/>
          </w:tcPr>
          <w:p>
            <w:pPr>
              <w:jc w:val="center"/>
            </w:pPr>
            <w:r>
              <w:rPr>
                <w:rFonts w:ascii="Times New Roman" w:hAnsi="Times New Roman"/>
                <w:b w:val="0"/>
                <w:i w:val="0"/>
                <w:sz w:val="20"/>
              </w:rPr>
              <w:t>本文档</w:t>
            </w:r>
          </w:p>
        </w:tc>
        <w:tc>
          <w:tcPr>
            <w:tcW w:type="dxa" w:w="2268"/>
          </w:tcPr>
          <w:p>
            <w:pPr>
              <w:jc w:val="center"/>
            </w:pPr>
            <w:r>
              <w:rPr>
                <w:rFonts w:ascii="Times New Roman" w:hAnsi="Times New Roman"/>
                <w:b w:val="0"/>
                <w:i w:val="0"/>
                <w:sz w:val="20"/>
              </w:rPr>
              <w:t>已完成</w:t>
            </w:r>
          </w:p>
        </w:tc>
      </w:tr>
      <w:tr>
        <w:tc>
          <w:tcPr>
            <w:tcW w:type="dxa" w:w="2268"/>
          </w:tcPr>
          <w:p>
            <w:pPr>
              <w:jc w:val="center"/>
            </w:pPr>
            <w:r>
              <w:rPr>
                <w:rFonts w:ascii="Times New Roman" w:hAnsi="Times New Roman"/>
                <w:b w:val="0"/>
                <w:i w:val="0"/>
                <w:sz w:val="20"/>
              </w:rPr>
              <w:t>Table 3</w:t>
            </w:r>
          </w:p>
        </w:tc>
        <w:tc>
          <w:tcPr>
            <w:tcW w:type="dxa" w:w="2268"/>
          </w:tcPr>
          <w:p>
            <w:pPr>
              <w:jc w:val="center"/>
            </w:pPr>
            <w:r>
              <w:rPr>
                <w:rFonts w:ascii="Times New Roman" w:hAnsi="Times New Roman"/>
                <w:b w:val="0"/>
                <w:i w:val="0"/>
                <w:sz w:val="20"/>
              </w:rPr>
              <w:t>ΔL 严重程度分布</w:t>
            </w:r>
          </w:p>
        </w:tc>
        <w:tc>
          <w:tcPr>
            <w:tcW w:type="dxa" w:w="2268"/>
          </w:tcPr>
          <w:p>
            <w:pPr>
              <w:jc w:val="center"/>
            </w:pPr>
            <w:r>
              <w:rPr>
                <w:rFonts w:ascii="Times New Roman" w:hAnsi="Times New Roman"/>
                <w:b w:val="0"/>
                <w:i w:val="0"/>
                <w:sz w:val="20"/>
              </w:rPr>
              <w:t>本文档</w:t>
            </w:r>
          </w:p>
        </w:tc>
        <w:tc>
          <w:tcPr>
            <w:tcW w:type="dxa" w:w="2268"/>
          </w:tcPr>
          <w:p>
            <w:pPr>
              <w:jc w:val="center"/>
            </w:pPr>
            <w:r>
              <w:rPr>
                <w:rFonts w:ascii="Times New Roman" w:hAnsi="Times New Roman"/>
                <w:b w:val="0"/>
                <w:i w:val="0"/>
                <w:sz w:val="20"/>
              </w:rPr>
              <w:t>已完成</w:t>
            </w:r>
          </w:p>
        </w:tc>
      </w:tr>
      <w:tr>
        <w:tc>
          <w:tcPr>
            <w:tcW w:type="dxa" w:w="2268"/>
          </w:tcPr>
          <w:p>
            <w:pPr>
              <w:jc w:val="center"/>
            </w:pPr>
            <w:r>
              <w:rPr>
                <w:rFonts w:ascii="Times New Roman" w:hAnsi="Times New Roman"/>
                <w:b w:val="0"/>
                <w:i w:val="0"/>
                <w:sz w:val="20"/>
              </w:rPr>
              <w:t>Table 4</w:t>
            </w:r>
          </w:p>
        </w:tc>
        <w:tc>
          <w:tcPr>
            <w:tcW w:type="dxa" w:w="2268"/>
          </w:tcPr>
          <w:p>
            <w:pPr>
              <w:jc w:val="center"/>
            </w:pPr>
            <w:r>
              <w:rPr>
                <w:rFonts w:ascii="Times New Roman" w:hAnsi="Times New Roman"/>
                <w:b w:val="0"/>
                <w:i w:val="0"/>
                <w:sz w:val="20"/>
              </w:rPr>
              <w:t>SPP 误差统计对比</w:t>
            </w:r>
          </w:p>
        </w:tc>
        <w:tc>
          <w:tcPr>
            <w:tcW w:type="dxa" w:w="2268"/>
          </w:tcPr>
          <w:p>
            <w:pPr>
              <w:jc w:val="center"/>
            </w:pPr>
            <w:r>
              <w:rPr>
                <w:rFonts w:ascii="Times New Roman" w:hAnsi="Times New Roman"/>
                <w:b w:val="0"/>
                <w:i w:val="0"/>
                <w:sz w:val="20"/>
              </w:rPr>
              <w:t>本文档</w:t>
            </w:r>
          </w:p>
        </w:tc>
        <w:tc>
          <w:tcPr>
            <w:tcW w:type="dxa" w:w="2268"/>
          </w:tcPr>
          <w:p>
            <w:pPr>
              <w:jc w:val="center"/>
            </w:pPr>
            <w:r>
              <w:rPr>
                <w:rFonts w:ascii="Times New Roman" w:hAnsi="Times New Roman"/>
                <w:b w:val="0"/>
                <w:i w:val="0"/>
                <w:sz w:val="20"/>
              </w:rPr>
              <w:t>已完成</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