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b/>
          <w:b/>
          <w:bCs/>
          <w:sz w:val="28"/>
          <w:szCs w:val="28"/>
        </w:rPr>
      </w:pPr>
      <w:r>
        <w:rPr>
          <w:rFonts w:ascii="times new roman" w:hAnsi="times new roman"/>
          <w:b/>
          <w:bCs/>
          <w:sz w:val="28"/>
          <w:szCs w:val="28"/>
        </w:rPr>
        <w:t>The Instar</w:t>
      </w:r>
    </w:p>
    <w:p>
      <w:pPr>
        <w:pStyle w:val="Normal"/>
        <w:jc w:val="both"/>
        <w:rPr>
          <w:rFonts w:ascii="times new roman" w:hAnsi="times new roman"/>
        </w:rPr>
      </w:pPr>
      <w:r>
        <w:rPr>
          <w:rFonts w:ascii="times new roman" w:hAnsi="times new roman"/>
        </w:rPr>
        <w:t>The instar is a single processing element that shares its general structure and processing functions with many other processing elements. We distinguish it by the specific way in which it is trained to respond to input data.</w:t>
      </w:r>
    </w:p>
    <w:p>
      <w:pPr>
        <w:pStyle w:val="Normal"/>
        <w:jc w:val="both"/>
        <w:rPr>
          <w:rFonts w:ascii="times new roman" w:hAnsi="times new roman"/>
        </w:rPr>
      </w:pPr>
      <w:r>
        <w:rPr>
          <w:rFonts w:ascii="times new roman" w:hAnsi="times new roman"/>
        </w:rPr>
        <w:t xml:space="preserve">Let's begin with a general processing element, such as the one in Figure 1.1(a). If the arrow representing the output is ignored, the processing element can be redrawn in the starlike configuration of Figure 1.1(b). The </w:t>
      </w:r>
      <w:r>
        <w:rPr>
          <w:rFonts w:ascii="times new roman" w:hAnsi="times new roman"/>
        </w:rPr>
        <w:t>i</w:t>
      </w:r>
      <w:r>
        <w:rPr>
          <w:rFonts w:ascii="times new roman" w:hAnsi="times new roman"/>
        </w:rPr>
        <w:t xml:space="preserve">nward-pointing arrows identify the instar structure, but we restrict the use of </w:t>
      </w:r>
      <w:r>
        <w:rPr>
          <w:rFonts w:ascii="times new roman" w:hAnsi="times new roman"/>
        </w:rPr>
        <w:t>t</w:t>
      </w:r>
      <w:r>
        <w:rPr>
          <w:rFonts w:ascii="times new roman" w:hAnsi="times new roman"/>
        </w:rPr>
        <w:t xml:space="preserve">he term instar to those units whose processing and learning are governed by the equations in this section. </w:t>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823595</wp:posOffset>
            </wp:positionH>
            <wp:positionV relativeFrom="paragraph">
              <wp:posOffset>87630</wp:posOffset>
            </wp:positionV>
            <wp:extent cx="4914265" cy="2856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14265" cy="2856865"/>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rPr>
      </w:pPr>
      <w:r>
        <w:rPr>
          <w:rFonts w:ascii="times new roman" w:hAnsi="times new roman"/>
          <w:b/>
          <w:bCs/>
        </w:rPr>
        <w:t>Figure 1.1</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i/>
          <w:i/>
          <w:iCs/>
        </w:rPr>
      </w:pPr>
      <w:r>
        <w:rPr>
          <w:rFonts w:ascii="times new roman" w:hAnsi="times new roman"/>
          <w:i/>
          <w:iCs/>
        </w:rPr>
        <w:t>This figure shows:</w:t>
      </w:r>
    </w:p>
    <w:p>
      <w:pPr>
        <w:pStyle w:val="Normal"/>
        <w:jc w:val="both"/>
        <w:rPr>
          <w:rFonts w:ascii="times new roman" w:hAnsi="times new roman"/>
          <w:i/>
          <w:i/>
          <w:iCs/>
        </w:rPr>
      </w:pPr>
      <w:r>
        <w:rPr>
          <w:rFonts w:ascii="times new roman" w:hAnsi="times new roman"/>
          <w:i/>
          <w:iCs/>
        </w:rPr>
        <w:t>(a) the general form of the processing element with input vector I, weight vector and output value and</w:t>
      </w:r>
    </w:p>
    <w:p>
      <w:pPr>
        <w:pStyle w:val="Normal"/>
        <w:jc w:val="both"/>
        <w:rPr>
          <w:rFonts w:ascii="times new roman" w:hAnsi="times new roman"/>
          <w:i/>
          <w:i/>
          <w:iCs/>
        </w:rPr>
      </w:pPr>
      <w:r>
        <w:rPr>
          <w:rFonts w:ascii="times new roman" w:hAnsi="times new roman"/>
          <w:i/>
          <w:iCs/>
        </w:rPr>
        <w:t>(b) the form of the processing element in (a). Notice that the arrow representing the output is although it is still presumed to exist.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The net-input value is calculated, as usual, by the dot product of the input and weight vectors, net = I •w. We shall assume that the input vector, I, and the weight vector, w, have been normalized to a length of </w:t>
      </w:r>
      <w:r>
        <w:rPr>
          <w:rFonts w:ascii="times new roman" w:hAnsi="times new roman"/>
        </w:rPr>
        <w:t>1.</w:t>
      </w:r>
      <w:r>
        <w:rPr>
          <w:rFonts w:ascii="times new roman" w:hAnsi="times new roman"/>
        </w:rPr>
        <w:t xml:space="preserve"> The output of the instar is governed by the equation</w:t>
      </w:r>
    </w:p>
    <w:p>
      <w:pPr>
        <w:pStyle w:val="Normal"/>
        <w:jc w:val="both"/>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b/>
          <w:bCs/>
        </w:rPr>
        <w:t xml:space="preserve">Eq. (1.1) </w:t>
      </w:r>
      <w:r>
        <w:rPr>
          <w:rFonts w:ascii="times new roman" w:hAnsi="times new roman"/>
        </w:rPr>
        <w:tab/>
        <w:tab/>
        <w:tab/>
        <w:tab/>
        <w:tab/>
        <w:t xml:space="preserve">y = -ay + b net </w:t>
      </w:r>
    </w:p>
    <w:p>
      <w:pPr>
        <w:pStyle w:val="Normal"/>
        <w:jc w:val="center"/>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where a, b &gt; 0. The dynamic behavior of y is illustrated in Figure </w:t>
      </w:r>
      <w:r>
        <w:rPr>
          <w:rFonts w:ascii="times new roman" w:hAnsi="times new roman"/>
        </w:rPr>
        <w:t xml:space="preserve">1.2. </w:t>
      </w:r>
    </w:p>
    <w:p>
      <w:pPr>
        <w:pStyle w:val="Normal"/>
        <w:jc w:val="both"/>
        <w:rPr>
          <w:rFonts w:ascii="times new roman" w:hAnsi="times new roman"/>
        </w:rPr>
      </w:pPr>
      <w:r>
        <w:rPr>
          <w:rFonts w:ascii="times new roman" w:hAnsi="times new roman"/>
        </w:rPr>
        <w:t>We can solve Eq. (</w:t>
      </w:r>
      <w:r>
        <w:rPr>
          <w:rFonts w:ascii="times new roman" w:hAnsi="times new roman"/>
        </w:rPr>
        <w:t>1.1</w:t>
      </w:r>
      <w:r>
        <w:rPr>
          <w:rFonts w:ascii="times new roman" w:hAnsi="times new roman"/>
        </w:rPr>
        <w:t xml:space="preserve">) to get the output as a function of time. Assuming the initial output is zero, and that a nonzero input vector is present from time t </w:t>
      </w:r>
      <w:r>
        <w:rPr>
          <w:rFonts w:ascii="times new roman" w:hAnsi="times new roman"/>
        </w:rPr>
        <w:t xml:space="preserve">= </w:t>
      </w:r>
      <w:r>
        <w:rPr>
          <w:rFonts w:ascii="times new roman" w:hAnsi="times new roman"/>
        </w:rPr>
        <w:t>0 until time t,</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ab/>
      </w:r>
      <w:r>
        <w:rPr>
          <w:rFonts w:ascii="times new roman" w:hAnsi="times new roman"/>
        </w:rPr>
        <w:t xml:space="preserve">y(t) </w:t>
      </w:r>
      <w:r>
        <w:rPr>
          <w:rFonts w:ascii="times new roman" w:hAnsi="times new roman"/>
        </w:rPr>
        <w:t xml:space="preserve">= </w:t>
      </w:r>
      <w:r>
        <w:rPr>
          <w:rFonts w:ascii="times new roman" w:hAnsi="times new roman"/>
        </w:rPr>
      </w:r>
      <m:oMath xmlns:m="http://schemas.openxmlformats.org/officeDocument/2006/math">
        <m:f>
          <m:num>
            <m:r>
              <w:rPr>
                <w:rFonts w:ascii="Cambria Math" w:hAnsi="Cambria Math"/>
              </w:rPr>
              <m:t xml:space="preserve">b</m:t>
            </m:r>
          </m:num>
          <m:den>
            <m:r>
              <w:rPr>
                <w:rFonts w:ascii="Cambria Math" w:hAnsi="Cambria Math"/>
              </w:rPr>
              <m:t xml:space="preserve">a</m:t>
            </m:r>
          </m:den>
        </m:f>
        <m:r>
          <w:rPr>
            <w:rFonts w:ascii="Cambria Math" w:hAnsi="Cambria Math"/>
          </w:rPr>
          <m:t xml:space="preserve">net</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at</m:t>
                </m:r>
              </m:sup>
            </m:sSup>
          </m:e>
        </m:d>
      </m:oMath>
    </w:p>
    <w:p>
      <w:pPr>
        <w:pStyle w:val="Normal"/>
        <w:jc w:val="center"/>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The equilibrium value of </w:t>
      </w:r>
    </w:p>
    <w:p>
      <w:pPr>
        <w:pStyle w:val="Normal"/>
        <w:jc w:val="center"/>
        <w:rPr>
          <w:rFonts w:ascii="times new roman" w:hAnsi="times new roman"/>
        </w:rPr>
      </w:pPr>
      <w:r>
        <w:rPr>
          <w:rFonts w:ascii="times new roman" w:hAnsi="times new roman"/>
        </w:rPr>
        <w:t>y</w:t>
      </w:r>
      <w:r>
        <w:rPr>
          <w:rFonts w:ascii="times new roman" w:hAnsi="times new roman"/>
          <w:vertAlign w:val="superscript"/>
        </w:rPr>
        <w:t xml:space="preserve">eq </w:t>
      </w:r>
      <w:r>
        <w:rPr>
          <w:rFonts w:ascii="times new roman" w:hAnsi="times new roman"/>
          <w:position w:val="0"/>
          <w:sz w:val="24"/>
          <w:vertAlign w:val="baseline"/>
        </w:rPr>
        <w:t xml:space="preserve">= </w:t>
      </w:r>
      <w:r>
        <w:rPr>
          <w:rFonts w:ascii="times new roman" w:hAnsi="times new roman"/>
          <w:position w:val="0"/>
          <w:sz w:val="24"/>
          <w:vertAlign w:val="baseline"/>
        </w:rPr>
      </w:r>
      <m:oMath xmlns:m="http://schemas.openxmlformats.org/officeDocument/2006/math">
        <m:f>
          <m:num>
            <m:r>
              <w:rPr>
                <w:rFonts w:ascii="Cambria Math" w:hAnsi="Cambria Math"/>
              </w:rPr>
              <m:t xml:space="preserve">b</m:t>
            </m:r>
          </m:num>
          <m:den>
            <m:r>
              <w:rPr>
                <w:rFonts w:ascii="Cambria Math" w:hAnsi="Cambria Math"/>
              </w:rPr>
              <m:t xml:space="preserve">a</m:t>
            </m:r>
          </m:den>
        </m:f>
        <m:r>
          <w:rPr>
            <w:rFonts w:ascii="Cambria Math" w:hAnsi="Cambria Math"/>
          </w:rPr>
          <m:t xml:space="preserve">net</m:t>
        </m:r>
      </m:oMath>
    </w:p>
    <w:p>
      <w:pPr>
        <w:pStyle w:val="Normal"/>
        <w:jc w:val="center"/>
        <w:rPr>
          <w:rFonts w:ascii="times new roman" w:hAnsi="times new roman"/>
          <w:position w:val="0"/>
          <w:sz w:val="24"/>
          <w:vertAlign w:val="baseline"/>
        </w:rPr>
      </w:pPr>
      <w:r>
        <w:rPr>
          <w:rFonts w:ascii="times new roman" w:hAnsi="times new roman"/>
          <w:position w:val="0"/>
          <w:sz w:val="24"/>
          <w:vertAlign w:val="baseline"/>
        </w:rPr>
      </w:r>
    </w:p>
    <w:p>
      <w:pPr>
        <w:pStyle w:val="Normal"/>
        <w:jc w:val="both"/>
        <w:rPr>
          <w:rFonts w:ascii="times new roman" w:hAnsi="times new roman"/>
        </w:rPr>
      </w:pPr>
      <w:r>
        <w:rPr>
          <w:rFonts w:ascii="times new roman" w:hAnsi="times new roman"/>
        </w:rPr>
        <w:t xml:space="preserve">If the input vector is removed at time </w:t>
      </w:r>
      <w:r>
        <w:rPr>
          <w:rFonts w:ascii="times new roman" w:hAnsi="times new roman"/>
        </w:rPr>
        <w:t xml:space="preserve">t`, </w:t>
      </w:r>
      <w:r>
        <w:rPr>
          <w:rFonts w:ascii="times new roman" w:hAnsi="times new roman"/>
        </w:rPr>
        <w:t xml:space="preserve"> then after equilibrium has been reached,</w:t>
      </w:r>
    </w:p>
    <w:p>
      <w:pPr>
        <w:pStyle w:val="Normal"/>
        <w:jc w:val="both"/>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 xml:space="preserve">y(t) = </w:t>
      </w:r>
      <w:r>
        <w:rPr>
          <w:rFonts w:ascii="times new roman" w:hAnsi="times new roman"/>
        </w:rPr>
        <w:t>y</w:t>
      </w:r>
      <w:r>
        <w:rPr>
          <w:rFonts w:ascii="times new roman" w:hAnsi="times new roman"/>
          <w:vertAlign w:val="superscript"/>
        </w:rPr>
        <w:t xml:space="preserve">eq </w:t>
      </w:r>
      <w:r>
        <w:rPr>
          <w:rFonts w:ascii="times new roman" w:hAnsi="times new roman"/>
          <w:vertAlign w:val="superscript"/>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e>
            </m:d>
          </m:sup>
        </m:sSup>
      </m:oMath>
    </w:p>
    <w:p>
      <w:pPr>
        <w:pStyle w:val="Normal"/>
        <w:jc w:val="both"/>
        <w:rPr>
          <w:rFonts w:ascii="times new roman" w:hAnsi="times new roman"/>
        </w:rPr>
      </w:pPr>
      <w:r>
        <w:rPr>
          <w:rFonts w:ascii="times new roman" w:hAnsi="times new roman"/>
        </w:rPr>
        <w:t xml:space="preserve">for t  &gt; </w:t>
      </w:r>
      <w:r>
        <w:rPr>
          <w:rFonts w:ascii="times new roman" w:hAnsi="times new roman"/>
        </w:rPr>
        <w:t>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posOffset>699770</wp:posOffset>
            </wp:positionH>
            <wp:positionV relativeFrom="paragraph">
              <wp:posOffset>57150</wp:posOffset>
            </wp:positionV>
            <wp:extent cx="4933315" cy="30664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33315" cy="3066415"/>
                    </a:xfrm>
                    <a:prstGeom prst="rect">
                      <a:avLst/>
                    </a:prstGeom>
                  </pic:spPr>
                </pic:pic>
              </a:graphicData>
            </a:graphic>
          </wp:anchor>
        </w:drawing>
      </w:r>
    </w:p>
    <w:p>
      <w:pPr>
        <w:pStyle w:val="Normal"/>
        <w:jc w:val="both"/>
        <w:rPr>
          <w:rFonts w:ascii="times new roman" w:hAnsi="times new roman"/>
          <w:b/>
          <w:b/>
          <w:bCs/>
        </w:rPr>
      </w:pPr>
      <w:r>
        <w:rPr>
          <w:rFonts w:ascii="times new roman" w:hAnsi="times new roman"/>
          <w:b/>
          <w:bCs/>
        </w:rPr>
        <w:t xml:space="preserve">Figure 1.2 </w:t>
      </w:r>
    </w:p>
    <w:p>
      <w:pPr>
        <w:pStyle w:val="Normal"/>
        <w:jc w:val="both"/>
        <w:rPr>
          <w:rFonts w:ascii="times new roman" w:hAnsi="times new roman"/>
          <w:b/>
          <w:b/>
          <w:bCs/>
        </w:rPr>
      </w:pPr>
      <w:r>
        <w:rPr>
          <w:rFonts w:ascii="times new roman" w:hAnsi="times new roman"/>
          <w:b/>
          <w:bCs/>
        </w:rPr>
      </w:r>
    </w:p>
    <w:p>
      <w:pPr>
        <w:pStyle w:val="Normal"/>
        <w:jc w:val="both"/>
        <w:rPr>
          <w:rFonts w:ascii="times new roman" w:hAnsi="times new roman"/>
          <w:b w:val="false"/>
          <w:b w:val="false"/>
          <w:bCs w:val="false"/>
        </w:rPr>
      </w:pPr>
      <w:r>
        <w:rPr>
          <w:rFonts w:ascii="times new roman" w:hAnsi="times new roman"/>
          <w:b w:val="false"/>
          <w:bCs w:val="false"/>
        </w:rPr>
        <w:t xml:space="preserve">This graph illustrates the output response of an instar. When an input vector is non-zero, the output rises to an equilibrium of </w:t>
      </w:r>
      <w:r>
        <w:rPr>
          <w:rFonts w:ascii="times new roman" w:hAnsi="times new roman"/>
          <w:b w:val="false"/>
          <w:bCs w:val="false"/>
        </w:rPr>
        <w:t>(b/a)net. If the input vector is removed the output falls exponentially with a time constant of (1/a).</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 xml:space="preserve">Notice that, for a given a and b, the output at equilibrium will be larger when the net-input value is larger. </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 xml:space="preserve">lnstar </w:t>
      </w:r>
      <w:r>
        <w:rPr>
          <w:rFonts w:ascii="times new roman" w:hAnsi="times new roman"/>
          <w:b w:val="false"/>
          <w:bCs w:val="false"/>
        </w:rPr>
        <w:t xml:space="preserve">is also known as </w:t>
      </w:r>
      <w:r>
        <w:rPr>
          <w:rFonts w:ascii="times new roman" w:hAnsi="times new roman"/>
          <w:b w:val="false"/>
          <w:bCs w:val="false"/>
        </w:rPr>
        <w:t>Winner-take-all Learning Law. This is relevant for a collection of neurons, organized in a layer as shown in Figure 1.8. All the inputs are connected to each of the units</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200275" cy="10096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200275" cy="1009650"/>
                    </a:xfrm>
                    <a:prstGeom prst="rect">
                      <a:avLst/>
                    </a:prstGeom>
                  </pic:spPr>
                </pic:pic>
              </a:graphicData>
            </a:graphic>
          </wp:anchor>
        </w:drawing>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Figure 1.3</w:t>
      </w:r>
    </w:p>
    <w:p>
      <w:pPr>
        <w:pStyle w:val="Normal"/>
        <w:jc w:val="both"/>
        <w:rPr>
          <w:rFonts w:ascii="times new roman" w:hAnsi="times new roman"/>
          <w:b w:val="false"/>
          <w:b w:val="false"/>
          <w:bCs w:val="false"/>
        </w:rPr>
      </w:pPr>
      <w:r>
        <w:rPr>
          <w:rFonts w:ascii="times new roman" w:hAnsi="times new roman"/>
          <w:b w:val="false"/>
          <w:bCs w:val="false"/>
        </w:rPr>
        <w:t>Arrangements of units for “instar learning”, where the adjusted weights are highlighted.</w:t>
      </w:r>
      <w:r>
        <w:rPr>
          <w:rFonts w:ascii="times new roman" w:hAnsi="times new roman"/>
          <w:b w:val="false"/>
          <w:bCs w:val="false"/>
        </w:rPr>
      </w:r>
      <m:oMath xmlns:m="http://schemas.openxmlformats.org/officeDocument/2006/math"/>
    </w:p>
    <w:p>
      <w:pPr>
        <w:pStyle w:val="Normal"/>
        <w:jc w:val="both"/>
        <w:rPr>
          <w:rFonts w:ascii="times new roman" w:hAnsi="times new roman"/>
          <w:b w:val="false"/>
          <w:b w:val="false"/>
          <w:bCs w:val="false"/>
        </w:rPr>
      </w:pPr>
      <w:r>
        <w:rPr>
          <w:rFonts w:ascii="times new roman" w:hAnsi="times new roman"/>
          <w:b w:val="false"/>
          <w:bCs w:val="false"/>
        </w:rPr>
        <w:t>in the output layer in a feedfonvard manner. For a given input vector a, the output from each unit i is computed using the weighted sum W</w:t>
      </w:r>
      <w:r>
        <w:rPr>
          <w:rFonts w:ascii="times new roman" w:hAnsi="times new roman"/>
          <w:b w:val="false"/>
          <w:bCs w:val="false"/>
          <w:vertAlign w:val="superscript"/>
        </w:rPr>
        <w:t>T</w:t>
      </w:r>
      <w:r>
        <w:rPr>
          <w:rFonts w:ascii="times new roman" w:hAnsi="times new roman"/>
          <w:b w:val="false"/>
          <w:bCs w:val="false"/>
          <w:vertAlign w:val="subscript"/>
        </w:rPr>
        <w:t>I</w:t>
      </w:r>
      <w:r>
        <w:rPr>
          <w:rFonts w:ascii="times new roman" w:hAnsi="times new roman"/>
          <w:b w:val="false"/>
          <w:bCs w:val="false"/>
          <w:position w:val="0"/>
          <w:sz w:val="26"/>
          <w:sz w:val="26"/>
          <w:szCs w:val="26"/>
          <w:vertAlign w:val="baseline"/>
        </w:rPr>
        <w:t>a</w:t>
      </w:r>
      <w:r>
        <w:rPr>
          <w:rFonts w:ascii="times new roman" w:hAnsi="times new roman"/>
          <w:b w:val="false"/>
          <w:bCs w:val="false"/>
        </w:rPr>
        <w:t>. The unit k that gives maximum output is identified. That is</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center"/>
        <w:rPr>
          <w:rFonts w:ascii="times new roman" w:hAnsi="times new roman"/>
          <w:b/>
          <w:b/>
          <w:bCs/>
          <w:position w:val="0"/>
          <w:sz w:val="24"/>
          <w:vertAlign w:val="baseline"/>
        </w:rPr>
      </w:pPr>
      <w:r>
        <w:rPr>
          <w:rFonts w:ascii="times new roman" w:hAnsi="times new roman"/>
          <w:b/>
          <w:bCs/>
          <w:position w:val="0"/>
          <w:sz w:val="24"/>
          <w:vertAlign w:val="baseline"/>
        </w:rPr>
        <w:t>W</w:t>
      </w:r>
      <w:r>
        <w:rPr>
          <w:rFonts w:ascii="times new roman" w:hAnsi="times new roman"/>
          <w:b/>
          <w:bCs/>
          <w:vertAlign w:val="subscript"/>
        </w:rPr>
        <w:t>K</w:t>
      </w:r>
      <w:r>
        <w:rPr>
          <w:rFonts w:ascii="times new roman" w:hAnsi="times new roman"/>
          <w:b/>
          <w:bCs/>
          <w:vertAlign w:val="superscript"/>
        </w:rPr>
        <w:t>T</w:t>
      </w:r>
      <w:r>
        <w:rPr>
          <w:rFonts w:ascii="times new roman" w:hAnsi="times new roman"/>
          <w:b/>
          <w:bCs/>
          <w:position w:val="0"/>
          <w:sz w:val="24"/>
          <w:vertAlign w:val="baseline"/>
        </w:rPr>
        <w:t xml:space="preserve">a = </w:t>
      </w:r>
      <w:r>
        <w:rPr>
          <w:rFonts w:ascii="times new roman" w:hAnsi="times new roman"/>
          <w:b/>
          <w:bCs/>
          <w:position w:val="0"/>
          <w:sz w:val="24"/>
          <w:vertAlign w:val="baseline"/>
        </w:rPr>
        <w:t>max</w:t>
      </w:r>
      <w:r>
        <w:rPr>
          <w:rFonts w:ascii="times new roman" w:hAnsi="times new roman"/>
          <w:b/>
          <w:bCs/>
          <w:vertAlign w:val="subscript"/>
        </w:rPr>
        <w:t xml:space="preserve">i </w:t>
      </w:r>
      <w:r>
        <w:rPr>
          <w:rFonts w:ascii="times new roman" w:hAnsi="times new roman"/>
          <w:b/>
          <w:bCs/>
          <w:position w:val="0"/>
          <w:sz w:val="24"/>
          <w:vertAlign w:val="baseline"/>
        </w:rPr>
        <w:t>(W</w:t>
      </w:r>
      <w:r>
        <w:rPr>
          <w:rFonts w:ascii="times new roman" w:hAnsi="times new roman"/>
          <w:b/>
          <w:bCs/>
          <w:vertAlign w:val="subscript"/>
        </w:rPr>
        <w:t>i</w:t>
      </w:r>
      <w:r>
        <w:rPr>
          <w:rFonts w:ascii="times new roman" w:hAnsi="times new roman"/>
          <w:b/>
          <w:bCs/>
          <w:vertAlign w:val="superscript"/>
        </w:rPr>
        <w:t>T</w:t>
      </w:r>
      <w:r>
        <w:rPr>
          <w:rFonts w:ascii="times new roman" w:hAnsi="times new roman"/>
          <w:b/>
          <w:bCs/>
          <w:position w:val="0"/>
          <w:sz w:val="26"/>
          <w:sz w:val="26"/>
          <w:szCs w:val="26"/>
          <w:vertAlign w:val="baseline"/>
        </w:rPr>
        <w:t>a)</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Then the weight vector leading to the kth unit is adjusted as follows:</w:t>
      </w:r>
    </w:p>
    <w:p>
      <w:pPr>
        <w:pStyle w:val="Normal"/>
        <w:jc w:val="both"/>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304925" cy="3048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304925" cy="304800"/>
                    </a:xfrm>
                    <a:prstGeom prst="rect">
                      <a:avLst/>
                    </a:prstGeom>
                  </pic:spPr>
                </pic:pic>
              </a:graphicData>
            </a:graphic>
          </wp:anchor>
        </w:drawing>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Therefore,</w:t>
      </w:r>
    </w:p>
    <w:p>
      <w:pPr>
        <w:pStyle w:val="Normal"/>
        <w:jc w:val="both"/>
        <w:rPr>
          <w:rFonts w:ascii="times new roman" w:hAnsi="times new roman"/>
          <w:b w:val="false"/>
          <w:b w:val="false"/>
          <w:bCs w:val="false"/>
        </w:rPr>
      </w:pPr>
      <w:r>
        <w:rPr>
          <w:rFonts w:ascii="times new roman" w:hAnsi="times new roman"/>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809240" cy="2571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809240" cy="257175"/>
                    </a:xfrm>
                    <a:prstGeom prst="rect">
                      <a:avLst/>
                    </a:prstGeom>
                  </pic:spPr>
                </pic:pic>
              </a:graphicData>
            </a:graphic>
          </wp:anchor>
        </w:drawing>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The final weight vector tends to represent a group of input vectors within a small neighbourhood. This is a case of unsupervised learning. In implementation, the values of the weight vectors are initialized to random values prior to learning, and the vector lengths are normalized during learning.</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References</w:t>
      </w:r>
    </w:p>
    <w:p>
      <w:pPr>
        <w:pStyle w:val="Normal"/>
        <w:jc w:val="both"/>
        <w:rPr>
          <w:rFonts w:ascii="times new roman" w:hAnsi="times new roman"/>
          <w:b w:val="false"/>
          <w:b w:val="false"/>
          <w:bCs w:val="false"/>
        </w:rPr>
      </w:pPr>
      <w:r>
        <w:rPr>
          <w:rFonts w:ascii="times new roman" w:hAnsi="times new roman"/>
          <w:b w:val="false"/>
          <w:bCs w:val="false"/>
        </w:rPr>
        <w:t xml:space="preserve">James A. Freeman. Neural networks for machine vision applications: The </w:t>
      </w:r>
      <w:r>
        <w:rPr>
          <w:rFonts w:ascii="times new roman" w:hAnsi="times new roman"/>
          <w:b w:val="false"/>
          <w:bCs w:val="false"/>
        </w:rPr>
        <w:t>s</w:t>
      </w:r>
      <w:r>
        <w:rPr>
          <w:rFonts w:ascii="times new roman" w:hAnsi="times new roman"/>
          <w:b w:val="false"/>
          <w:bCs w:val="false"/>
        </w:rPr>
        <w:t>pacecraft orientation,Ford Aerospace pp. Fall 1988.</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Stephen Grossberg. How does a brain build a cognitive code. In Stephen Grossberg, editor, Studies of Mind and Brain. D. Reidel Publishing, Boston, pp. 1-52, 1982.</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Counterpropagation Networks James Freeman,</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t>ARTIFICIAL NEURAL NETWORKS  by B. Yegnanarayana, 1999.</w:t>
      </w:r>
    </w:p>
    <w:p>
      <w:pPr>
        <w:pStyle w:val="Normal"/>
        <w:jc w:val="both"/>
        <w:rPr>
          <w:rFonts w:ascii="times new roman" w:hAnsi="times new roman"/>
          <w:b w:val="false"/>
          <w:b w:val="false"/>
          <w:bCs w:val="false"/>
        </w:rPr>
      </w:pPr>
      <w:r>
        <w:rPr>
          <w:rFonts w:ascii="times new roman" w:hAnsi="times new roman"/>
          <w:b w:val="false"/>
          <w:bCs w:val="false"/>
        </w:rPr>
      </w:r>
    </w:p>
    <w:p>
      <w:pPr>
        <w:pStyle w:val="Normal"/>
        <w:jc w:val="both"/>
        <w:rPr>
          <w:rFonts w:ascii="times new roman" w:hAnsi="times new roman"/>
          <w:b w:val="false"/>
          <w:b w:val="false"/>
          <w:bCs w:val="false"/>
        </w:rPr>
      </w:pPr>
      <w:r>
        <w:rPr>
          <w:rFonts w:ascii="times new roman" w:hAnsi="times new roman"/>
          <w:b w:val="false"/>
          <w:bCs w:val="fals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0"/>
    <w:family w:val="roman"/>
    <w:pitch w:val="variable"/>
  </w:font>
  <w:font w:name="DejaVu Sans">
    <w:charset w:val="00"/>
    <w:family w:val="swiss"/>
    <w:pitch w:val="variable"/>
  </w:font>
  <w:font w:name="times new roman">
    <w:charset w:val="00"/>
    <w:family w:val="roman"/>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DejaVu Serif" w:hAnsi="DejaVu Serif" w:eastAsia="DejaVu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TotalTime>
  <Application>LibreOffice/6.2.1.2$Linux_X86_64 LibreOffice_project/20$Build-2</Application>
  <Pages>3</Pages>
  <Words>561</Words>
  <Characters>2683</Characters>
  <CharactersWithSpaces>3229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2019-04-20T23:22:59Z</dcterms:created>
  <dc:creator/>
  <dc:description/>
  <dc:language>en-US</dc:language>
  <cp:lastModifiedBy/>
  <dcterms:modified xsi:type="dcterms:W3CDTF">2019-04-22T13:13:19Z</dcterms:modified>
  <cp:revision>5</cp:revision>
  <dc:subject/>
  <dc:title/>
</cp:coreProperties>
</file>