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Parent &amp; Prospective Student Q&amp;A</w:t>
      </w:r>
    </w:p>
    <w:p>
      <w:pPr>
        <w:spacing w:after="100"/>
        <w:jc w:val="center"/>
      </w:pPr>
      <w:r>
        <w:t xml:space="preserve">คำถาม–คำตอบ สำหรับผู้ปกครองและนักเรียนที่สนใจสมัครเรียน</w:t>
      </w:r>
      <w:r>
        <w:rPr>
          <w:i/>
          <w:iCs/>
          <w:sz w:val="26"/>
          <w:szCs w:val="26"/>
        </w:rPr>
        <w:t xml:space="preserve">คำถาม–คำตอบ สำหรับผู้ปกครองและนักเรียนที่สนใจสมัครเรียน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Digital Business Technology (DBT) Department</w:t>
      </w:r>
    </w:p>
    <w:p>
      <w:pPr>
        <w:spacing w:after="400"/>
        <w:jc w:val="center"/>
      </w:pPr>
      <w:r>
        <w:rPr>
          <w:color w:val="636366"/>
          <w:sz w:val="20"/>
          <w:szCs w:val="20"/>
        </w:rPr>
        <w:t xml:space="preserve">IRPC Technological College · 2026</w:t>
      </w:r>
    </w:p>
    <w:p>
      <w:pPr>
        <w:spacing w:after="300"/>
      </w:pPr>
      <w:r>
        <w:rPr>
          <w:i/>
          <w:iCs/>
          <w:color w:val="636366"/>
          <w:sz w:val="20"/>
          <w:szCs w:val="20"/>
        </w:rPr>
        <w:t xml:space="preserve">This document contains bilingual (English / Thai) Q&amp;A pairs written from the perspective of a concerned parent and a prospective IT-minded student researching the DBT program. Items marked </w:t>
      </w:r>
      <w:r>
        <w:rPr>
          <w:b/>
          <w:bCs/>
          <w:i/>
          <w:iCs/>
          <w:color w:val="C00000"/>
          <w:sz w:val="20"/>
          <w:szCs w:val="20"/>
        </w:rPr>
        <w:t xml:space="preserve">[FILL IN]</w:t>
      </w:r>
      <w:r>
        <w:rPr>
          <w:i/>
          <w:iCs/>
          <w:color w:val="636366"/>
          <w:sz w:val="20"/>
          <w:szCs w:val="20"/>
        </w:rPr>
        <w:t xml:space="preserve"> require real department information before publishing (e.g. on the kiosk, website, or open-house materials).</w:t>
      </w:r>
    </w:p>
    <w:p>
      <w:pPr>
        <w:pStyle w:val="Heading1"/>
        <w:pBdr>
          <w:bottom w:val="single" w:color="F28500" w:sz="8" w:space="4"/>
        </w:pBdr>
        <w:spacing w:after="200" w:before="400"/>
      </w:pPr>
      <w:r>
        <w:t xml:space="preserve">Admission — How to Join / การรับสมัคร</w:t>
      </w:r>
    </w:p>
    <w:p>
      <w:pPr>
        <w:spacing w:after="60" w:before="240"/>
      </w:pPr>
      <w:r>
        <w:rPr>
          <w:b/>
          <w:bCs/>
          <w:color w:val="F28500"/>
        </w:rPr>
        <w:t xml:space="preserve">1. </w:t>
      </w:r>
      <w:r>
        <w:rPr>
          <w:b/>
          <w:bCs/>
        </w:rPr>
        <w:t xml:space="preserve">Q: </w:t>
      </w:r>
      <w:r>
        <w:t xml:space="preserve">What are the requirements to apply for the VC (ปวช.) program? Do I need a minimum GPA from grade 9?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คุณสมบัติในการสมัครเข้าเรียน ปวช. มีอะไรบ้าง ต้องมีเกรดเฉลี่ยขั้นต่ำจาก ม.3 หรือไม่?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Applicants must have completed Grade 9 (M.3) or an equivalent qualification. [FILL IN — confirm minimum GPA requirement, if any, and whether an entrance exam applies.]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ผู้สมัครต้องสำเร็จการศึกษาชั้นมัธยมศึกษาปีที่ 3 (ม.3) หรือเทียบเท่า [ใส่ข้อมูล — ระบุเกรดเฉลี่ยขั้นต่ำ (ถ้ามี) และการสอบเข้า (ถ้ามี)]</w:t>
      </w:r>
    </w:p>
    <w:p>
      <w:pPr>
        <w:spacing w:after="60" w:before="240"/>
      </w:pPr>
      <w:r>
        <w:rPr>
          <w:b/>
          <w:bCs/>
          <w:color w:val="F28500"/>
        </w:rPr>
        <w:t xml:space="preserve">2. </w:t>
      </w:r>
      <w:r>
        <w:rPr>
          <w:b/>
          <w:bCs/>
        </w:rPr>
        <w:t xml:space="preserve">Q: </w:t>
      </w:r>
      <w:r>
        <w:t xml:space="preserve">What documents do I need to bring to apply?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ต้องเตรียมเอกสารอะไรบ้างในการสมัคร?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[FILL IN — e.g. transcript/ปพ.1, ID card copy, house registration copy, photos, parent's ID copy.]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[ใส่ข้อมูล — เช่น ใบ ปพ.1 สำเนาบัตรประชาชน สำเนาทะเบียนบ้าน รูปถ่าย สำเนาบัตรประชาชนผู้ปกครอง]</w:t>
      </w:r>
    </w:p>
    <w:p>
      <w:pPr>
        <w:spacing w:after="60" w:before="240"/>
      </w:pPr>
      <w:r>
        <w:rPr>
          <w:b/>
          <w:bCs/>
          <w:color w:val="F28500"/>
        </w:rPr>
        <w:t xml:space="preserve">3. </w:t>
      </w:r>
      <w:r>
        <w:rPr>
          <w:b/>
          <w:bCs/>
        </w:rPr>
        <w:t xml:space="preserve">Q: </w:t>
      </w:r>
      <w:r>
        <w:t xml:space="preserve">When does the application period open, and is there an entrance exam or interview?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เปิดรับสมัครช่วงไหน มีสอบเข้าหรือสัมภาษณ์หรือไม่?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[FILL IN — confirm application window dates and whether an entrance exam/interview is required. Check the kiosk's Notices section for the current cycle's announcement.]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[ใส่ข้อมูล — ระบุช่วงเวลารับสมัครและมีสอบเข้า/สัมภาษณ์หรือไม่ ตรวจสอบประกาศล่าสุดได้ที่หัวข้อ "ประกาศ" ในตู้คีออสก์]</w:t>
      </w:r>
    </w:p>
    <w:p>
      <w:pPr>
        <w:spacing w:after="60" w:before="240"/>
      </w:pPr>
      <w:r>
        <w:rPr>
          <w:b/>
          <w:bCs/>
          <w:color w:val="F28500"/>
        </w:rPr>
        <w:t xml:space="preserve">4. </w:t>
      </w:r>
      <w:r>
        <w:rPr>
          <w:b/>
          <w:bCs/>
        </w:rPr>
        <w:t xml:space="preserve">Q: </w:t>
      </w:r>
      <w:r>
        <w:t xml:space="preserve">If my child already finished a different track in M.3, can they still switch into DBT?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ถ้าลูกเรียนสายอื่นมาตอน ม.3 จะสามารถเปลี่ยนมาเรียน DBT ได้ไหม?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Yes — the VC program is open to all students who completed M.3 or equivalent, regardless of their previous track. No prior computer background is required to begin.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ได้ครับ/ค่ะ หลักสูตร ปวช. เปิดรับนักเรียนที่จบ ม.3 หรือเทียบเท่าทุกสาย ไม่จำเป็นต้องมีพื้นฐานด้านคอมพิวเตอร์มาก่อน</w:t>
      </w:r>
    </w:p>
    <w:p>
      <w:pPr>
        <w:pStyle w:val="Heading1"/>
        <w:pBdr>
          <w:bottom w:val="single" w:color="F28500" w:sz="8" w:space="4"/>
        </w:pBdr>
        <w:spacing w:after="200" w:before="400"/>
      </w:pPr>
      <w:r>
        <w:t xml:space="preserve">Cost — Affordability / ค่าใช้จ่าย</w:t>
      </w:r>
    </w:p>
    <w:p>
      <w:pPr>
        <w:spacing w:after="60" w:before="240"/>
      </w:pPr>
      <w:r>
        <w:rPr>
          <w:b/>
          <w:bCs/>
          <w:color w:val="F28500"/>
        </w:rPr>
        <w:t xml:space="preserve">1. </w:t>
      </w:r>
      <w:r>
        <w:rPr>
          <w:b/>
          <w:bCs/>
        </w:rPr>
        <w:t xml:space="preserve">Q: </w:t>
      </w:r>
      <w:r>
        <w:t xml:space="preserve">How much is tuition per semester, and are there hidden fees (uniforms, books, equipment)?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ค่าเทอมต่อภาคเรียนเท่าไหร่ มีค่าใช้จ่ายแฝงไหม เช่น ค่าชุด ค่าหนังสือ อุปกรณ์?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Tuition for Thai students is approximately 3,500 baht per semester. [FILL IN — confirm whether this covers uniforms, textbooks, and equipment, or if these are billed separately.] Exact figures by level are available in the Fees section of the kiosk.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ค่าเล่าเรียนสำหรับนักเรียนไทยอยู่ที่ประมาณ 3,500 บาทต่อภาคเรียน [ใส่ข้อมูล — ระบุว่าครอบคลุมค่าชุด หนังสือ และอุปกรณ์หรือไม่ หรือคิดแยกต่างหาก] ดูรายละเอียดตามระดับชั้นได้ที่หัวข้อ "ค่าเทอม" ในตู้คีออสก์</w:t>
      </w:r>
    </w:p>
    <w:p>
      <w:pPr>
        <w:spacing w:after="60" w:before="240"/>
      </w:pPr>
      <w:r>
        <w:rPr>
          <w:b/>
          <w:bCs/>
          <w:color w:val="F28500"/>
        </w:rPr>
        <w:t xml:space="preserve">2. </w:t>
      </w:r>
      <w:r>
        <w:rPr>
          <w:b/>
          <w:bCs/>
        </w:rPr>
        <w:t xml:space="preserve">Q: </w:t>
      </w:r>
      <w:r>
        <w:t xml:space="preserve">Are there scholarships or installment payment plans available?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มีทุนการศึกษา หรือแบ่งจ่ายค่าเทอมเป็นงวดได้ไหม?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[FILL IN — list available scholarships, eligibility criteria, and whether installment plans are offered.]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[ใส่ข้อมูล — ระบุทุนการศึกษาที่มี คุณสมบัติผู้ขอทุน และมีการแบ่งจ่ายเป็นงวดหรือไม่]</w:t>
      </w:r>
    </w:p>
    <w:p>
      <w:pPr>
        <w:spacing w:after="60" w:before="240"/>
      </w:pPr>
      <w:r>
        <w:rPr>
          <w:b/>
          <w:bCs/>
          <w:color w:val="F28500"/>
        </w:rPr>
        <w:t xml:space="preserve">3. </w:t>
      </w:r>
      <w:r>
        <w:rPr>
          <w:b/>
          <w:bCs/>
        </w:rPr>
        <w:t xml:space="preserve">Q: </w:t>
      </w:r>
      <w:r>
        <w:t xml:space="preserve">Does the cost go up between VC and HVC, or if my child continues to a higher level?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ค่าใช้จ่ายจะเพิ่มขึ้นไหมถ้าเรียนต่อจาก ปวช. ไป ปวส.?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[FILL IN — confirm whether HVC tuition differs from VC tuition, and by how much.]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[ใส่ข้อมูล — ระบุว่าค่าเทอมระดับ ปวส. แตกต่างจาก ปวช. หรือไม่ และแตกต่างเท่าไหร่]</w:t>
      </w:r>
    </w:p>
    <w:p>
      <w:pPr>
        <w:pStyle w:val="Heading1"/>
        <w:pBdr>
          <w:bottom w:val="single" w:color="F28500" w:sz="8" w:space="4"/>
        </w:pBdr>
        <w:spacing w:after="200" w:before="400"/>
      </w:pPr>
      <w:r>
        <w:t xml:space="preserve">Outcomes — Career Value / ผลลัพธ์และเส้นทางอาชีพ</w:t>
      </w:r>
    </w:p>
    <w:p>
      <w:pPr>
        <w:spacing w:after="60" w:before="240"/>
      </w:pPr>
      <w:r>
        <w:rPr>
          <w:b/>
          <w:bCs/>
          <w:color w:val="F28500"/>
        </w:rPr>
        <w:t xml:space="preserve">1. </w:t>
      </w:r>
      <w:r>
        <w:rPr>
          <w:b/>
          <w:bCs/>
        </w:rPr>
        <w:t xml:space="preserve">Q: </w:t>
      </w:r>
      <w:r>
        <w:t xml:space="preserve">What jobs can graduates actually get after finishing this program?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จบแล้วสามารถหางานอะไรได้บ้าง?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Graduates typically pursue roles in digital business, e-commerce, web/mobile development, digital marketing, content management, and IT support. Full career path details by level are listed in the Study Outcomes section of the kiosk.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ผู้สำเร็จการศึกษามักประกอบอาชีพด้านธุรกิจดิจิทัล อีคอมเมิร์ซ การพัฒนาเว็บไซต์/แอปพลิเคชัน การตลาดดิจิทัล การจัดการเนื้อหา และงานสนับสนุนด้าน IT ดูรายละเอียดเส้นทางอาชีพแยกตามระดับได้ที่หัวข้อ "แนวทางการประกอบอาชีพ" ในตู้คีออสก์</w:t>
      </w:r>
    </w:p>
    <w:p>
      <w:pPr>
        <w:spacing w:after="60" w:before="240"/>
      </w:pPr>
      <w:r>
        <w:rPr>
          <w:b/>
          <w:bCs/>
          <w:color w:val="F28500"/>
        </w:rPr>
        <w:t xml:space="preserve">2. </w:t>
      </w:r>
      <w:r>
        <w:rPr>
          <w:b/>
          <w:bCs/>
        </w:rPr>
        <w:t xml:space="preserve">Q: </w:t>
      </w:r>
      <w:r>
        <w:t xml:space="preserve">Do graduates typically find jobs quickly, and what's the average starting salary?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บัณฑิตที่จบไปหางานง่ายไหม เงินเดือนเริ่มต้นเฉลี่ยเท่าไหร่?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[FILL IN — provide employment-rate and starting-salary data if the department tracks graduate outcomes.]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[ใส่ข้อมูล — ระบุอัตราการได้งานทำและเงินเดือนเริ่มต้นเฉลี่ย หากภาควิชามีข้อมูลติดตามผู้สำเร็จการศึกษา]</w:t>
      </w:r>
    </w:p>
    <w:p>
      <w:pPr>
        <w:spacing w:after="60" w:before="240"/>
      </w:pPr>
      <w:r>
        <w:rPr>
          <w:b/>
          <w:bCs/>
          <w:color w:val="F28500"/>
        </w:rPr>
        <w:t xml:space="preserve">3. </w:t>
      </w:r>
      <w:r>
        <w:rPr>
          <w:b/>
          <w:bCs/>
        </w:rPr>
        <w:t xml:space="preserve">Q: </w:t>
      </w:r>
      <w:r>
        <w:t xml:space="preserve">Can graduates continue to a bachelor's degree afterward, or is this a terminal diploma?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จบแล้วสามารถเรียนต่อปริญญาตรีได้ไหม หรือเป็นวุฒิสุดท้าย?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Graduates can continue their studies — HVC graduates are commonly eligible to transfer credits into related bachelor's degree programs. [FILL IN — confirm specific university partnerships or credit-transfer agreements, if any.]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สามารถเรียนต่อได้ครับ/ค่ะ ผู้สำเร็จการศึกษาระดับ ปวส. โดยทั่วไปสามารถเทียบโอนหน่วยกิตเข้าศึกษาต่อปริญญาตรีในสาขาที่เกี่ยวข้องได้ [ใส่ข้อมูล — ระบุความร่วมมือกับมหาวิทยาลัยหรือข้อตกลงเทียบโอนหน่วยกิต หากมี]</w:t>
      </w:r>
    </w:p>
    <w:p>
      <w:pPr>
        <w:spacing w:after="60" w:before="240"/>
      </w:pPr>
      <w:r>
        <w:rPr>
          <w:b/>
          <w:bCs/>
          <w:color w:val="F28500"/>
        </w:rPr>
        <w:t xml:space="preserve">4. </w:t>
      </w:r>
      <w:r>
        <w:rPr>
          <w:b/>
          <w:bCs/>
        </w:rPr>
        <w:t xml:space="preserve">Q: </w:t>
      </w:r>
      <w:r>
        <w:t xml:space="preserve">Does the college have partnerships with companies for internships or job placement?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วิทยาลัยมีความร่วมมือกับบริษัทสำหรับฝึกงานหรือจัดหางานให้หรือไม่?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Both programs include workplace training courses — VC students complete internship activities in their final year, and HVC students complete two workplace-activity courses in Year 2. [FILL IN — list specific partner companies or job placement support, if available.]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หลักสูตรทั้งสองระดับมีรายวิชาฝึกประสบการณ์วิชาชีพ โดยนักเรียน ปวช. จะฝึกงานในปีสุดท้าย และนักศึกษา ปวส. จะฝึกงาน 2 รายวิชาในชั้นปีที่ 2 [ใส่ข้อมูล — ระบุบริษัทคู่ความร่วมมือ หรือการช่วยจัดหางาน หากมี]</w:t>
      </w:r>
    </w:p>
    <w:p>
      <w:pPr>
        <w:pStyle w:val="Heading1"/>
        <w:pBdr>
          <w:bottom w:val="single" w:color="F28500" w:sz="8" w:space="4"/>
        </w:pBdr>
        <w:spacing w:after="200" w:before="400"/>
      </w:pPr>
      <w:r>
        <w:t xml:space="preserve">Program Quality — What's Actually Taught / คุณภาพหลักสูตร</w:t>
      </w:r>
    </w:p>
    <w:p>
      <w:pPr>
        <w:spacing w:after="60" w:before="240"/>
      </w:pPr>
      <w:r>
        <w:rPr>
          <w:b/>
          <w:bCs/>
          <w:color w:val="F28500"/>
        </w:rPr>
        <w:t xml:space="preserve">1. </w:t>
      </w:r>
      <w:r>
        <w:rPr>
          <w:b/>
          <w:bCs/>
        </w:rPr>
        <w:t xml:space="preserve">Q: </w:t>
      </w:r>
      <w:r>
        <w:t xml:space="preserve">What programming languages or software tools will my child actually learn?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ลูกจะได้เรียนภาษาโปรแกรมมิ่งหรือโปรแกรมอะไรบ้าง?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The curriculum covers programming fundamentals, object-oriented programming, database management, web development, mobile app development, and multimedia/graphic design tools, building progressively from Year 1 through Year 2/3 depending on the program level.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หลักสูตรครอบคลุมพื้นฐานการเขียนโปรแกรม การเขียนโปรแกรมเชิงวัตถุ การจัดการฐานข้อมูล การพัฒนาเว็บไซต์ การพัฒนาแอปพลิเคชันมือถือ และโปรแกรมด้านมัลติมีเดีย/กราฟิก โดยเรียนไล่ระดับความยากตั้งแต่ปีที่ 1 จนถึงปีที่ 2/3 ขึ้นอยู่กับระดับหลักสูตร</w:t>
      </w:r>
    </w:p>
    <w:p>
      <w:pPr>
        <w:spacing w:after="60" w:before="240"/>
      </w:pPr>
      <w:r>
        <w:rPr>
          <w:b/>
          <w:bCs/>
          <w:color w:val="F28500"/>
        </w:rPr>
        <w:t xml:space="preserve">2. </w:t>
      </w:r>
      <w:r>
        <w:rPr>
          <w:b/>
          <w:bCs/>
        </w:rPr>
        <w:t xml:space="preserve">Q: </w:t>
      </w:r>
      <w:r>
        <w:t xml:space="preserve">Is the curriculum updated to match current industry needs (AI, e-commerce, etc.), or is it outdated?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หลักสูตรทันสมัยตรงกับความต้องการของอุตสาหกรรมปัจจุบัน (เช่น AI, อีคอมเมิร์ซ) หรือล้าสมัยแล้ว?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The HVC curriculum includes current topics such as AI Applications for Business, Cloud Computing, Internet of Things, and E-Commerce System Development, alongside core digital business subjects.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หลักสูตร ปวส. มีรายวิชาที่ทันสมัย เช่น การประยุกต์ใช้ AI สำหรับธุรกิจ คลาวด์คอมพิวติ้ง อินเทอร์เน็ตของสรรพสิ่ง (IoT) และการพัฒนาระบบอีคอมเมิร์ซ ควบคู่กับวิชาแกนด้านธุรกิจดิจิทัล</w:t>
      </w:r>
    </w:p>
    <w:p>
      <w:pPr>
        <w:spacing w:after="60" w:before="240"/>
      </w:pPr>
      <w:r>
        <w:rPr>
          <w:b/>
          <w:bCs/>
          <w:color w:val="F28500"/>
        </w:rPr>
        <w:t xml:space="preserve">3. </w:t>
      </w:r>
      <w:r>
        <w:rPr>
          <w:b/>
          <w:bCs/>
        </w:rPr>
        <w:t xml:space="preserve">Q: </w:t>
      </w:r>
      <w:r>
        <w:t xml:space="preserve">How qualified are the teachers — do they have real industry experience?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อาจารย์ผู้สอนมีคุณวุฒิและประสบการณ์ในอุตสาหกรรมจริงหรือไม่?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[FILL IN — summarize teacher qualifications/industry background, or direct parents to full teacher profiles in the kiosk's Profile section.] Teacher profiles including subjects taught, office hours, and contact info are viewable directly on the kiosk.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[ใส่ข้อมูล — สรุปคุณวุฒิ/ประสบการณ์ในอุตสาหกรรมของอาจารย์ หรือแนะนำให้ดูโปรไฟล์อาจารย์ฉบับเต็มที่หัวข้อ "โปรไฟล์" ในตู้คีออสก์] สามารถดูโปรไฟล์อาจารย์ รายวิชาที่สอน เวลาให้คำปรึกษา และช่องทางติดต่อได้โดยตรงที่ตู้คีออสก์</w:t>
      </w:r>
    </w:p>
    <w:p>
      <w:pPr>
        <w:pStyle w:val="Heading1"/>
        <w:pBdr>
          <w:bottom w:val="single" w:color="F28500" w:sz="8" w:space="4"/>
        </w:pBdr>
        <w:spacing w:after="200" w:before="400"/>
      </w:pPr>
      <w:r>
        <w:t xml:space="preserve">Safety &amp; Trust / ความปลอดภัยและความไว้วางใจ</w:t>
      </w:r>
    </w:p>
    <w:p>
      <w:pPr>
        <w:spacing w:after="60" w:before="240"/>
      </w:pPr>
      <w:r>
        <w:rPr>
          <w:b/>
          <w:bCs/>
          <w:color w:val="F28500"/>
        </w:rPr>
        <w:t xml:space="preserve">1. </w:t>
      </w:r>
      <w:r>
        <w:rPr>
          <w:b/>
          <w:bCs/>
        </w:rPr>
        <w:t xml:space="preserve">Q: </w:t>
      </w:r>
      <w:r>
        <w:t xml:space="preserve">Is the campus and department a safe, well-supervised environment for a teenager?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วิทยาเขตและภาควิชาปลอดภัย มีการดูแลนักเรียนที่เหมาะสมหรือไม่?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[FILL IN — describe campus safety measures, supervision policies, and any relevant facilities (CCTV, security staff, attendance tracking, etc.).]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[ใส่ข้อมูล — อธิบายมาตรการความปลอดภัยของวิทยาเขต นโยบายการดูแลนักเรียน และสิ่งอำนวยความสะดวกที่เกี่ยวข้อง เช่น กล้องวงจรปิด เจ้าหน้าที่รักษาความปลอดภัย ระบบเช็คชื่อ]</w:t>
      </w:r>
    </w:p>
    <w:p>
      <w:pPr>
        <w:spacing w:after="60" w:before="240"/>
      </w:pPr>
      <w:r>
        <w:rPr>
          <w:b/>
          <w:bCs/>
          <w:color w:val="F28500"/>
        </w:rPr>
        <w:t xml:space="preserve">2. </w:t>
      </w:r>
      <w:r>
        <w:rPr>
          <w:b/>
          <w:bCs/>
        </w:rPr>
        <w:t xml:space="preserve">Q: </w:t>
      </w:r>
      <w:r>
        <w:t xml:space="preserve">Who can I contact directly if I have concerns about my child's progress?</w:t>
      </w:r>
    </w:p>
    <w:p>
      <w:pPr>
        <w:spacing w:after="60"/>
        <w:ind w:left="300"/>
      </w:pPr>
      <w:r>
        <w:rPr>
          <w:b/>
          <w:bCs/>
          <w:i/>
          <w:iCs/>
          <w:color w:val="636366"/>
        </w:rPr>
        <w:t xml:space="preserve">คำถาม: </w:t>
      </w:r>
      <w:r>
        <w:rPr>
          <w:i/>
          <w:iCs/>
          <w:color w:val="636366"/>
        </w:rPr>
        <w:t xml:space="preserve">หากมีข้อกังวลเกี่ยวกับความก้าวหน้าของลูก จะติดต่อใครได้โดยตรง?</w:t>
      </w:r>
    </w:p>
    <w:p>
      <w:pPr>
        <w:spacing w:after="60"/>
      </w:pPr>
      <w:r>
        <w:rPr>
          <w:b/>
          <w:bCs/>
        </w:rPr>
        <w:t xml:space="preserve">A: </w:t>
      </w:r>
      <w:r>
        <w:t xml:space="preserve">[FILL IN — e.g. homeroom teacher / advisor contact, department office phone/email, Room DBT.68-23.] Parents can also review teacher office hours directly on the kiosk to arrange a meeting.</w:t>
      </w:r>
    </w:p>
    <w:p>
      <w:pPr>
        <w:spacing w:after="120"/>
        <w:ind w:left="300"/>
      </w:pPr>
      <w:r>
        <w:rPr>
          <w:b/>
          <w:bCs/>
          <w:i/>
          <w:iCs/>
          <w:color w:val="636366"/>
        </w:rPr>
        <w:t xml:space="preserve">คำตอบ: </w:t>
      </w:r>
      <w:r>
        <w:rPr>
          <w:i/>
          <w:iCs/>
          <w:color w:val="636366"/>
        </w:rPr>
        <w:t xml:space="preserve">[ใส่ข้อมูล — เช่น ช่องทางติดต่อครูที่ปรึกษา เบอร์โทร/อีเมลสำนักงานภาควิชา ห้อง DBT.68-23] ผู้ปกครองสามารถตรวจสอบเวลาให้คำปรึกษาของอาจารย์ได้โดยตรงที่ตู้คีออสก์เพื่อนัดหมายพูดคุย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2026-08-03T03:47:54.319Z</dcterms:created>
  <dcterms:modified xsi:type="dcterms:W3CDTF">2026-08-03T03:47:54.349Z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