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jpeg" ContentType="image/jpe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u w:val="none"/>
          <w:shd w:fill="auto" w:val="clear"/>
          <w:vertAlign w:val="baseline"/>
        </w:rPr>
      </w:r>
    </w:p>
    <w:tbl>
      <w:tblPr>
        <w:tblStyle w:val="Table1"/>
        <w:tblpPr w:vertAnchor="text" w:horzAnchor="text" w:leftFromText="141" w:rightFromText="141" w:tblpX="108" w:tblpY="474"/>
        <w:tblW w:w="1036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518"/>
        <w:gridCol w:w="1260"/>
        <w:gridCol w:w="1259"/>
        <w:gridCol w:w="540"/>
        <w:gridCol w:w="631"/>
        <w:gridCol w:w="1079"/>
        <w:gridCol w:w="1080"/>
      </w:tblGrid>
      <w:tr>
        <w:trPr>
          <w:cantSplit w:val="true"/>
        </w:trPr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 xml:space="preserve">Отделение  </w:t>
            </w:r>
          </w:p>
        </w:tc>
        <w:tc>
          <w:tcPr>
            <w:tcW w:w="5849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Компьютердик инженерия</w:t>
            </w:r>
          </w:p>
        </w:tc>
      </w:tr>
      <w:tr>
        <w:trPr>
          <w:cantSplit w:val="true"/>
        </w:trPr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 xml:space="preserve">Программа  </w:t>
            </w:r>
          </w:p>
        </w:tc>
        <w:tc>
          <w:tcPr>
            <w:tcW w:w="305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>
                <w:b/>
                <w:color w:val="000000"/>
              </w:rPr>
            </w:pPr>
            <w:r>
              <w:rPr>
                <w:color w:val="000000"/>
              </w:rPr>
              <w:t>Магистратура ☒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>
                <w:b/>
                <w:color w:val="000000"/>
              </w:rPr>
            </w:pPr>
            <w:r>
              <w:rPr/>
              <w:t xml:space="preserve">Докторантура   </w:t>
            </w:r>
            <w:r>
              <w:rPr>
                <w:color w:val="000000"/>
              </w:rPr>
              <w:t>☐</w:t>
            </w:r>
          </w:p>
        </w:tc>
      </w:tr>
      <w:tr>
        <w:trPr>
          <w:cantSplit w:val="true"/>
        </w:trPr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 xml:space="preserve">Название программы </w:t>
            </w:r>
          </w:p>
        </w:tc>
        <w:tc>
          <w:tcPr>
            <w:tcW w:w="5849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  <w:t>Компьютердик инженерия, магистратура</w:t>
            </w:r>
          </w:p>
        </w:tc>
      </w:tr>
      <w:tr>
        <w:trPr>
          <w:cantSplit w:val="true"/>
        </w:trPr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 xml:space="preserve">Семестр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III</w:t>
            </w:r>
            <w:bookmarkStart w:id="0" w:name="gjdgxs"/>
            <w:bookmarkEnd w:id="0"/>
            <w:r>
              <w:rPr>
                <w:color w:val="000000"/>
              </w:rPr>
              <w:t>☒</w:t>
            </w:r>
          </w:p>
        </w:tc>
        <w:tc>
          <w:tcPr>
            <w:tcW w:w="1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IV</w:t>
            </w:r>
            <w:r>
              <w:rPr>
                <w:color w:val="000000"/>
              </w:rPr>
              <w:t>☐</w:t>
            </w:r>
          </w:p>
        </w:tc>
        <w:tc>
          <w:tcPr>
            <w:tcW w:w="11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V </w:t>
            </w:r>
            <w:r>
              <w:rPr>
                <w:color w:val="000000"/>
              </w:rPr>
              <w:t>☐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VI</w:t>
            </w:r>
            <w:r>
              <w:rPr>
                <w:color w:val="000000"/>
              </w:rPr>
              <w:t>☐</w:t>
            </w:r>
            <w:r>
              <w:rPr/>
              <w:t xml:space="preserve">            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VII</w:t>
            </w:r>
            <w:r>
              <w:rPr>
                <w:color w:val="000000"/>
              </w:rPr>
              <w:t>☐</w:t>
            </w:r>
          </w:p>
        </w:tc>
      </w:tr>
      <w:tr>
        <w:trPr>
          <w:cantSplit w:val="true"/>
        </w:trPr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 xml:space="preserve">Имя, Фамилия  </w:t>
            </w:r>
          </w:p>
        </w:tc>
        <w:tc>
          <w:tcPr>
            <w:tcW w:w="5849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/>
              <w:t xml:space="preserve">Nazarkulov Elaman </w:t>
            </w:r>
          </w:p>
        </w:tc>
      </w:tr>
      <w:tr>
        <w:trPr>
          <w:cantSplit w:val="true"/>
        </w:trPr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 xml:space="preserve">Научный руководитель </w:t>
            </w:r>
          </w:p>
        </w:tc>
        <w:tc>
          <w:tcPr>
            <w:tcW w:w="5849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/>
              <w:t xml:space="preserve">Доц.Др.  </w:t>
            </w:r>
            <w:r>
              <w:rPr>
                <w:lang w:val="en-US"/>
              </w:rPr>
              <w:t>Bak</w:t>
            </w:r>
            <w:r>
              <w:rPr>
                <w:lang w:val="en-US"/>
              </w:rPr>
              <w:t>y</w:t>
            </w:r>
            <w:r>
              <w:rPr>
                <w:lang w:val="en-US"/>
              </w:rPr>
              <w:t>t</w:t>
            </w:r>
            <w:r>
              <w:rPr/>
              <w:t xml:space="preserve"> </w:t>
            </w:r>
            <w:r>
              <w:rPr>
                <w:lang w:val="en-US"/>
              </w:rPr>
              <w:t>Sharshenbaev</w:t>
            </w:r>
            <w:r>
              <w:rPr/>
              <w:t xml:space="preserve"> </w:t>
            </w:r>
          </w:p>
        </w:tc>
      </w:tr>
      <w:tr>
        <w:trPr>
          <w:cantSplit w:val="true"/>
        </w:trPr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 xml:space="preserve">Соруководитель  </w:t>
            </w:r>
          </w:p>
        </w:tc>
        <w:tc>
          <w:tcPr>
            <w:tcW w:w="5849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240" w:after="0"/>
              <w:jc w:val="left"/>
              <w:rPr/>
            </w:pPr>
            <w:r>
              <w:rPr/>
              <w:t xml:space="preserve">Доц.Др.  </w:t>
            </w:r>
            <w:r>
              <w:rPr>
                <w:lang w:val="en-US"/>
              </w:rPr>
              <w:t>Ray</w:t>
            </w:r>
            <w:r>
              <w:rPr>
                <w:lang w:val="en-US"/>
              </w:rPr>
              <w:t>i</w:t>
            </w:r>
            <w:r>
              <w:rPr>
                <w:lang w:val="en-US"/>
              </w:rPr>
              <w:t>mbek</w:t>
            </w:r>
            <w:r>
              <w:rPr/>
              <w:t xml:space="preserve"> S</w:t>
            </w:r>
            <w:r>
              <w:rPr>
                <w:lang w:val="en-US"/>
              </w:rPr>
              <w:t>ultanov</w:t>
            </w:r>
          </w:p>
        </w:tc>
      </w:tr>
      <w:tr>
        <w:trPr>
          <w:trHeight w:val="922" w:hRule="atLeast"/>
          <w:cantSplit w:val="true"/>
        </w:trPr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Члены диссертационного комитета</w:t>
              <w:br/>
              <w:br/>
            </w:r>
          </w:p>
        </w:tc>
        <w:tc>
          <w:tcPr>
            <w:tcW w:w="5849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2"/>
        <w:tblW w:w="10440" w:type="dxa"/>
        <w:jc w:val="left"/>
        <w:tblInd w:w="-31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699"/>
        <w:gridCol w:w="7740"/>
      </w:tblGrid>
      <w:tr>
        <w:trPr>
          <w:trHeight w:val="263" w:hRule="atLeast"/>
        </w:trPr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диссертации </w:t>
            </w:r>
          </w:p>
        </w:tc>
        <w:tc>
          <w:tcPr>
            <w:tcW w:w="7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Нейронная сеть для диагностики заболеваний сердца с использованием 12-канальной электрокардиографии (ЭКГ) на основе аугментации сигнала методом опорного узла. 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Краткое содержание </w:t>
            </w:r>
          </w:p>
        </w:tc>
        <w:tc>
          <w:tcPr>
            <w:tcW w:w="7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40" w:after="0"/>
              <w:jc w:val="left"/>
              <w:rPr>
                <w:sz w:val="24"/>
                <w:szCs w:val="24"/>
              </w:rPr>
            </w:pPr>
            <w:r>
              <w:rPr/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009" w:hRule="atLeast"/>
        </w:trPr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Ключевые слова </w:t>
            </w:r>
          </w:p>
        </w:tc>
        <w:tc>
          <w:tcPr>
            <w:tcW w:w="7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 xml:space="preserve">SVG, EKG, CNN, Makine Öğrenimi, kardiyovasküler hastalıklar, elektrokardiyogram, 12 kanallı sinyaller, EKG yorumlama SVG, ЭКГ, CNN, Машинное обучение, сердечно-сосудистые заболевания, электрокардиограмма, 12-канальные сигналы, интерпретация ЭКГ 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3"/>
        <w:tblW w:w="10598" w:type="dxa"/>
        <w:jc w:val="left"/>
        <w:tblInd w:w="-31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827"/>
        <w:gridCol w:w="5770"/>
      </w:tblGrid>
      <w:tr>
        <w:trPr/>
        <w:tc>
          <w:tcPr>
            <w:tcW w:w="10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1. </w:t>
            </w:r>
            <w:r>
              <w:rPr>
                <w:rStyle w:val="Strong"/>
                <w:sz w:val="24"/>
                <w:szCs w:val="24"/>
              </w:rPr>
              <w:t xml:space="preserve">Общая информация о теме диссертации 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/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 данным Всемирной организации здравоохранения (ВОЗ), сердечно-сосудистые заболевания (ССЗ) являются основной причиной смерти во всем мире, ежегодно умирает около 18 миллионов человек. Сердечно-сосудистые заболевания включают ишемическую болезнь сердца, цереброваскулярные заболевания, ревматические пороки сердца и другие заболевания сердца и кровеносных сосудов. Каждая пятая смерть от болезней сердца и инсульта происходит в возрасте до 70 лет. Однако точная и ранняя диагностика может значительно снизить затраты на лечение и внезапную сердечную смерть. 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Электрокардиограмма (ЭКГ) — это один из самых простых и быстрых тестов, который помогает выявить некоторые заболевания сердца путем измерения электрической активности сердца.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Любое нарушение сердечного ритма или проводимости, либо повреждение сердечной мышцы может изменить электрическую активность сердца. Аномальная ЭКГ также может быть признаком перенесенного инфаркта или высокого риска инфаркта в ближайшем будущем.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Существует три основных типа ЭКГ: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ЭКГ в состоянии покоя: Вы лежите во время этого типа ЭКГ. Во время теста не допускаются движения, поскольку электрические импульсы от других мышц могут создавать помехи. Этот тип ЭКГ обычно занимает от 5 до 10 минут.</w:t>
            </w:r>
          </w:p>
          <w:p>
            <w:pPr>
              <w:pStyle w:val="normal1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Амбулаторная ЭКГ (Холтер): Для амбулаторной ЭКГ вы носите портативное записывающее устройство не менее 24 часов. Вы можете нормально двигаться, пока устройство прикреплено.</w:t>
            </w:r>
          </w:p>
          <w:p>
            <w:pPr>
              <w:pStyle w:val="normal1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Стресс-тест / Нагрузочный тест: Это предполагает снятие ЭКГ во время езды на велотренажере или ходьбы по беговой дорожке. Выполнение этого типа ЭКГ занимает 15-30 минут. Стресс-тест также может включать лекарства для понимания их влияния на сердце.</w:t>
            </w:r>
          </w:p>
          <w:p>
            <w:pPr>
              <w:pStyle w:val="normal1"/>
              <w:numPr>
                <w:ilvl w:val="0"/>
                <w:numId w:val="0"/>
              </w:numPr>
              <w:ind w:hanging="0"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/>
            </w:pPr>
            <w:r>
              <w:rPr>
                <w:sz w:val="24"/>
                <w:szCs w:val="24"/>
              </w:rPr>
              <w:t>Некоторые проблемы с сердцем, которые могут вызвать изменения в тесте ЭКГ, включают:</w:t>
            </w:r>
            <w:r>
              <w:rPr>
                <w:sz w:val="24"/>
                <w:szCs w:val="24"/>
              </w:rPr>
              <w:t xml:space="preserve"> 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numPr>
                <w:ilvl w:val="0"/>
                <w:numId w:val="6"/>
              </w:numPr>
              <w:rPr/>
            </w:pPr>
            <w:r>
              <w:rPr/>
              <w:t>Фибрилляция/трепетание предсердий</w:t>
            </w:r>
          </w:p>
          <w:p>
            <w:pPr>
              <w:pStyle w:val="normal1"/>
              <w:numPr>
                <w:ilvl w:val="0"/>
                <w:numId w:val="6"/>
              </w:numPr>
              <w:rPr/>
            </w:pPr>
            <w:r>
              <w:rPr/>
              <w:t>Инфаркт миокарда</w:t>
            </w:r>
          </w:p>
          <w:p>
            <w:pPr>
              <w:pStyle w:val="normal1"/>
              <w:numPr>
                <w:ilvl w:val="0"/>
                <w:numId w:val="6"/>
              </w:numPr>
              <w:rPr/>
            </w:pPr>
            <w:r>
              <w:rPr/>
              <w:t>Сердечная недостаточность</w:t>
            </w:r>
          </w:p>
          <w:p>
            <w:pPr>
              <w:pStyle w:val="normal1"/>
              <w:numPr>
                <w:ilvl w:val="0"/>
                <w:numId w:val="6"/>
              </w:numPr>
              <w:rPr/>
            </w:pPr>
            <w:r>
              <w:rPr/>
              <w:t>Врожденные пороки сердца</w:t>
            </w:r>
          </w:p>
          <w:p>
            <w:pPr>
              <w:pStyle w:val="normal1"/>
              <w:numPr>
                <w:ilvl w:val="0"/>
                <w:numId w:val="6"/>
              </w:numPr>
              <w:rPr/>
            </w:pPr>
            <w:r>
              <w:rPr/>
              <w:t>Нарушения сердечного ритма (аритмии)</w:t>
            </w:r>
          </w:p>
          <w:p>
            <w:pPr>
              <w:pStyle w:val="normal1"/>
              <w:numPr>
                <w:ilvl w:val="0"/>
                <w:numId w:val="6"/>
              </w:numPr>
              <w:rPr/>
            </w:pPr>
            <w:r>
              <w:rPr/>
              <w:t>Плохое кровоснабжение сердца</w:t>
            </w:r>
          </w:p>
          <w:p>
            <w:pPr>
              <w:pStyle w:val="normal1"/>
              <w:numPr>
                <w:ilvl w:val="0"/>
                <w:numId w:val="6"/>
              </w:numPr>
              <w:rPr/>
            </w:pPr>
            <w:r>
              <w:rPr/>
              <w:t>Многофокальная предсердная тахикардия</w:t>
            </w:r>
          </w:p>
          <w:p>
            <w:pPr>
              <w:pStyle w:val="normal1"/>
              <w:numPr>
                <w:ilvl w:val="0"/>
                <w:numId w:val="6"/>
              </w:numPr>
              <w:rPr/>
            </w:pPr>
            <w:r>
              <w:rPr/>
              <w:t>Пароксизмальная наджелудочковая тахикардия</w:t>
            </w:r>
          </w:p>
          <w:p>
            <w:pPr>
              <w:pStyle w:val="normal1"/>
              <w:numPr>
                <w:ilvl w:val="0"/>
                <w:numId w:val="6"/>
              </w:numPr>
              <w:rPr/>
            </w:pPr>
            <w:r>
              <w:rPr/>
              <w:t>Синдром слабости синусового узла</w:t>
            </w:r>
          </w:p>
          <w:p>
            <w:pPr>
              <w:pStyle w:val="normal1"/>
              <w:numPr>
                <w:ilvl w:val="0"/>
                <w:numId w:val="6"/>
              </w:numPr>
              <w:rPr/>
            </w:pPr>
            <w:r>
              <w:rPr/>
              <w:t>Синдром Вольфа-Паркинсона-Уайта</w:t>
            </w:r>
          </w:p>
          <w:p>
            <w:pPr>
              <w:pStyle w:val="normal1"/>
              <w:numPr>
                <w:ilvl w:val="0"/>
                <w:numId w:val="0"/>
              </w:numPr>
              <w:ind w:hanging="0"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Точность ЭКГ зависит от исследуемого состояния. Заболевание сердца не всегда может быть видно на ЭКГ. Некоторые заболевания сердца никогда не вызывают каких-либо специфических изменений ЭКГ. 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Глубокие нейронные сети (ГНС) широко используются для задач классификации и прогнозирования в различных областях. Недавно было отмечено, что ГНС интенсивно развиваются и оказывают значительное влияние на точность классификации для широкого спектра медицинских задач.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(Electrocardiogram, 2024; Services, n.d.)</w:t>
              <w:br/>
              <w:t>(Electrocardiogram Information | Mount Sinai - New York, n.d.)</w:t>
              <w:br/>
              <w:t>(Ayal и др., 2023)</w:t>
              <w:br/>
              <w:t>(Ebrahimi и др., 2020)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2. </w:t>
            </w:r>
            <w:r>
              <w:rPr>
                <w:rStyle w:val="Strong"/>
                <w:sz w:val="24"/>
                <w:szCs w:val="24"/>
              </w:rPr>
              <w:t xml:space="preserve">Проблема, рассматриваемая в диссертации </w:t>
            </w:r>
          </w:p>
          <w:p>
            <w:pPr>
              <w:pStyle w:val="normal1"/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Автоматизированные 12-канальные ЭКГ-устройства могут проводить общий скрининг и предоставлять второе мнение врачам. Однако правильная интерпретация записей ЭКГ сложна и клинически трудоемка; неправильная интерпретация может привести к плохим результатам или даже смерти пациента. Несмотря на широкое использование, несколько исследований highlighted недостатки в навыках интерпретации ЭКГ среди медицинских работников. Более того, интерпретация может различаться между разными наблюдателями, и даже для одного и того же наблюдателя, в то время как задача является монотонной и трудоемкой даже для высококвалифицированных кардиологов. Как показывают литературные данные, до 33% интерпретаций ЭКГ содержат ошибки по сравнению с экспертной оценкой, и до 11% привели к неправильному ведению пациента. В педагогике интерпретации ЭКГ нет универсальной основы; распределение времени, подготовка преподавателей и формат обучения сильно различаются в литературе.</w:t>
            </w:r>
          </w:p>
          <w:p>
            <w:pPr>
              <w:pStyle w:val="normal1"/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(Classification of 27 Heart Abnormalities Using 12-Lead ECG Signals with Combined Deep Learning Techniques | Rawt | Bulletin of Electrical Engineering and Informatics, n.d.)</w:t>
              <w:br/>
              <w:t>(Breen и др., 2019)</w:t>
            </w:r>
          </w:p>
          <w:p>
            <w:pPr>
              <w:pStyle w:val="normal1"/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3. </w:t>
            </w:r>
            <w:r>
              <w:rPr>
                <w:rStyle w:val="Strong"/>
                <w:sz w:val="24"/>
                <w:szCs w:val="24"/>
              </w:rPr>
              <w:t xml:space="preserve">Цель диссертационной работы </w:t>
            </w:r>
          </w:p>
          <w:p>
            <w:pPr>
              <w:pStyle w:val="normal1"/>
              <w:spacing w:lineRule="auto" w:line="240" w:before="240" w:after="0"/>
              <w:rPr>
                <w:sz w:val="24"/>
                <w:szCs w:val="24"/>
              </w:rPr>
            </w:pPr>
            <w:r>
              <w:rPr/>
              <w:t xml:space="preserve">Разработать и реализовать нейронную сеть для диагностики заболеваний сердца с использованием данных 12-канальной электрокардиографии (ЭКГ) на основе аугментации сигнала методом опорного узла. Разработка нейронной сети для диагностики заболеваний сердца на основе анализа 12-канальной электрокардиографии (ЭКГ) считается завершенной. Это включает сбор данных, предварительную обработку данных, разработку и обучение модели, а также оценку ее эффективности. 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4. </w:t>
            </w:r>
            <w:r>
              <w:rPr>
                <w:rStyle w:val="Strong"/>
                <w:sz w:val="24"/>
                <w:szCs w:val="24"/>
              </w:rPr>
              <w:t xml:space="preserve">Значимость/Преимущества диссертационной работы </w:t>
            </w:r>
          </w:p>
          <w:p>
            <w:pPr>
              <w:pStyle w:val="normal1"/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Достижения в области машинного обучения представляют потенциальную возможность для улучшения всесторонней интерпретации ЭКГ. Многие исследования демонстрируют способность алгоритмов ГНС-ЭКГ не только обнаруживать различные аритмии по одноканальной ЭКГ, но и обеспечивать интерпретацию 12-канальных ЭКГ, подобную человеческой. Кроме того, интерпретация сигналов — это утомительная и сложная задача, поэтому даже для экспертов, обучавшихся в течение многих лет, в процессе анализа может присутствовать субъективная изменчивость и человеческая ошибка. Поэтому большое значение имеет исследование и разработка компьютерных методов. Они должны помогать медицинским работникам в принятии решений, снижающих вероятность ошибок, и сокращать время, затрачиваемое на диагностику сложных ЭКГ.</w:t>
            </w:r>
          </w:p>
          <w:p>
            <w:pPr>
              <w:pStyle w:val="normal1"/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 создания нейронной сети для диагностики заболеваний сердца с помощью 12-канальной ЭКГ и методов аугментации сигналов является значимым и полезным по нескольким причинам:</w:t>
            </w:r>
          </w:p>
          <w:p>
            <w:pPr>
              <w:pStyle w:val="normal1"/>
              <w:numPr>
                <w:ilvl w:val="0"/>
                <w:numId w:val="7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Ранняя диагностика: Использование автоматизированной системы для анализа данных ЭКГ позволяет обнаруживать признаки сердечных заболеваний на ранней стадии, когда лечение наиболее эффективно.</w:t>
            </w:r>
          </w:p>
          <w:p>
            <w:pPr>
              <w:pStyle w:val="normal1"/>
              <w:numPr>
                <w:ilvl w:val="0"/>
                <w:numId w:val="7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Сокращение времени диагностики: Автоматизированная система может значительно сократить время, необходимое для анализа ЭКГ, по сравнению с ручной интерпретацией специалистом. Это может быть особенно полезно в случаях, когда требуется быстрый и точный диагноз.</w:t>
            </w:r>
          </w:p>
          <w:p>
            <w:pPr>
              <w:pStyle w:val="normal1"/>
              <w:numPr>
                <w:ilvl w:val="0"/>
                <w:numId w:val="7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Повышенная точность: Используя нейронные сети и методы аугментации сигналов, можно создать модель, которая может автоматически изучать признаки заболеваний и делать прогнозы с высокой точностью, помогая предотвратить ошибки, распространенные при ручной интерпретации.</w:t>
            </w:r>
          </w:p>
          <w:p>
            <w:pPr>
              <w:pStyle w:val="normal1"/>
              <w:numPr>
                <w:ilvl w:val="0"/>
                <w:numId w:val="7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Улучшение доступности здравоохранения: Автоматизированная система может быть легко интегрирована в клиническую практику и использоваться в различных медицинских учреждениях, улучшая доступность диагностики и лечения сердечно-сосудистых заболеваний для пациентов.</w:t>
            </w:r>
          </w:p>
          <w:p>
            <w:pPr>
              <w:pStyle w:val="normal1"/>
              <w:numPr>
                <w:ilvl w:val="0"/>
                <w:numId w:val="7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Улучшение результатов лечения: Более быстрая и точная диагностика сердечных заболеваний может привести к более раннему лечению и улучшению результатов лечения пациентов, что в конечном итоге улучшает качество их жизни.</w:t>
            </w:r>
          </w:p>
          <w:p>
            <w:pPr>
              <w:pStyle w:val="normal1"/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Таким образом, проект может значительно повысить эффективность и доступность диагностики заболеваний сердца, что важно для здравоохранения и продления жизни пациентов.</w:t>
            </w:r>
          </w:p>
          <w:p>
            <w:pPr>
              <w:pStyle w:val="normal1"/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(Rafie и др., 2021)</w:t>
              <w:br/>
              <w:t>(Liu и др., 2021)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5. </w:t>
            </w:r>
            <w:r>
              <w:rPr>
                <w:rStyle w:val="Strong"/>
              </w:rPr>
              <w:t xml:space="preserve">Объем и ограничения диссертационной работы </w:t>
            </w:r>
          </w:p>
          <w:p>
            <w:pPr>
              <w:pStyle w:val="normal1"/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ГНС могут достигать высокой точности в обнаружении различных сердечных аномалий, часто превосходя традиционные методы, а в некоторых случаях даже экспертов-людей. Они также могут помочь в раннем выявлении таких состояний, как аритмия, инфаркт миокарда и другие сердечные заболевания, помогая улучшить состояние пациента.</w:t>
              <w:br/>
              <w:t>Однако ГНС требуют больших объемов размеченных данных для обучения, которые трудно получить из-за проблем конфиденциальности и необходимости экспертной аннотации. Модели глубокого обучения могут плохо обобщаться на невидимые данные или различные популяции пациентов, что приводит к потенциальным неточностям.</w:t>
            </w:r>
          </w:p>
          <w:p>
            <w:pPr>
              <w:pStyle w:val="normal1"/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исследовании планируется использовать следующие методы:</w:t>
            </w:r>
          </w:p>
          <w:p>
            <w:pPr>
              <w:pStyle w:val="normal1"/>
              <w:numPr>
                <w:ilvl w:val="0"/>
                <w:numId w:val="8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 аугментации сигнала</w:t>
            </w:r>
          </w:p>
          <w:p>
            <w:pPr>
              <w:pStyle w:val="normal1"/>
              <w:numPr>
                <w:ilvl w:val="0"/>
                <w:numId w:val="8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 опорного узла (SVM).</w:t>
            </w:r>
          </w:p>
          <w:p>
            <w:pPr>
              <w:pStyle w:val="normal1"/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Использование метода аугментации сигнала позволяет улучшить качество обучающих данных и повысить точность модели. Это увеличивает разнообразие обучающих примеров и улучшает способность модели к обобщению. Использование метода опорных векторов (SVM) позволяет получать точные результаты для классификации и регрессии. Эксперимент будет проводиться на основе данных, предоставленных кардиологической клиникой «Bicard».</w:t>
              <w:br/>
              <w:t xml:space="preserve">Исследование включает следующие основные этапы: 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 w:before="240" w:after="0"/>
              <w:rPr/>
            </w:pPr>
            <w:r>
              <w:rPr>
                <w:sz w:val="24"/>
                <w:szCs w:val="24"/>
              </w:rPr>
              <w:t>Подготовка данных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модели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Обучение и тестирование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Оценка результатов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документации и представление результатов</w:t>
            </w:r>
          </w:p>
          <w:p>
            <w:pPr>
              <w:pStyle w:val="normal1"/>
              <w:numPr>
                <w:ilvl w:val="0"/>
                <w:numId w:val="0"/>
              </w:numPr>
              <w:spacing w:lineRule="auto" w:line="240" w:before="240" w:after="0"/>
              <w:ind w:hanging="0"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(Ribeiro et al., 2020) 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6. </w:t>
            </w:r>
            <w:r>
              <w:rPr>
                <w:rStyle w:val="Strong"/>
                <w:sz w:val="24"/>
                <w:szCs w:val="24"/>
              </w:rPr>
              <w:t xml:space="preserve">Гипотезы и предположения </w:t>
            </w:r>
          </w:p>
          <w:p>
            <w:pPr>
              <w:pStyle w:val="normal1"/>
              <w:numPr>
                <w:ilvl w:val="0"/>
                <w:numId w:val="9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ГНС могут выделять сложные закономерности из необработанных данных ЭКГ, которые людям трудно обнаружить.</w:t>
            </w:r>
          </w:p>
          <w:p>
            <w:pPr>
              <w:pStyle w:val="normal1"/>
              <w:numPr>
                <w:ilvl w:val="0"/>
                <w:numId w:val="9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ГНС могут улучшить точность интерпретации ЭКГ с помощью своего большого набора данных.</w:t>
            </w:r>
          </w:p>
          <w:p>
            <w:pPr>
              <w:pStyle w:val="normal1"/>
              <w:spacing w:lineRule="auto" w:line="240" w:before="240" w:after="0"/>
              <w:rPr/>
            </w:pPr>
            <w:r>
              <w:rPr>
                <w:sz w:val="24"/>
                <w:szCs w:val="24"/>
              </w:rPr>
              <w:t>Проект имеет значительную практическую важность, поскольку автоматизация диагностики заболеваний сердца на основе ЭКГ значительно улучшает процесс оказания медицинской помощи. Оригинальность проекта заключается в его уникальном подходе к диагностике заболеваний сердца. Ожидается, что предлагаемый метод позволит улавливать любые изменения в сигнале ЭКГ, тем самым повышая точность диагностики и улучшая результаты лечения пациентов.</w:t>
            </w:r>
            <w:r>
              <w:rPr>
                <w:sz w:val="24"/>
                <w:szCs w:val="24"/>
              </w:rPr>
              <w:t xml:space="preserve">  </w:t>
            </w:r>
          </w:p>
          <w:p>
            <w:pPr>
              <w:pStyle w:val="normal1"/>
              <w:numPr>
                <w:ilvl w:val="0"/>
                <w:numId w:val="2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Использование 12-канальной ЭКГ: Проект предлагает использование данных 12-канальной ЭКГ для диагностики заболеваний сердца. Это позволяет захватывать широкий спектр электрической активности сердца, тем самым увеличивая информативность для классификации.</w:t>
            </w:r>
          </w:p>
          <w:p>
            <w:pPr>
              <w:pStyle w:val="normal1"/>
              <w:numPr>
                <w:ilvl w:val="0"/>
                <w:numId w:val="2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 аугментации сигнала с использованием метода опорного узла позволяет генерировать новые варианты данных ЭКГ.</w:t>
            </w:r>
          </w:p>
          <w:p>
            <w:pPr>
              <w:pStyle w:val="normal1"/>
              <w:numPr>
                <w:ilvl w:val="0"/>
                <w:numId w:val="2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Использование нейронных сетей для диагностики заболеваний сердца: нейронные сети могут анализировать данные и делать прогнозы с высокой точностью, что может быть полезно для диагностики различных типов заболеваний сердца.</w:t>
            </w:r>
          </w:p>
          <w:p>
            <w:pPr>
              <w:pStyle w:val="normal1"/>
              <w:numPr>
                <w:ilvl w:val="0"/>
                <w:numId w:val="2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Интеграция алгоритмов машинного обучения в клиническую практику: В случае успеха проект может привести к разработке автоматизированного инструмента диагностики заболеваний сердца, интегрированного в клиническую практику для более быстрой и точной диагностики и лечения пациентов.</w:t>
            </w:r>
          </w:p>
          <w:p>
            <w:pPr>
              <w:pStyle w:val="normal1"/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Таким образом, новизна проекта заключается в использовании современных методов аугментации, глубокого обучения и анализа сигналов ЭКГ для автоматизированной диагностики заболеваний сердца. Это приводит к улучшению качества медицинской помощи и снижению нагрузки на медицинский персонал. 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57" w:hRule="atLeast"/>
        </w:trPr>
        <w:tc>
          <w:tcPr>
            <w:tcW w:w="10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7. </w:t>
            </w:r>
            <w:r>
              <w:rPr>
                <w:rStyle w:val="Strong"/>
              </w:rPr>
              <w:t>Методологическая основа диссертационной работы</w:t>
            </w:r>
            <w:r>
              <w:rPr/>
              <w:t xml:space="preserve"> 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</w:t>
            </w:r>
            <w:r>
              <w:rPr>
                <w:b/>
                <w:sz w:val="24"/>
                <w:szCs w:val="24"/>
              </w:rPr>
              <w:t xml:space="preserve">7.1. </w:t>
            </w:r>
            <w:r>
              <w:rPr>
                <w:rStyle w:val="Strong"/>
                <w:sz w:val="24"/>
                <w:szCs w:val="24"/>
              </w:rPr>
              <w:t>Концептуальные основы/Исследовательская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 xml:space="preserve"> </w:t>
            </w:r>
            <w:r>
              <w:rPr>
                <w:rStyle w:val="Strong"/>
                <w:sz w:val="24"/>
                <w:szCs w:val="24"/>
              </w:rPr>
              <w:t xml:space="preserve">модель 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1. </w:t>
            </w:r>
            <w:r>
              <w:rPr>
                <w:sz w:val="24"/>
                <w:szCs w:val="24"/>
              </w:rPr>
              <w:t>Подготовка данных:</w:t>
            </w:r>
          </w:p>
          <w:p>
            <w:pPr>
              <w:pStyle w:val="normal1"/>
              <w:numPr>
                <w:ilvl w:val="0"/>
                <w:numId w:val="10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набора данных 12-канальной ЭКГ, включая записи пациентов с различными заболеваниями сердца и нормальные ЭКГ.</w:t>
            </w:r>
          </w:p>
          <w:p>
            <w:pPr>
              <w:pStyle w:val="normal1"/>
              <w:numPr>
                <w:ilvl w:val="0"/>
                <w:numId w:val="10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Предварительная обработка данных, такая как нормализация амплитуды, удаление шума, выравнивание временных рядов, удаление артефактов и т.д.</w:t>
            </w:r>
          </w:p>
          <w:p>
            <w:pPr>
              <w:pStyle w:val="normal1"/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2. </w:t>
            </w:r>
            <w:r>
              <w:rPr>
                <w:sz w:val="24"/>
                <w:szCs w:val="24"/>
              </w:rPr>
              <w:t>Аугментация данных:</w:t>
              <w:br/>
            </w:r>
          </w:p>
          <w:p>
            <w:pPr>
              <w:pStyle w:val="normal1"/>
              <w:numPr>
                <w:ilvl w:val="0"/>
                <w:numId w:val="10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метода аугментации сигнала с использованием метода опорного узла для создания новых версий данных ЭКГ, учитывающих различные физиологические вариации и артефакты.</w:t>
            </w:r>
          </w:p>
          <w:p>
            <w:pPr>
              <w:pStyle w:val="normal1"/>
              <w:numPr>
                <w:ilvl w:val="0"/>
                <w:numId w:val="10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Используйте аугментацию сигнала на подготовленном наборе данных для создания расширенного набора данных.</w:t>
            </w:r>
          </w:p>
          <w:p>
            <w:pPr>
              <w:pStyle w:val="normal1"/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3. </w:t>
            </w:r>
            <w:r>
              <w:rPr>
                <w:sz w:val="24"/>
                <w:szCs w:val="24"/>
              </w:rPr>
              <w:t>Разработка архитектуры нейронной сети:</w:t>
            </w:r>
          </w:p>
          <w:p>
            <w:pPr>
              <w:pStyle w:val="normal1"/>
              <w:numPr>
                <w:ilvl w:val="0"/>
                <w:numId w:val="10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Определение архитектуры нейронной сети для классификации данных ЭКГ.</w:t>
            </w:r>
          </w:p>
          <w:p>
            <w:pPr>
              <w:pStyle w:val="normal1"/>
              <w:numPr>
                <w:ilvl w:val="0"/>
                <w:numId w:val="10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Выбор типов слоев (например, сверточные слои, слои пулинга, полностью связанные слои) и их параметров.</w:t>
            </w:r>
          </w:p>
          <w:p>
            <w:pPr>
              <w:pStyle w:val="normal1"/>
              <w:numPr>
                <w:ilvl w:val="0"/>
                <w:numId w:val="10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Определите функции активации, функции потерь и метрики для оценки производительности модели.</w:t>
            </w:r>
          </w:p>
          <w:p>
            <w:pPr>
              <w:pStyle w:val="normal1"/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4. </w:t>
            </w:r>
            <w:r>
              <w:rPr>
                <w:sz w:val="24"/>
                <w:szCs w:val="24"/>
              </w:rPr>
              <w:t>Обучение модели:</w:t>
            </w:r>
          </w:p>
          <w:p>
            <w:pPr>
              <w:pStyle w:val="normal1"/>
              <w:numPr>
                <w:ilvl w:val="0"/>
                <w:numId w:val="10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Разделение данных на обучающие, проверочные и тестовые наборы.</w:t>
            </w:r>
          </w:p>
          <w:p>
            <w:pPr>
              <w:pStyle w:val="normal1"/>
              <w:numPr>
                <w:ilvl w:val="0"/>
                <w:numId w:val="10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Обучение модели на обучающих данных с использованием выбранной архитектуры нейронной сети и метода аугментации сигнала.</w:t>
            </w:r>
          </w:p>
          <w:p>
            <w:pPr>
              <w:pStyle w:val="normal1"/>
              <w:numPr>
                <w:ilvl w:val="0"/>
                <w:numId w:val="10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Оцените производительность модели на проверочном наборе данных и при необходимости скорректируйте параметры модели.</w:t>
            </w:r>
          </w:p>
          <w:p>
            <w:pPr>
              <w:pStyle w:val="normal1"/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5. </w:t>
            </w:r>
            <w:r>
              <w:rPr>
                <w:sz w:val="24"/>
                <w:szCs w:val="24"/>
              </w:rPr>
              <w:t>Оценка модели:</w:t>
            </w:r>
          </w:p>
          <w:p>
            <w:pPr>
              <w:pStyle w:val="normal1"/>
              <w:numPr>
                <w:ilvl w:val="0"/>
                <w:numId w:val="10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Оцените производительность обученной модели на тестовом наборе данных.</w:t>
            </w:r>
          </w:p>
          <w:p>
            <w:pPr>
              <w:pStyle w:val="normal1"/>
              <w:numPr>
                <w:ilvl w:val="0"/>
                <w:numId w:val="10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Сравните результаты с другими методами классификации или диагностики заболеваний сердца.</w:t>
            </w:r>
          </w:p>
          <w:p>
            <w:pPr>
              <w:pStyle w:val="normal1"/>
              <w:numPr>
                <w:ilvl w:val="0"/>
                <w:numId w:val="10"/>
              </w:numPr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Проанализируйте ошибки модели и изучите ее интерпретируемость.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</w:t>
            </w:r>
            <w:r>
              <w:rPr>
                <w:b/>
                <w:sz w:val="24"/>
                <w:szCs w:val="24"/>
              </w:rPr>
              <w:t xml:space="preserve">7.2. </w:t>
            </w:r>
            <w:r>
              <w:rPr>
                <w:rStyle w:val="Strong"/>
                <w:sz w:val="24"/>
                <w:szCs w:val="24"/>
              </w:rPr>
              <w:t xml:space="preserve">Генеральная совокупность (Целевая популяция) и Выборка (Выборочная популяция)  </w:t>
            </w:r>
          </w:p>
          <w:p>
            <w:pPr>
              <w:pStyle w:val="normal1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spacing w:lineRule="auto" w:line="240"/>
              <w:rPr/>
            </w:pPr>
            <w:r>
              <w:rPr>
                <w:sz w:val="24"/>
                <w:szCs w:val="24"/>
              </w:rPr>
              <w:t xml:space="preserve">Набор данных конкурса PhysioNet/Cinc 2020 и набор данных пациентов больницы. 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</w:t>
            </w:r>
            <w:r>
              <w:rPr>
                <w:b/>
                <w:sz w:val="24"/>
                <w:szCs w:val="24"/>
              </w:rPr>
              <w:t xml:space="preserve">7.3. </w:t>
            </w:r>
            <w:r>
              <w:rPr>
                <w:rStyle w:val="Strong"/>
                <w:sz w:val="24"/>
                <w:szCs w:val="24"/>
              </w:rPr>
              <w:t xml:space="preserve">Материалы и их сбор </w:t>
            </w:r>
          </w:p>
          <w:p>
            <w:pPr>
              <w:pStyle w:val="normal1"/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этой работе будет использоваться набор данных конкурса PhysioNet/Cinc 2020. Это общедоступный многоклассовый набор данных сигналов ЭКГ, содержащий 43 101 запись ЭКГ. Кроме того, набор данных собран из различных источников, что делает его идеальным для обеспечения способности к обобщению предлагаемого метода.</w:t>
            </w:r>
          </w:p>
          <w:p>
            <w:pPr>
              <w:pStyle w:val="normal1"/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(4 Large Scale 12-Lead Electrocardiogram Database for Arrhythmia Study v1.0.0, n.d.)</w:t>
            </w:r>
          </w:p>
          <w:p>
            <w:pPr>
              <w:pStyle w:val="normal1"/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</w:t>
            </w:r>
            <w:r>
              <w:rPr>
                <w:b/>
                <w:sz w:val="24"/>
                <w:szCs w:val="24"/>
              </w:rPr>
              <w:t xml:space="preserve">7.4. </w:t>
            </w:r>
            <w:r>
              <w:rPr>
                <w:rStyle w:val="Strong"/>
                <w:sz w:val="24"/>
                <w:szCs w:val="24"/>
              </w:rPr>
              <w:t xml:space="preserve">Анализ материалов (Анализ и обобщение материалов) </w:t>
            </w:r>
          </w:p>
          <w:p>
            <w:pPr>
              <w:pStyle w:val="normal1"/>
              <w:spacing w:lineRule="auto" w:line="240" w:before="24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Исходный набор данных состоит из ЭКГ 45 152 пациентов. Количество преобразований А/Ц на бит составляет 4,88, а АЦП имел разрешение 32 бита. Единицей амплитуды были микровольты. Верхний предел составлял 32 767, а нижний предел -32 768. Этические комитеты Народной больницы Шаосин и Первой больницы Нинбо одобрили это исследование и разрешили отказ от информированного согласия и публичное обмен данными после обезличивания. 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8. </w:t>
            </w:r>
            <w:r>
              <w:rPr>
                <w:rStyle w:val="Strong"/>
              </w:rPr>
              <w:t>Çalışma Planı/Takvimi</w:t>
            </w:r>
            <w:r>
              <w:rPr/>
              <w:t xml:space="preserve"> 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tbl>
            <w:tblPr>
              <w:tblStyle w:val="Table4"/>
              <w:tblW w:w="10372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1652"/>
              <w:gridCol w:w="1177"/>
              <w:gridCol w:w="1073"/>
              <w:gridCol w:w="972"/>
              <w:gridCol w:w="1061"/>
              <w:gridCol w:w="955"/>
              <w:gridCol w:w="1081"/>
              <w:gridCol w:w="762"/>
              <w:gridCol w:w="974"/>
              <w:gridCol w:w="664"/>
            </w:tblGrid>
            <w:tr>
              <w:trPr/>
              <w:tc>
                <w:tcPr>
                  <w:tcW w:w="1652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Adımlar </w:t>
                  </w:r>
                </w:p>
              </w:tc>
              <w:tc>
                <w:tcPr>
                  <w:tcW w:w="8719" w:type="dxa"/>
                  <w:gridSpan w:val="9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jc w:val="center"/>
                    <w:rPr/>
                  </w:pPr>
                  <w:r>
                    <w:rPr>
                      <w:lang w:val="en-US"/>
                    </w:rPr>
                    <w:t>Zaman</w:t>
                  </w:r>
                  <w:r>
                    <w:rPr/>
                    <w:t xml:space="preserve"> </w:t>
                  </w:r>
                </w:p>
              </w:tc>
            </w:tr>
            <w:tr>
              <w:trPr/>
              <w:tc>
                <w:tcPr>
                  <w:tcW w:w="1652" w:type="dxa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5238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</w:rPr>
                    <w:t>20</w:t>
                  </w:r>
                  <w:r>
                    <w:rPr>
                      <w:color w:val="FF0000"/>
                      <w:sz w:val="24"/>
                      <w:szCs w:val="24"/>
                    </w:rPr>
                    <w:t>2</w:t>
                  </w:r>
                  <w:r>
                    <w:rPr>
                      <w:color w:val="FF0000"/>
                      <w:sz w:val="24"/>
                      <w:szCs w:val="24"/>
                      <w:lang w:val="en-US"/>
                    </w:rPr>
                    <w:t>5</w:t>
                  </w:r>
                  <w:r>
                    <w:rPr>
                      <w:sz w:val="24"/>
                      <w:szCs w:val="24"/>
                    </w:rPr>
                    <w:t>/20</w:t>
                  </w:r>
                  <w:r>
                    <w:rPr>
                      <w:color w:val="FF0000"/>
                      <w:sz w:val="24"/>
                      <w:szCs w:val="24"/>
                    </w:rPr>
                    <w:t>2</w:t>
                  </w:r>
                  <w:r>
                    <w:rPr>
                      <w:color w:val="FF0000"/>
                      <w:sz w:val="24"/>
                      <w:szCs w:val="24"/>
                      <w:lang w:val="en-US"/>
                    </w:rPr>
                    <w:t>6</w:t>
                  </w:r>
                  <w:r>
                    <w:rPr>
                      <w:sz w:val="24"/>
                      <w:szCs w:val="24"/>
                    </w:rPr>
                    <w:t>-</w:t>
                  </w:r>
                  <w:r>
                    <w:rPr>
    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    <w:b w:val="false"/>
                      <w:i w:val="false"/>
                      <w:caps w:val="false"/>
                      <w:smallCaps w:val="false"/>
                      <w:color w:val="0F1115"/>
                      <w:spacing w:val="0"/>
                      <w:sz w:val="23"/>
                    </w:rPr>
                    <w:t>учебного года</w:t>
                  </w:r>
                  <w:r>
                    <w:rPr/>
                    <w:t xml:space="preserve"> </w:t>
                  </w:r>
                </w:p>
                <w:p>
                  <w:pPr>
                    <w:pStyle w:val="normal1"/>
                    <w:jc w:val="center"/>
                    <w:rPr>
                      <w:lang w:val="en-US"/>
                    </w:rPr>
                  </w:pPr>
                  <w:r>
                    <w:rPr>
    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    <w:b w:val="false"/>
                      <w:i w:val="false"/>
                      <w:caps w:val="false"/>
                      <w:smallCaps w:val="false"/>
                      <w:color w:val="0F1115"/>
                      <w:spacing w:val="0"/>
                      <w:sz w:val="23"/>
                      <w:lang w:val="en-US"/>
                    </w:rPr>
                    <w:t>Осенний семестр</w:t>
                  </w:r>
                  <w:r>
                    <w:rPr>
                      <w:lang w:val="en-US"/>
                    </w:rPr>
                    <w:t xml:space="preserve"> </w:t>
                  </w:r>
                </w:p>
              </w:tc>
              <w:tc>
                <w:tcPr>
                  <w:tcW w:w="3481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20</w:t>
                  </w:r>
                  <w:r>
                    <w:rPr>
                      <w:color w:val="FF0000"/>
                      <w:sz w:val="24"/>
                      <w:szCs w:val="24"/>
                    </w:rPr>
                    <w:t>2</w:t>
                  </w:r>
                  <w:r>
                    <w:rPr>
                      <w:color w:val="FF0000"/>
                      <w:sz w:val="24"/>
                      <w:szCs w:val="24"/>
                      <w:lang w:val="en-US"/>
                    </w:rPr>
                    <w:t>5</w:t>
                  </w:r>
                  <w:r>
                    <w:rPr>
                      <w:sz w:val="24"/>
                      <w:szCs w:val="24"/>
                    </w:rPr>
                    <w:t>/20</w:t>
                  </w:r>
                  <w:r>
                    <w:rPr>
                      <w:color w:val="FF0000"/>
                      <w:sz w:val="24"/>
                      <w:szCs w:val="24"/>
                    </w:rPr>
                    <w:t>2</w:t>
                  </w:r>
                  <w:r>
                    <w:rPr>
                      <w:color w:val="FF0000"/>
                      <w:sz w:val="24"/>
                      <w:szCs w:val="24"/>
                      <w:lang w:val="en-US"/>
                    </w:rPr>
                    <w:t>6</w:t>
                  </w:r>
                  <w:r>
                    <w:rPr>
                      <w:sz w:val="24"/>
                      <w:szCs w:val="24"/>
                    </w:rPr>
                    <w:t>-</w:t>
                  </w:r>
                  <w:r>
                    <w:rPr>
    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    <w:b w:val="false"/>
                      <w:i w:val="false"/>
                      <w:caps w:val="false"/>
                      <w:smallCaps w:val="false"/>
                      <w:color w:val="0F1115"/>
                      <w:spacing w:val="0"/>
                      <w:sz w:val="23"/>
                    </w:rPr>
                    <w:t>учебного года</w:t>
                  </w:r>
                  <w:r>
                    <w:rPr/>
                    <w:t xml:space="preserve">  </w:t>
                  </w:r>
                </w:p>
                <w:p>
                  <w:pPr>
                    <w:pStyle w:val="normal1"/>
                    <w:jc w:val="center"/>
                    <w:rPr/>
                  </w:pPr>
                  <w:r>
                    <w:rPr>
    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    <w:b w:val="false"/>
                      <w:i w:val="false"/>
                      <w:caps w:val="false"/>
                      <w:smallCaps w:val="false"/>
                      <w:color w:val="0F1115"/>
                      <w:spacing w:val="0"/>
                      <w:sz w:val="23"/>
                    </w:rPr>
                    <w:t>Весенний семестр</w:t>
                  </w:r>
                  <w:r>
                    <w:rPr/>
                    <w:t xml:space="preserve"> </w:t>
                    <w:br/>
                  </w:r>
                </w:p>
              </w:tc>
            </w:tr>
            <w:tr>
              <w:trPr>
                <w:trHeight w:val="547" w:hRule="atLeast"/>
              </w:trPr>
              <w:tc>
                <w:tcPr>
                  <w:tcW w:w="1652" w:type="dxa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11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jc w:val="center"/>
                    <w:rPr>
                      <w:lang w:val="en-US"/>
                    </w:rPr>
                  </w:pPr>
                  <w:r>
                    <w:rPr>
    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    <w:b w:val="false"/>
                      <w:i w:val="false"/>
                      <w:caps w:val="false"/>
                      <w:smallCaps w:val="false"/>
                      <w:color w:val="0F1115"/>
                      <w:spacing w:val="0"/>
                      <w:sz w:val="23"/>
                      <w:lang w:val="en-US"/>
                    </w:rPr>
                    <w:t>Сентябрь</w:t>
                  </w:r>
                  <w:r>
                    <w:rPr>
                      <w:lang w:val="en-US"/>
                    </w:rPr>
                    <w:t xml:space="preserve"> </w:t>
                  </w:r>
                </w:p>
              </w:tc>
              <w:tc>
                <w:tcPr>
                  <w:tcW w:w="10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jc w:val="center"/>
                    <w:rPr>
    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    <w:b w:val="false"/>
                      <w:i w:val="false"/>
                      <w:caps w:val="false"/>
                      <w:smallCaps w:val="false"/>
                      <w:color w:val="0F1115"/>
                      <w:spacing w:val="0"/>
                      <w:sz w:val="23"/>
                      <w:lang w:val="en-US"/>
                    </w:rPr>
                  </w:pPr>
                  <w:r>
                    <w:rPr>
    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    <w:b w:val="false"/>
                      <w:i w:val="false"/>
                      <w:caps w:val="false"/>
                      <w:smallCaps w:val="false"/>
                      <w:color w:val="0F1115"/>
                      <w:spacing w:val="0"/>
                      <w:sz w:val="23"/>
                      <w:lang w:val="en-US"/>
                    </w:rPr>
                    <w:t xml:space="preserve">Октябрь </w:t>
                  </w:r>
                </w:p>
              </w:tc>
              <w:tc>
                <w:tcPr>
                  <w:tcW w:w="9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jc w:val="center"/>
                    <w:rPr>
                      <w:lang w:val="en-US"/>
                    </w:rPr>
                  </w:pPr>
                  <w:r>
                    <w:rPr>
    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    <w:b w:val="false"/>
                      <w:i w:val="false"/>
                      <w:caps w:val="false"/>
                      <w:smallCaps w:val="false"/>
                      <w:color w:val="0F1115"/>
                      <w:spacing w:val="0"/>
                      <w:sz w:val="23"/>
                      <w:lang w:val="en-US"/>
                    </w:rPr>
                    <w:t>Ноябрь</w:t>
                  </w:r>
                  <w:r>
                    <w:rPr>
                      <w:lang w:val="en-US"/>
                    </w:rPr>
                    <w:t xml:space="preserve"> </w:t>
                  </w:r>
                </w:p>
              </w:tc>
              <w:tc>
                <w:tcPr>
                  <w:tcW w:w="10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jc w:val="center"/>
                    <w:rPr>
                      <w:lang w:val="en-US"/>
                    </w:rPr>
                  </w:pPr>
                  <w:r>
                    <w:rPr>
    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    <w:b w:val="false"/>
                      <w:i w:val="false"/>
                      <w:caps w:val="false"/>
                      <w:smallCaps w:val="false"/>
                      <w:color w:val="0F1115"/>
                      <w:spacing w:val="0"/>
                      <w:sz w:val="23"/>
                      <w:lang w:val="en-US"/>
                    </w:rPr>
                    <w:t xml:space="preserve">Декабрь </w:t>
                  </w:r>
                  <w:r>
                    <w:rPr>
                      <w:lang w:val="en-US"/>
                    </w:rPr>
                    <w:t xml:space="preserve"> </w:t>
                  </w:r>
                </w:p>
              </w:tc>
              <w:tc>
                <w:tcPr>
                  <w:tcW w:w="9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jc w:val="center"/>
                    <w:rPr>
                      <w:lang w:val="en-US"/>
                    </w:rPr>
                  </w:pPr>
                  <w:r>
                    <w:rPr>
    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    <w:b w:val="false"/>
                      <w:i w:val="false"/>
                      <w:caps w:val="false"/>
                      <w:smallCaps w:val="false"/>
                      <w:color w:val="0F1115"/>
                      <w:spacing w:val="0"/>
                      <w:sz w:val="23"/>
                      <w:lang w:val="en-US"/>
                    </w:rPr>
                    <w:t>Январь</w:t>
                  </w:r>
                  <w:r>
                    <w:rPr>
                      <w:lang w:val="en-US"/>
                    </w:rPr>
                    <w:t xml:space="preserve"> </w:t>
                  </w:r>
                </w:p>
              </w:tc>
              <w:tc>
                <w:tcPr>
                  <w:tcW w:w="10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jc w:val="center"/>
                    <w:rPr>
                      <w:lang w:val="en-US"/>
                    </w:rPr>
                  </w:pPr>
                  <w:r>
                    <w:rPr>
    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    <w:b w:val="false"/>
                      <w:i w:val="false"/>
                      <w:caps w:val="false"/>
                      <w:smallCaps w:val="false"/>
                      <w:color w:val="0F1115"/>
                      <w:spacing w:val="0"/>
                      <w:sz w:val="23"/>
                      <w:lang w:val="en-US"/>
                    </w:rPr>
                    <w:t>Февраль</w:t>
                  </w:r>
                  <w:r>
                    <w:rPr>
                      <w:lang w:val="en-US"/>
                    </w:rPr>
                    <w:t xml:space="preserve"> </w:t>
                  </w:r>
                </w:p>
              </w:tc>
              <w:tc>
                <w:tcPr>
                  <w:tcW w:w="7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jc w:val="center"/>
                    <w:rPr>
                      <w:lang w:val="en-US"/>
                    </w:rPr>
                  </w:pPr>
                  <w:r>
                    <w:rPr>
    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    <w:b w:val="false"/>
                      <w:i w:val="false"/>
                      <w:caps w:val="false"/>
                      <w:smallCaps w:val="false"/>
                      <w:color w:val="0F1115"/>
                      <w:spacing w:val="0"/>
                      <w:sz w:val="23"/>
                      <w:lang w:val="en-US"/>
                    </w:rPr>
                    <w:t>Март</w:t>
                  </w:r>
                  <w:r>
                    <w:rPr>
                      <w:lang w:val="en-US"/>
                    </w:rPr>
                    <w:t xml:space="preserve"> </w:t>
                  </w:r>
                </w:p>
              </w:tc>
              <w:tc>
                <w:tcPr>
                  <w:tcW w:w="9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jc w:val="center"/>
                    <w:rPr>
                      <w:lang w:val="en-US"/>
                    </w:rPr>
                  </w:pPr>
                  <w:r>
                    <w:rPr>
    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    <w:b w:val="false"/>
                      <w:i w:val="false"/>
                      <w:caps w:val="false"/>
                      <w:smallCaps w:val="false"/>
                      <w:color w:val="0F1115"/>
                      <w:spacing w:val="0"/>
                      <w:sz w:val="23"/>
                      <w:lang w:val="en-US"/>
                    </w:rPr>
                    <w:t xml:space="preserve">Апрель </w:t>
                  </w:r>
                  <w:r>
                    <w:rPr>
                      <w:lang w:val="en-US"/>
                    </w:rPr>
                    <w:t xml:space="preserve"> </w:t>
                  </w:r>
                </w:p>
              </w:tc>
              <w:tc>
                <w:tcPr>
                  <w:tcW w:w="6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jc w:val="center"/>
                    <w:rPr>
                      <w:lang w:val="en-US"/>
                    </w:rPr>
                  </w:pPr>
                  <w:r>
                    <w:rPr>
    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    <w:b w:val="false"/>
                      <w:i w:val="false"/>
                      <w:caps w:val="false"/>
                      <w:smallCaps w:val="false"/>
                      <w:color w:val="0F1115"/>
                      <w:spacing w:val="0"/>
                      <w:sz w:val="23"/>
                      <w:lang w:val="en-US"/>
                    </w:rPr>
                    <w:t>Май</w:t>
                  </w:r>
                  <w:r>
                    <w:rPr>
                      <w:lang w:val="en-US"/>
                    </w:rPr>
                    <w:t xml:space="preserve"> </w:t>
                  </w:r>
                </w:p>
              </w:tc>
            </w:tr>
            <w:tr>
              <w:trPr/>
              <w:tc>
                <w:tcPr>
                  <w:tcW w:w="16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widowControl/>
                    <w:ind w:hanging="0" w:left="0" w:right="0"/>
                    <w:rPr>
                      <w:sz w:val="24"/>
                      <w:szCs w:val="24"/>
                    </w:rPr>
                  </w:pPr>
                  <w:r>
                    <w:rPr>
    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    <w:b w:val="false"/>
                      <w:i w:val="false"/>
                      <w:caps w:val="false"/>
                      <w:smallCaps w:val="false"/>
                      <w:color w:val="0F1115"/>
                      <w:spacing w:val="0"/>
                      <w:sz w:val="23"/>
                      <w:szCs w:val="24"/>
                    </w:rPr>
                    <w:t xml:space="preserve">Обзор доступных исследований 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1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9BBB59" w:val="clear"/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10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9BBB59" w:val="clear"/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9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9BBB59" w:val="clear"/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10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9BBB59" w:val="clear"/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9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9BBB59" w:val="clear"/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10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9BBB59" w:val="clear"/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7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9BBB59" w:val="clear"/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9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9BBB59" w:val="clear"/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6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</w:tr>
            <w:tr>
              <w:trPr/>
              <w:tc>
                <w:tcPr>
                  <w:tcW w:w="16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widowControl/>
                    <w:ind w:hanging="0" w:left="0" w:right="0"/>
                    <w:rPr>
                      <w:sz w:val="24"/>
                      <w:szCs w:val="24"/>
                    </w:rPr>
                  </w:pPr>
                  <w:r>
                    <w:rPr>
    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    <w:b w:val="false"/>
                      <w:i w:val="false"/>
                      <w:caps w:val="false"/>
                      <w:smallCaps w:val="false"/>
                      <w:color w:val="0F1115"/>
                      <w:spacing w:val="0"/>
                      <w:sz w:val="23"/>
                      <w:szCs w:val="24"/>
                    </w:rPr>
                    <w:t>Исследование и внедрение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11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auto" w:val="clear"/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10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9BBB59" w:val="clear"/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9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10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9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10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7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9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6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</w:tr>
            <w:tr>
              <w:trPr/>
              <w:tc>
                <w:tcPr>
                  <w:tcW w:w="16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widowControl/>
                    <w:ind w:hanging="0" w:left="0" w:right="0"/>
                    <w:rPr>
                      <w:sz w:val="24"/>
                      <w:szCs w:val="24"/>
                    </w:rPr>
                  </w:pPr>
                  <w:r>
                    <w:rPr>
    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    <w:b w:val="false"/>
                      <w:i w:val="false"/>
                      <w:caps w:val="false"/>
                      <w:smallCaps w:val="false"/>
                      <w:color w:val="0F1115"/>
                      <w:spacing w:val="0"/>
                      <w:sz w:val="23"/>
                      <w:szCs w:val="24"/>
                    </w:rPr>
                    <w:t>Исследование и внедрение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11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auto" w:val="clear"/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10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9BBB59" w:val="clear"/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9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9BBB59" w:val="clear"/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10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9BBB59" w:val="clear"/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9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9BBB59" w:val="clear"/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10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7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9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6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</w:tr>
            <w:tr>
              <w:trPr/>
              <w:tc>
                <w:tcPr>
                  <w:tcW w:w="16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widowControl/>
                    <w:ind w:hanging="0" w:left="0" w:right="0"/>
                    <w:rPr>
                      <w:sz w:val="24"/>
                      <w:szCs w:val="24"/>
                    </w:rPr>
                  </w:pPr>
                  <w:r>
                    <w:rPr>
    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    <w:b w:val="false"/>
                      <w:i w:val="false"/>
                      <w:caps w:val="false"/>
                      <w:smallCaps w:val="false"/>
                      <w:color w:val="0F1115"/>
                      <w:spacing w:val="0"/>
                      <w:sz w:val="23"/>
                      <w:szCs w:val="24"/>
                    </w:rPr>
                    <w:t xml:space="preserve">Исследование и внедрение 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11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auto" w:val="clear"/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10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auto" w:val="clear"/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9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auto" w:val="clear"/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10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9BBB59" w:val="clear"/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9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9BBB59" w:val="clear"/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10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9BBB59" w:val="clear"/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7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9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6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</w:tr>
            <w:tr>
              <w:trPr/>
              <w:tc>
                <w:tcPr>
                  <w:tcW w:w="16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widowControl/>
                    <w:ind w:hanging="0" w:left="0" w:right="0"/>
                    <w:rPr>
                      <w:sz w:val="24"/>
                      <w:szCs w:val="24"/>
                    </w:rPr>
                  </w:pPr>
                  <w:r>
                    <w:rPr>
    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    <w:b w:val="false"/>
                      <w:i w:val="false"/>
                      <w:caps w:val="false"/>
                      <w:smallCaps w:val="false"/>
                      <w:color w:val="0F1115"/>
                      <w:spacing w:val="0"/>
                      <w:sz w:val="23"/>
                      <w:szCs w:val="24"/>
                    </w:rPr>
                    <w:t>Тестирование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11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10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9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10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9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10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9BBB59" w:val="clear"/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7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9BBB59" w:val="clear"/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9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6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</w:tr>
            <w:tr>
              <w:trPr/>
              <w:tc>
                <w:tcPr>
                  <w:tcW w:w="16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widowControl/>
                    <w:ind w:hanging="0" w:left="0" w:right="0"/>
                    <w:rPr>
                      <w:sz w:val="24"/>
                      <w:szCs w:val="24"/>
                    </w:rPr>
                  </w:pPr>
                  <w:r>
                    <w:rPr>
    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    <w:b w:val="false"/>
                      <w:i w:val="false"/>
                      <w:caps w:val="false"/>
                      <w:smallCaps w:val="false"/>
                      <w:color w:val="0F1115"/>
                      <w:spacing w:val="0"/>
                      <w:sz w:val="23"/>
                      <w:szCs w:val="24"/>
                    </w:rPr>
                    <w:t>Валидация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11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10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9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10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9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10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7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9BBB59" w:val="clear"/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9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9BBB59" w:val="clear"/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6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</w:tr>
            <w:tr>
              <w:trPr/>
              <w:tc>
                <w:tcPr>
                  <w:tcW w:w="16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    <w:b w:val="false"/>
                      <w:i w:val="false"/>
                      <w:caps w:val="false"/>
                      <w:smallCaps w:val="false"/>
                      <w:color w:val="0F1115"/>
                      <w:spacing w:val="0"/>
                      <w:sz w:val="23"/>
                      <w:szCs w:val="24"/>
                    </w:rPr>
                    <w:t>Подготовка отчетов</w:t>
                  </w:r>
                  <w:r>
                    <w:rPr>
                      <w:sz w:val="24"/>
                      <w:szCs w:val="24"/>
                    </w:rPr>
                    <w:t xml:space="preserve">  </w:t>
                  </w:r>
                </w:p>
              </w:tc>
              <w:tc>
                <w:tcPr>
                  <w:tcW w:w="11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10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9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10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9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10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7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9BBB59" w:val="clear"/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9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9BBB59" w:val="clear"/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6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9BBB59" w:val="clear"/>
                </w:tcPr>
                <w:p>
                  <w:pPr>
                    <w:pStyle w:val="normal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</w:tr>
          </w:tbl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59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9. </w:t>
            </w:r>
            <w:r>
              <w:rPr>
                <w:rStyle w:val="Strong"/>
                <w:sz w:val="24"/>
                <w:szCs w:val="24"/>
              </w:rPr>
              <w:t>Источники</w:t>
            </w:r>
            <w:r>
              <w:rPr/>
              <w:t xml:space="preserve"> </w:t>
            </w:r>
          </w:p>
          <w:p>
            <w:pPr>
              <w:pStyle w:val="normal1"/>
              <w:spacing w:lineRule="auto" w:line="259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</w:p>
          <w:p>
            <w:pPr>
              <w:pStyle w:val="normal1"/>
              <w:spacing w:lineRule="auto" w:line="240" w:before="24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Ayal, A., Elbashir, M., &amp; Mohammed, A. (2023). Classification of 27 heart abnormalities using 12-lead ECG signals with combined deep learning techniques. </w:t>
            </w:r>
            <w:r>
              <w:rPr>
                <w:rFonts w:eastAsia="Arial" w:cs="Arial" w:ascii="Arial" w:hAnsi="Arial"/>
                <w:i/>
                <w:sz w:val="24"/>
                <w:szCs w:val="24"/>
              </w:rPr>
              <w:t>Bulletin of Electrical Engineering and Informatics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, </w:t>
            </w:r>
            <w:r>
              <w:rPr>
                <w:rFonts w:eastAsia="Arial" w:cs="Arial" w:ascii="Arial" w:hAnsi="Arial"/>
                <w:i/>
                <w:sz w:val="24"/>
                <w:szCs w:val="24"/>
              </w:rPr>
              <w:t>12</w:t>
            </w:r>
            <w:r>
              <w:rPr>
                <w:rFonts w:eastAsia="Arial" w:cs="Arial" w:ascii="Arial" w:hAnsi="Arial"/>
                <w:sz w:val="24"/>
                <w:szCs w:val="24"/>
              </w:rPr>
              <w:t>, 2220–2235. https://doi.org/10.11591/eei.v12i4.4668</w:t>
            </w:r>
          </w:p>
          <w:p>
            <w:pPr>
              <w:pStyle w:val="normal1"/>
              <w:spacing w:lineRule="auto" w:line="240" w:before="24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 xml:space="preserve">Breen, C. J., Kelly, G., &amp; Kernohan, W. (2019). ECG interpretation skill acquisition: A review of learning, teaching and assessment. </w:t>
            </w:r>
            <w:r>
              <w:rPr>
                <w:rFonts w:eastAsia="Arial" w:cs="Arial" w:ascii="Arial" w:hAnsi="Arial"/>
                <w:i/>
                <w:sz w:val="24"/>
                <w:szCs w:val="24"/>
              </w:rPr>
              <w:t>Journal of Electrocardiology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, </w:t>
            </w:r>
            <w:r>
              <w:rPr>
                <w:rFonts w:eastAsia="Arial" w:cs="Arial" w:ascii="Arial" w:hAnsi="Arial"/>
                <w:i/>
                <w:sz w:val="24"/>
                <w:szCs w:val="24"/>
              </w:rPr>
              <w:t>73</w:t>
            </w:r>
            <w:r>
              <w:rPr>
                <w:rFonts w:eastAsia="Arial" w:cs="Arial" w:ascii="Arial" w:hAnsi="Arial"/>
                <w:sz w:val="24"/>
                <w:szCs w:val="24"/>
              </w:rPr>
              <w:t>. https://doi.org/10.1016/j.jelectrocard.2019.03.010</w:t>
            </w:r>
          </w:p>
          <w:p>
            <w:pPr>
              <w:pStyle w:val="normal1"/>
              <w:spacing w:lineRule="auto" w:line="240" w:before="24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i/>
                <w:sz w:val="24"/>
                <w:szCs w:val="24"/>
              </w:rPr>
              <w:t>Classification of 27 heart abnormalities using 12-lead ECG signals with combined deep learning techniques | Rawi | Bulletin of Electrical Engineering and Informatics</w:t>
            </w:r>
            <w:r>
              <w:rPr>
                <w:rFonts w:eastAsia="Arial" w:cs="Arial" w:ascii="Arial" w:hAnsi="Arial"/>
                <w:sz w:val="24"/>
                <w:szCs w:val="24"/>
              </w:rPr>
              <w:t>. (n.d.). Retrieved September 4, 2024, from https://beei.org/index.php/EEI/article/view/4668</w:t>
            </w:r>
          </w:p>
          <w:p>
            <w:pPr>
              <w:pStyle w:val="normal1"/>
              <w:spacing w:lineRule="auto" w:line="240" w:before="24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 xml:space="preserve">Ebrahimi, Z., Loni, M., Daneshtalab, M., &amp; Gharehbaghi, A. (2020). A review on deep learning methods for ECG arrhythmia classification. </w:t>
            </w:r>
            <w:r>
              <w:rPr>
                <w:rFonts w:eastAsia="Arial" w:cs="Arial" w:ascii="Arial" w:hAnsi="Arial"/>
                <w:i/>
                <w:sz w:val="24"/>
                <w:szCs w:val="24"/>
              </w:rPr>
              <w:t>Expert Systems with Applications: X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, </w:t>
            </w:r>
            <w:r>
              <w:rPr>
                <w:rFonts w:eastAsia="Arial" w:cs="Arial" w:ascii="Arial" w:hAnsi="Arial"/>
                <w:i/>
                <w:sz w:val="24"/>
                <w:szCs w:val="24"/>
              </w:rPr>
              <w:t>7</w:t>
            </w:r>
            <w:r>
              <w:rPr>
                <w:rFonts w:eastAsia="Arial" w:cs="Arial" w:ascii="Arial" w:hAnsi="Arial"/>
                <w:sz w:val="24"/>
                <w:szCs w:val="24"/>
              </w:rPr>
              <w:t>, 100033. https://doi.org/10.1016/j.eswax.2020.100033</w:t>
            </w:r>
          </w:p>
          <w:p>
            <w:pPr>
              <w:pStyle w:val="normal1"/>
              <w:spacing w:lineRule="auto" w:line="240" w:before="24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i/>
                <w:sz w:val="24"/>
                <w:szCs w:val="24"/>
              </w:rPr>
              <w:t>Electrocardiogram</w:t>
            </w:r>
            <w:r>
              <w:rPr>
                <w:rFonts w:eastAsia="Arial" w:cs="Arial" w:ascii="Arial" w:hAnsi="Arial"/>
                <w:sz w:val="24"/>
                <w:szCs w:val="24"/>
              </w:rPr>
              <w:t>. (2024, March 13). https://www.hopkinsmedicine.org/health/treatment-tests-and-therapies/electrocardiogram</w:t>
            </w:r>
          </w:p>
          <w:p>
            <w:pPr>
              <w:pStyle w:val="normal1"/>
              <w:spacing w:lineRule="auto" w:line="240" w:before="24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i/>
                <w:sz w:val="24"/>
                <w:szCs w:val="24"/>
              </w:rPr>
              <w:t>Electrocardiogram Information | Mount Sinai—New York</w:t>
            </w:r>
            <w:r>
              <w:rPr>
                <w:rFonts w:eastAsia="Arial" w:cs="Arial" w:ascii="Arial" w:hAnsi="Arial"/>
                <w:sz w:val="24"/>
                <w:szCs w:val="24"/>
              </w:rPr>
              <w:t>. (n.d.). Mount Sinai Health System. Retrieved September 4, 2024, from https://www.mountsinai.org/health-library/tests/electrocardiogram</w:t>
            </w:r>
          </w:p>
          <w:p>
            <w:pPr>
              <w:pStyle w:val="normal1"/>
              <w:spacing w:lineRule="auto" w:line="240" w:before="24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 xml:space="preserve">Liu, X., Wang, H., Li, Z., &amp; Qin, L. (2021). Deep learning in ECG diagnosis: A review. </w:t>
            </w:r>
            <w:r>
              <w:rPr>
                <w:rFonts w:eastAsia="Arial" w:cs="Arial" w:ascii="Arial" w:hAnsi="Arial"/>
                <w:i/>
                <w:sz w:val="24"/>
                <w:szCs w:val="24"/>
              </w:rPr>
              <w:t>Knowledge-Based Systems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, </w:t>
            </w:r>
            <w:r>
              <w:rPr>
                <w:rFonts w:eastAsia="Arial" w:cs="Arial" w:ascii="Arial" w:hAnsi="Arial"/>
                <w:i/>
                <w:sz w:val="24"/>
                <w:szCs w:val="24"/>
              </w:rPr>
              <w:t>227</w:t>
            </w:r>
            <w:r>
              <w:rPr>
                <w:rFonts w:eastAsia="Arial" w:cs="Arial" w:ascii="Arial" w:hAnsi="Arial"/>
                <w:sz w:val="24"/>
                <w:szCs w:val="24"/>
              </w:rPr>
              <w:t>, 107187. https://doi.org/10.1016/j.knosys.2021.107187</w:t>
            </w:r>
          </w:p>
          <w:p>
            <w:pPr>
              <w:pStyle w:val="normal1"/>
              <w:spacing w:lineRule="auto" w:line="240" w:before="24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 xml:space="preserve">Rafie, N., Kashou, A. H., &amp; Noseworthy, P. A. (2021). ECG Interpretation: Clinical Relevance, Challenges, and Advances. </w:t>
            </w:r>
            <w:r>
              <w:rPr>
                <w:rFonts w:eastAsia="Arial" w:cs="Arial" w:ascii="Arial" w:hAnsi="Arial"/>
                <w:i/>
                <w:sz w:val="24"/>
                <w:szCs w:val="24"/>
              </w:rPr>
              <w:t>Hearts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, </w:t>
            </w:r>
            <w:r>
              <w:rPr>
                <w:rFonts w:eastAsia="Arial" w:cs="Arial" w:ascii="Arial" w:hAnsi="Arial"/>
                <w:i/>
                <w:sz w:val="24"/>
                <w:szCs w:val="24"/>
              </w:rPr>
              <w:t>2</w:t>
            </w:r>
            <w:r>
              <w:rPr>
                <w:rFonts w:eastAsia="Arial" w:cs="Arial" w:ascii="Arial" w:hAnsi="Arial"/>
                <w:sz w:val="24"/>
                <w:szCs w:val="24"/>
              </w:rPr>
              <w:t>(4), Article 4. https://doi.org/10.3390/hearts2040039</w:t>
            </w:r>
          </w:p>
          <w:p>
            <w:pPr>
              <w:pStyle w:val="normal1"/>
              <w:spacing w:lineRule="auto" w:line="240" w:before="24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 xml:space="preserve">Ribeiro, A. H., Ribeiro, M. H., Paixão, G. M. M., Oliveira, D. M., Gomes, P. R., Canazart, J. A., Ferreira, M. P. S., Andersson, C. R., Macfarlane, P. W., Meira Jr., W., Schön, T. B., &amp; Ribeiro, A. L. P. (2020). Automatic diagnosis of the 12-lead ECG using a deep neural network. </w:t>
            </w:r>
            <w:r>
              <w:rPr>
                <w:rFonts w:eastAsia="Arial" w:cs="Arial" w:ascii="Arial" w:hAnsi="Arial"/>
                <w:i/>
                <w:sz w:val="24"/>
                <w:szCs w:val="24"/>
              </w:rPr>
              <w:t>Nature Communications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, </w:t>
            </w:r>
            <w:r>
              <w:rPr>
                <w:rFonts w:eastAsia="Arial" w:cs="Arial" w:ascii="Arial" w:hAnsi="Arial"/>
                <w:i/>
                <w:sz w:val="24"/>
                <w:szCs w:val="24"/>
              </w:rPr>
              <w:t>11</w:t>
            </w:r>
            <w:r>
              <w:rPr>
                <w:rFonts w:eastAsia="Arial" w:cs="Arial" w:ascii="Arial" w:hAnsi="Arial"/>
                <w:sz w:val="24"/>
                <w:szCs w:val="24"/>
              </w:rPr>
              <w:t>(1), 1760. https://doi.org/10.1038/s41467-020-15432-4</w:t>
            </w:r>
          </w:p>
          <w:p>
            <w:pPr>
              <w:pStyle w:val="normal1"/>
              <w:spacing w:lineRule="auto" w:line="240" w:before="24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 xml:space="preserve">Services, D. of H. &amp; H. (n.d.). </w:t>
            </w:r>
            <w:r>
              <w:rPr>
                <w:rFonts w:eastAsia="Arial" w:cs="Arial" w:ascii="Arial" w:hAnsi="Arial"/>
                <w:i/>
                <w:sz w:val="24"/>
                <w:szCs w:val="24"/>
              </w:rPr>
              <w:t>ECG test</w:t>
            </w:r>
            <w:r>
              <w:rPr>
                <w:rFonts w:eastAsia="Arial" w:cs="Arial" w:ascii="Arial" w:hAnsi="Arial"/>
                <w:sz w:val="24"/>
                <w:szCs w:val="24"/>
              </w:rPr>
              <w:t>. Department of Health &amp; Human Services. Retrieved September 4, 2024, from http://www.betterhealth.vic.gov.au/health/conditionsandtreatments/ecg-test</w:t>
            </w:r>
          </w:p>
          <w:p>
            <w:pPr>
              <w:pStyle w:val="normal1"/>
              <w:spacing w:lineRule="auto" w:line="25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>
        <w:trPr/>
        <w:tc>
          <w:tcPr>
            <w:tcW w:w="10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10. </w:t>
            </w:r>
            <w:r>
              <w:rPr>
                <w:rStyle w:val="Strong"/>
                <w:sz w:val="24"/>
                <w:szCs w:val="24"/>
              </w:rPr>
              <w:t xml:space="preserve">Приложение 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4"/>
                <w:szCs w:val="24"/>
              </w:rPr>
            </w:pPr>
            <w:bookmarkStart w:id="1" w:name="_30j0zll"/>
            <w:bookmarkEnd w:id="1"/>
            <w:r>
              <w:rPr>
                <w:b/>
                <w:sz w:val="24"/>
                <w:szCs w:val="24"/>
              </w:rPr>
              <w:t xml:space="preserve">11. </w:t>
            </w:r>
            <w:r>
              <w:rPr>
                <w:rStyle w:val="Strong"/>
              </w:rPr>
              <w:t>Другие дополнительные элементы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F1115"/>
                <w:spacing w:val="0"/>
                <w:sz w:val="24"/>
                <w:szCs w:val="24"/>
              </w:rPr>
              <w:t xml:space="preserve"> </w:t>
            </w:r>
            <w:r>
              <w:rPr>
                <w:rStyle w:val="Strong"/>
                <w:b w:val="false"/>
                <w:bCs w:val="false"/>
                <w:sz w:val="24"/>
                <w:szCs w:val="24"/>
              </w:rPr>
              <w:t xml:space="preserve">(Информация о разрешении от Этического комитета или другом официальном разрешении на написание диссертации) 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</w:rPr>
              <w:t xml:space="preserve">Данный проект диссертационной работы был написан в соответствии с правилами, изложенными в инструкциях КТМУ, КИИ для программ магистратуры/аспирантуры по написанию и публикации диссертации, а также в инструкции по написанию проекта диссертации. </w:t>
            </w:r>
          </w:p>
        </w:tc>
      </w:tr>
      <w:tr>
        <w:trPr/>
        <w:tc>
          <w:tcPr>
            <w:tcW w:w="4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4"/>
                <w:szCs w:val="24"/>
              </w:rPr>
            </w:pPr>
            <w:r>
              <w:rPr/>
              <w:t xml:space="preserve">Подпись </w:t>
            </w:r>
          </w:p>
          <w:p>
            <w:pPr>
              <w:pStyle w:val="normal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Магистрант</w:t>
            </w:r>
            <w:r>
              <w:rPr/>
              <w:t xml:space="preserve"> </w:t>
            </w:r>
          </w:p>
          <w:p>
            <w:pPr>
              <w:pStyle w:val="normal1"/>
              <w:spacing w:lineRule="auto" w:line="240" w:before="240" w:after="0"/>
              <w:jc w:val="center"/>
              <w:rPr/>
            </w:pPr>
            <w:r>
              <w:rPr>
                <w:lang w:val="en-US"/>
              </w:rPr>
              <w:t>Назаркулов Эламан</w:t>
            </w:r>
            <w:r>
              <w:rPr/>
              <w:t xml:space="preserve"> </w:t>
            </w:r>
          </w:p>
          <w:p>
            <w:pPr>
              <w:pStyle w:val="normal1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02.09.2024</w:t>
            </w: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4"/>
                <w:szCs w:val="24"/>
              </w:rPr>
            </w:pPr>
            <w:r>
              <w:rPr/>
              <w:t xml:space="preserve">Подпись </w:t>
            </w:r>
          </w:p>
          <w:p>
            <w:pPr>
              <w:pStyle w:val="normal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Научный руководитель </w:t>
            </w:r>
          </w:p>
          <w:p>
            <w:pPr>
              <w:pStyle w:val="normal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Доц.Др.  </w:t>
            </w:r>
            <w:hyperlink r:id="rId2">
              <w:r>
                <w:rPr>
                  <w:rStyle w:val="Hyperlink"/>
                  <w:sz w:val="24"/>
                  <w:szCs w:val="24"/>
                </w:rPr>
                <w:t>Rayımbek SULTANOV</w:t>
              </w:r>
            </w:hyperlink>
            <w:r>
              <w:rPr>
                <w:sz w:val="24"/>
                <w:szCs w:val="24"/>
              </w:rPr>
              <w:t xml:space="preserve"> </w:t>
            </w:r>
          </w:p>
          <w:p>
            <w:pPr>
              <w:pStyle w:val="normal1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02.09.2024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jc w:val="both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Tahoma">
    <w:charset w:val="00"/>
    <w:family w:val="roman"/>
    <w:pitch w:val="variable"/>
  </w:font>
  <w:font w:name="Georgia">
    <w:charset w:val="00"/>
    <w:family w:val="roman"/>
    <w:pitch w:val="variable"/>
  </w:font>
  <w:font w:name="Arial">
    <w:charset w:val="00"/>
    <w:family w:val="roman"/>
    <w:pitch w:val="variable"/>
  </w:font>
  <w:font w:name="quote-cjk-patch">
    <w:altName w:val="Inter"/>
    <w:charset w:val="00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left="0" w:right="0"/>
      <w:jc w:val="left"/>
      <w:rPr/>
    </w:pPr>
    <w:r>
      <w:rPr/>
    </w:r>
  </w:p>
  <w:tbl>
    <w:tblPr>
      <w:tblStyle w:val="Table6"/>
      <w:tblW w:w="9904" w:type="dxa"/>
      <w:jc w:val="left"/>
      <w:tblInd w:w="-159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00"/>
    </w:tblPr>
    <w:tblGrid>
      <w:gridCol w:w="1409"/>
      <w:gridCol w:w="3883"/>
      <w:gridCol w:w="1398"/>
      <w:gridCol w:w="3213"/>
    </w:tblGrid>
    <w:tr>
      <w:trPr>
        <w:trHeight w:val="548" w:hRule="atLeast"/>
      </w:trPr>
      <w:tc>
        <w:tcPr>
          <w:tcW w:w="14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center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Даярдаган</w:t>
          </w:r>
        </w:p>
      </w:tc>
      <w:tc>
        <w:tcPr>
          <w:tcW w:w="388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center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Институттун секретары</w:t>
          </w:r>
        </w:p>
      </w:tc>
      <w:tc>
        <w:tcPr>
          <w:tcW w:w="139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center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 xml:space="preserve">Тастыктаган </w:t>
          </w:r>
        </w:p>
      </w:tc>
      <w:tc>
        <w:tcPr>
          <w:tcW w:w="32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center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Жетекчиликтин өкүлү</w:t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-709" w:right="0"/>
      <w:jc w:val="both"/>
      <w:rPr>
        <w:rFonts w:ascii="Times New Roman" w:hAnsi="Times New Roman" w:eastAsia="Times New Roman" w:cs="Times New Roman"/>
        <w:b w:val="false"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           </w:t>
    </w:r>
    <w:r>
      <w:rPr>
        <w:rFonts w:eastAsia="Times New Roman" w:cs="Times New Roman"/>
        <w:b w:val="false"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Кыргыз-Түрк Манас университетинин ректорлугу © 2014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left="0" w:right="0"/>
      <w:jc w:val="left"/>
      <w:rPr/>
    </w:pPr>
    <w:r>
      <w:rPr/>
    </w:r>
  </w:p>
  <w:tbl>
    <w:tblPr>
      <w:tblStyle w:val="Table6"/>
      <w:tblW w:w="9904" w:type="dxa"/>
      <w:jc w:val="left"/>
      <w:tblInd w:w="-159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00"/>
    </w:tblPr>
    <w:tblGrid>
      <w:gridCol w:w="1409"/>
      <w:gridCol w:w="3883"/>
      <w:gridCol w:w="1398"/>
      <w:gridCol w:w="3213"/>
    </w:tblGrid>
    <w:tr>
      <w:trPr>
        <w:trHeight w:val="548" w:hRule="atLeast"/>
      </w:trPr>
      <w:tc>
        <w:tcPr>
          <w:tcW w:w="14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center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Даярдаган</w:t>
          </w:r>
        </w:p>
      </w:tc>
      <w:tc>
        <w:tcPr>
          <w:tcW w:w="388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center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Институттун секретары</w:t>
          </w:r>
        </w:p>
      </w:tc>
      <w:tc>
        <w:tcPr>
          <w:tcW w:w="139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center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 xml:space="preserve">Тастыктаган </w:t>
          </w:r>
        </w:p>
      </w:tc>
      <w:tc>
        <w:tcPr>
          <w:tcW w:w="32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center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Жетекчиликтин өкүлү</w:t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-709" w:right="0"/>
      <w:jc w:val="both"/>
      <w:rPr>
        <w:rFonts w:ascii="Times New Roman" w:hAnsi="Times New Roman" w:eastAsia="Times New Roman" w:cs="Times New Roman"/>
        <w:b w:val="false"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           </w:t>
    </w:r>
    <w:r>
      <w:rPr>
        <w:rFonts w:eastAsia="Times New Roman" w:cs="Times New Roman"/>
        <w:b w:val="false"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Кыргыз-Түрк Манас университетинин ректорлугу © 2014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left="0" w:right="0"/>
      <w:jc w:val="left"/>
      <w:rPr/>
    </w:pPr>
    <w:r>
      <w:rPr/>
    </w:r>
  </w:p>
  <w:tbl>
    <w:tblPr>
      <w:tblStyle w:val="Table5"/>
      <w:tblW w:w="10260" w:type="dxa"/>
      <w:jc w:val="left"/>
      <w:tblInd w:w="-28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/>
    </w:tblPr>
    <w:tblGrid>
      <w:gridCol w:w="1440"/>
      <w:gridCol w:w="1260"/>
      <w:gridCol w:w="3870"/>
      <w:gridCol w:w="1890"/>
      <w:gridCol w:w="1800"/>
    </w:tblGrid>
    <w:tr>
      <w:trPr>
        <w:trHeight w:val="284" w:hRule="atLeast"/>
        <w:cantSplit w:val="true"/>
      </w:trPr>
      <w:tc>
        <w:tcPr>
          <w:tcW w:w="144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center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66775" cy="882650"/>
                <wp:effectExtent l="0" t="0" r="0" b="0"/>
                <wp:docPr id="1" name="image1.jpg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8826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center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5130" w:type="dxa"/>
          <w:gridSpan w:val="2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itle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rPr>
              <w:rFonts w:eastAsia="Times New Roman" w:cs="Times New Roman" w:ascii="Times New Roman" w:hAnsi="Times New Roman"/>
              <w:sz w:val="20"/>
              <w:szCs w:val="20"/>
            </w:rPr>
            <w:t>Табигый илимдер институтунун формалары</w:t>
          </w:r>
        </w:p>
        <w:p>
          <w:pPr>
            <w:pStyle w:val="normal1"/>
            <w:tabs>
              <w:tab w:val="clear" w:pos="720"/>
              <w:tab w:val="left" w:pos="-2430" w:leader="none"/>
            </w:tabs>
            <w:ind w:hanging="0" w:left="57" w:right="57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</w:p>
      </w:tc>
      <w:tc>
        <w:tcPr>
          <w:tcW w:w="18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1561" w:leader="none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Документтин №</w:t>
          </w:r>
        </w:p>
      </w:tc>
      <w:tc>
        <w:tcPr>
          <w:tcW w:w="18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1743" w:leader="none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-57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КТМУ-фр-ТИИ-28</w:t>
          </w:r>
        </w:p>
      </w:tc>
    </w:tr>
    <w:tr>
      <w:trPr>
        <w:trHeight w:val="284" w:hRule="atLeast"/>
        <w:cantSplit w:val="true"/>
      </w:trPr>
      <w:tc>
        <w:tcPr>
          <w:tcW w:w="144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left="0" w:right="0"/>
            <w:jc w:val="left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5130" w:type="dxa"/>
          <w:gridSpan w:val="2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left="0" w:right="0"/>
            <w:jc w:val="left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18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1561" w:leader="none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Түзүлгөн датасы</w:t>
          </w:r>
        </w:p>
      </w:tc>
      <w:tc>
        <w:tcPr>
          <w:tcW w:w="18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1419" w:leader="none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01/11/2014</w:t>
          </w:r>
        </w:p>
      </w:tc>
    </w:tr>
    <w:tr>
      <w:trPr>
        <w:trHeight w:val="284" w:hRule="atLeast"/>
        <w:cantSplit w:val="true"/>
      </w:trPr>
      <w:tc>
        <w:tcPr>
          <w:tcW w:w="144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left="0" w:right="0"/>
            <w:jc w:val="left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5130" w:type="dxa"/>
          <w:gridSpan w:val="2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left="0" w:right="0"/>
            <w:jc w:val="left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18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1561" w:leader="none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Ревизиянын №</w:t>
          </w:r>
        </w:p>
      </w:tc>
      <w:tc>
        <w:tcPr>
          <w:tcW w:w="18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1419" w:leader="none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01</w:t>
          </w:r>
        </w:p>
      </w:tc>
    </w:tr>
    <w:tr>
      <w:trPr>
        <w:trHeight w:val="330" w:hRule="atLeast"/>
        <w:cantSplit w:val="true"/>
      </w:trPr>
      <w:tc>
        <w:tcPr>
          <w:tcW w:w="144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left="0" w:right="0"/>
            <w:jc w:val="left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12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3546" w:leader="none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Документтин аты</w:t>
          </w:r>
        </w:p>
      </w:tc>
      <w:tc>
        <w:tcPr>
          <w:tcW w:w="387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3546" w:leader="none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center"/>
            <w:rPr>
              <w:rFonts w:ascii="Times New Roman" w:hAnsi="Times New Roman" w:eastAsia="Times New Roman" w:cs="Times New Roman"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>Диссертациялык иштин долбоорун даярдоо формасы</w:t>
          </w:r>
        </w:p>
      </w:tc>
      <w:tc>
        <w:tcPr>
          <w:tcW w:w="18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1561" w:leader="none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Ревизиянын датасы</w:t>
          </w:r>
        </w:p>
      </w:tc>
      <w:tc>
        <w:tcPr>
          <w:tcW w:w="18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1419" w:leader="none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-</w:t>
          </w:r>
        </w:p>
      </w:tc>
    </w:tr>
    <w:tr>
      <w:trPr>
        <w:trHeight w:val="330" w:hRule="atLeast"/>
        <w:cantSplit w:val="true"/>
      </w:trPr>
      <w:tc>
        <w:tcPr>
          <w:tcW w:w="144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left="0" w:right="0"/>
            <w:jc w:val="left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126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left="0" w:right="0"/>
            <w:jc w:val="left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387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left="0" w:right="0"/>
            <w:jc w:val="left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18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1561" w:leader="none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Бет</w:t>
          </w:r>
        </w:p>
      </w:tc>
      <w:tc>
        <w:tcPr>
          <w:tcW w:w="18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1419" w:leader="none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1/2</w:t>
          </w:r>
        </w:p>
      </w:tc>
    </w:tr>
  </w:tbl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left="0" w:right="0"/>
      <w:jc w:val="left"/>
      <w:rPr/>
    </w:pPr>
    <w:r>
      <w:rPr/>
    </w:r>
  </w:p>
  <w:tbl>
    <w:tblPr>
      <w:tblStyle w:val="Table5"/>
      <w:tblW w:w="10260" w:type="dxa"/>
      <w:jc w:val="left"/>
      <w:tblInd w:w="-28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/>
    </w:tblPr>
    <w:tblGrid>
      <w:gridCol w:w="1440"/>
      <w:gridCol w:w="1260"/>
      <w:gridCol w:w="3870"/>
      <w:gridCol w:w="1890"/>
      <w:gridCol w:w="1800"/>
    </w:tblGrid>
    <w:tr>
      <w:trPr>
        <w:trHeight w:val="284" w:hRule="atLeast"/>
        <w:cantSplit w:val="true"/>
      </w:trPr>
      <w:tc>
        <w:tcPr>
          <w:tcW w:w="144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center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66775" cy="882650"/>
                <wp:effectExtent l="0" t="0" r="0" b="0"/>
                <wp:docPr id="2" name="image1.jpg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8826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center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5130" w:type="dxa"/>
          <w:gridSpan w:val="2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itle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rPr>
              <w:rFonts w:eastAsia="Times New Roman" w:cs="Times New Roman" w:ascii="Times New Roman" w:hAnsi="Times New Roman"/>
              <w:sz w:val="20"/>
              <w:szCs w:val="20"/>
            </w:rPr>
            <w:t>Табигый илимдер институтунун формалары</w:t>
          </w:r>
        </w:p>
        <w:p>
          <w:pPr>
            <w:pStyle w:val="normal1"/>
            <w:tabs>
              <w:tab w:val="clear" w:pos="720"/>
              <w:tab w:val="left" w:pos="-2430" w:leader="none"/>
            </w:tabs>
            <w:ind w:hanging="0" w:left="57" w:right="57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</w:p>
      </w:tc>
      <w:tc>
        <w:tcPr>
          <w:tcW w:w="18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1561" w:leader="none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Документтин №</w:t>
          </w:r>
        </w:p>
      </w:tc>
      <w:tc>
        <w:tcPr>
          <w:tcW w:w="18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1743" w:leader="none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-57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КТМУ-фр-ТИИ-28</w:t>
          </w:r>
        </w:p>
      </w:tc>
    </w:tr>
    <w:tr>
      <w:trPr>
        <w:trHeight w:val="284" w:hRule="atLeast"/>
        <w:cantSplit w:val="true"/>
      </w:trPr>
      <w:tc>
        <w:tcPr>
          <w:tcW w:w="144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left="0" w:right="0"/>
            <w:jc w:val="left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5130" w:type="dxa"/>
          <w:gridSpan w:val="2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left="0" w:right="0"/>
            <w:jc w:val="left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18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1561" w:leader="none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Түзүлгөн датасы</w:t>
          </w:r>
        </w:p>
      </w:tc>
      <w:tc>
        <w:tcPr>
          <w:tcW w:w="18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1419" w:leader="none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01/11/2014</w:t>
          </w:r>
        </w:p>
      </w:tc>
    </w:tr>
    <w:tr>
      <w:trPr>
        <w:trHeight w:val="284" w:hRule="atLeast"/>
        <w:cantSplit w:val="true"/>
      </w:trPr>
      <w:tc>
        <w:tcPr>
          <w:tcW w:w="144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left="0" w:right="0"/>
            <w:jc w:val="left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5130" w:type="dxa"/>
          <w:gridSpan w:val="2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left="0" w:right="0"/>
            <w:jc w:val="left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18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1561" w:leader="none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Ревизиянын №</w:t>
          </w:r>
        </w:p>
      </w:tc>
      <w:tc>
        <w:tcPr>
          <w:tcW w:w="18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1419" w:leader="none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01</w:t>
          </w:r>
        </w:p>
      </w:tc>
    </w:tr>
    <w:tr>
      <w:trPr>
        <w:trHeight w:val="330" w:hRule="atLeast"/>
        <w:cantSplit w:val="true"/>
      </w:trPr>
      <w:tc>
        <w:tcPr>
          <w:tcW w:w="144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left="0" w:right="0"/>
            <w:jc w:val="left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12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3546" w:leader="none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Документтин аты</w:t>
          </w:r>
        </w:p>
      </w:tc>
      <w:tc>
        <w:tcPr>
          <w:tcW w:w="387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3546" w:leader="none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center"/>
            <w:rPr>
              <w:rFonts w:ascii="Times New Roman" w:hAnsi="Times New Roman" w:eastAsia="Times New Roman" w:cs="Times New Roman"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>Диссертациялык иштин долбоорун даярдоо формасы</w:t>
          </w:r>
        </w:p>
      </w:tc>
      <w:tc>
        <w:tcPr>
          <w:tcW w:w="18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1561" w:leader="none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Ревизиянын датасы</w:t>
          </w:r>
        </w:p>
      </w:tc>
      <w:tc>
        <w:tcPr>
          <w:tcW w:w="18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1419" w:leader="none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-</w:t>
          </w:r>
        </w:p>
      </w:tc>
    </w:tr>
    <w:tr>
      <w:trPr>
        <w:trHeight w:val="330" w:hRule="atLeast"/>
        <w:cantSplit w:val="true"/>
      </w:trPr>
      <w:tc>
        <w:tcPr>
          <w:tcW w:w="144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left="0" w:right="0"/>
            <w:jc w:val="left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126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left="0" w:right="0"/>
            <w:jc w:val="left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387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left="0" w:right="0"/>
            <w:jc w:val="left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18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1561" w:leader="none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Бет</w:t>
          </w:r>
        </w:p>
      </w:tc>
      <w:tc>
        <w:tcPr>
          <w:tcW w:w="18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1419" w:leader="none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both"/>
            <w:rPr>
              <w:rFonts w:ascii="Times New Roman" w:hAnsi="Times New Roman" w:eastAsia="Times New Roman" w:cs="Times New Roman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>1/2</w:t>
          </w:r>
        </w:p>
      </w:tc>
    </w:tr>
  </w:tbl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4"/>
        <w:szCs w:val="24"/>
        <w:lang w:val="ky-K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ky-KG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240" w:after="0"/>
    </w:pPr>
    <w:rPr>
      <w:rFonts w:ascii="Cambria" w:hAnsi="Cambria" w:eastAsia="Cambria" w:cs="Cambria"/>
      <w:color w:val="366091"/>
      <w:sz w:val="32"/>
      <w:szCs w:val="32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jc w:val="center"/>
    </w:pPr>
    <w:rPr>
      <w:b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ky-KG" w:eastAsia="zh-CN" w:bidi="hi-IN"/>
    </w:rPr>
  </w:style>
  <w:style w:type="paragraph" w:styleId="Title">
    <w:name w:val="Title"/>
    <w:basedOn w:val="normal1"/>
    <w:next w:val="normal1"/>
    <w:qFormat/>
    <w:pPr>
      <w:jc w:val="center"/>
    </w:pPr>
    <w:rPr>
      <w:rFonts w:ascii="Tahoma" w:hAnsi="Tahoma" w:eastAsia="Tahoma" w:cs="Tahoma"/>
      <w:b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Default">
    <w:name w:val="Default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color w:val="000000"/>
      <w:kern w:val="0"/>
      <w:sz w:val="24"/>
      <w:szCs w:val="24"/>
      <w:lang w:val="ky-KG" w:eastAsia="zh-CN" w:bidi="hi-IN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ee.manas.edu.kg/staff/0417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LibreOffice/25.2.5.2$Windows_X86_64 LibreOffice_project/03d19516eb2e1dd5d4ccd751a0d6f35f35e08022</Application>
  <AppVersion>15.0000</AppVersion>
  <Pages>11</Pages>
  <Words>2077</Words>
  <Characters>14769</Characters>
  <CharactersWithSpaces>16767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2025-01-14T10:16:00Z</dcterms:created>
  <dc:creator/>
  <dc:description/>
  <dc:language>en-US</dc:language>
  <cp:lastModifiedBy/>
  <dcterms:modified xsi:type="dcterms:W3CDTF">2025-10-03T16:43:37Z</dcterms:modified>
  <cp:revision>6</cp:revision>
  <dc:subject/>
  <dc:title/>
</cp:coreProperties>
</file>