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jpeg" ContentType="image/jpeg"/>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4"/>
          <w:sz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u w:val="none"/>
          <w:shd w:fill="auto" w:val="clear"/>
          <w:vertAlign w:val="baseline"/>
        </w:rPr>
      </w:r>
    </w:p>
    <w:tbl>
      <w:tblPr>
        <w:tblStyle w:val="Table1"/>
        <w:tblpPr w:vertAnchor="text" w:horzAnchor="text" w:leftFromText="141" w:rightFromText="141" w:tblpX="108" w:tblpY="474"/>
        <w:tblW w:w="10368" w:type="dxa"/>
        <w:jc w:val="left"/>
        <w:tblInd w:w="108" w:type="dxa"/>
        <w:tblLayout w:type="fixed"/>
        <w:tblCellMar>
          <w:top w:w="0" w:type="dxa"/>
          <w:left w:w="108" w:type="dxa"/>
          <w:bottom w:w="0" w:type="dxa"/>
          <w:right w:w="108" w:type="dxa"/>
        </w:tblCellMar>
        <w:tblLook w:val="0000"/>
      </w:tblPr>
      <w:tblGrid>
        <w:gridCol w:w="4518"/>
        <w:gridCol w:w="1260"/>
        <w:gridCol w:w="1259"/>
        <w:gridCol w:w="540"/>
        <w:gridCol w:w="631"/>
        <w:gridCol w:w="1079"/>
        <w:gridCol w:w="1080"/>
      </w:tblGrid>
      <w:tr>
        <w:trPr>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bCs/>
              </w:rPr>
            </w:pPr>
            <w:r>
              <w:rPr>
                <w:b/>
                <w:bCs/>
              </w:rPr>
              <w:t>Bölüm</w:t>
            </w:r>
          </w:p>
        </w:tc>
        <w:tc>
          <w:tcPr>
            <w:tcW w:w="5849" w:type="dxa"/>
            <w:gridSpan w:val="6"/>
            <w:tcBorders>
              <w:top w:val="single" w:sz="8" w:space="0" w:color="000000"/>
              <w:left w:val="single" w:sz="8" w:space="0" w:color="000000"/>
              <w:bottom w:val="single" w:sz="8" w:space="0" w:color="000000"/>
              <w:right w:val="single" w:sz="8" w:space="0" w:color="000000"/>
            </w:tcBorders>
          </w:tcPr>
          <w:p>
            <w:pPr>
              <w:pStyle w:val="normal1"/>
              <w:rPr/>
            </w:pPr>
            <w:r>
              <w:rPr/>
              <w:t>Компьютердик инженерия</w:t>
            </w:r>
          </w:p>
        </w:tc>
      </w:tr>
      <w:tr>
        <w:trPr>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bCs/>
              </w:rPr>
            </w:pPr>
            <w:r>
              <w:rPr>
                <w:b/>
                <w:bCs/>
              </w:rPr>
              <w:t>Program</w:t>
            </w:r>
          </w:p>
        </w:tc>
        <w:tc>
          <w:tcPr>
            <w:tcW w:w="3059" w:type="dxa"/>
            <w:gridSpan w:val="3"/>
            <w:tcBorders>
              <w:top w:val="single" w:sz="8" w:space="0" w:color="000000"/>
              <w:left w:val="single" w:sz="8" w:space="0" w:color="000000"/>
              <w:bottom w:val="single" w:sz="8" w:space="0" w:color="000000"/>
              <w:right w:val="single" w:sz="8" w:space="0" w:color="000000"/>
            </w:tcBorders>
          </w:tcPr>
          <w:p>
            <w:pPr>
              <w:pStyle w:val="normal1"/>
              <w:rPr>
                <w:b/>
                <w:color w:val="000000"/>
              </w:rPr>
            </w:pPr>
            <w:r>
              <w:rPr>
                <w:color w:val="000000"/>
              </w:rPr>
              <w:t>Магистратура ☒</w:t>
            </w:r>
          </w:p>
        </w:tc>
        <w:tc>
          <w:tcPr>
            <w:tcW w:w="2790" w:type="dxa"/>
            <w:gridSpan w:val="3"/>
            <w:tcBorders>
              <w:top w:val="single" w:sz="8" w:space="0" w:color="000000"/>
              <w:left w:val="single" w:sz="8" w:space="0" w:color="000000"/>
              <w:bottom w:val="single" w:sz="8" w:space="0" w:color="000000"/>
              <w:right w:val="single" w:sz="8" w:space="0" w:color="000000"/>
            </w:tcBorders>
          </w:tcPr>
          <w:p>
            <w:pPr>
              <w:pStyle w:val="normal1"/>
              <w:rPr>
                <w:b/>
                <w:color w:val="000000"/>
              </w:rPr>
            </w:pPr>
            <w:r>
              <w:rPr/>
              <w:t xml:space="preserve">Докторантура   </w:t>
            </w:r>
            <w:r>
              <w:rPr>
                <w:color w:val="000000"/>
              </w:rPr>
              <w:t>☐</w:t>
            </w:r>
          </w:p>
        </w:tc>
      </w:tr>
      <w:tr>
        <w:trPr>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bCs/>
              </w:rPr>
            </w:pPr>
            <w:r>
              <w:rPr>
                <w:b/>
                <w:bCs/>
              </w:rPr>
              <w:t>Program Adı</w:t>
            </w:r>
          </w:p>
        </w:tc>
        <w:tc>
          <w:tcPr>
            <w:tcW w:w="5849" w:type="dxa"/>
            <w:gridSpan w:val="6"/>
            <w:tcBorders>
              <w:top w:val="single" w:sz="8" w:space="0" w:color="000000"/>
              <w:left w:val="single" w:sz="8" w:space="0" w:color="000000"/>
              <w:bottom w:val="single" w:sz="8" w:space="0" w:color="000000"/>
              <w:right w:val="single" w:sz="8" w:space="0" w:color="000000"/>
            </w:tcBorders>
          </w:tcPr>
          <w:p>
            <w:pPr>
              <w:pStyle w:val="normal1"/>
              <w:jc w:val="both"/>
              <w:rPr/>
            </w:pPr>
            <w:r>
              <w:rPr/>
              <w:t>Компьютердик инженерия, магистратура</w:t>
            </w:r>
          </w:p>
        </w:tc>
      </w:tr>
      <w:tr>
        <w:trPr>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bCs/>
              </w:rPr>
            </w:pPr>
            <w:r>
              <w:rPr>
                <w:b/>
                <w:bCs/>
              </w:rPr>
              <w:t>Dönem</w:t>
            </w:r>
          </w:p>
        </w:tc>
        <w:tc>
          <w:tcPr>
            <w:tcW w:w="1260" w:type="dxa"/>
            <w:tcBorders>
              <w:top w:val="single" w:sz="8" w:space="0" w:color="000000"/>
              <w:left w:val="single" w:sz="8" w:space="0" w:color="000000"/>
              <w:bottom w:val="single" w:sz="8" w:space="0" w:color="000000"/>
              <w:right w:val="single" w:sz="8" w:space="0" w:color="000000"/>
            </w:tcBorders>
          </w:tcPr>
          <w:p>
            <w:pPr>
              <w:pStyle w:val="normal1"/>
              <w:rPr/>
            </w:pPr>
            <w:r>
              <w:rPr/>
              <w:t>III</w:t>
            </w:r>
            <w:bookmarkStart w:id="0" w:name="gjdgxs"/>
            <w:bookmarkEnd w:id="0"/>
            <w:r>
              <w:rPr>
                <w:color w:val="000000"/>
              </w:rPr>
              <w:t>☒</w:t>
            </w:r>
          </w:p>
        </w:tc>
        <w:tc>
          <w:tcPr>
            <w:tcW w:w="1259" w:type="dxa"/>
            <w:tcBorders>
              <w:top w:val="single" w:sz="8" w:space="0" w:color="000000"/>
              <w:left w:val="single" w:sz="8" w:space="0" w:color="000000"/>
              <w:bottom w:val="single" w:sz="8" w:space="0" w:color="000000"/>
              <w:right w:val="single" w:sz="8" w:space="0" w:color="000000"/>
            </w:tcBorders>
          </w:tcPr>
          <w:p>
            <w:pPr>
              <w:pStyle w:val="normal1"/>
              <w:rPr/>
            </w:pPr>
            <w:r>
              <w:rPr/>
              <w:t>IV</w:t>
            </w:r>
            <w:r>
              <w:rPr>
                <w:color w:val="000000"/>
              </w:rPr>
              <w:t>☐</w:t>
            </w:r>
          </w:p>
        </w:tc>
        <w:tc>
          <w:tcPr>
            <w:tcW w:w="1171" w:type="dxa"/>
            <w:gridSpan w:val="2"/>
            <w:tcBorders>
              <w:top w:val="single" w:sz="8" w:space="0" w:color="000000"/>
              <w:left w:val="single" w:sz="8" w:space="0" w:color="000000"/>
              <w:bottom w:val="single" w:sz="8" w:space="0" w:color="000000"/>
              <w:right w:val="single" w:sz="8" w:space="0" w:color="000000"/>
            </w:tcBorders>
          </w:tcPr>
          <w:p>
            <w:pPr>
              <w:pStyle w:val="normal1"/>
              <w:rPr/>
            </w:pPr>
            <w:r>
              <w:rPr/>
              <w:t xml:space="preserve">V </w:t>
            </w:r>
            <w:r>
              <w:rPr>
                <w:color w:val="000000"/>
              </w:rPr>
              <w:t>☐</w:t>
            </w:r>
          </w:p>
        </w:tc>
        <w:tc>
          <w:tcPr>
            <w:tcW w:w="1079" w:type="dxa"/>
            <w:tcBorders>
              <w:top w:val="single" w:sz="8" w:space="0" w:color="000000"/>
              <w:left w:val="single" w:sz="8" w:space="0" w:color="000000"/>
              <w:bottom w:val="single" w:sz="8" w:space="0" w:color="000000"/>
              <w:right w:val="single" w:sz="8" w:space="0" w:color="000000"/>
            </w:tcBorders>
          </w:tcPr>
          <w:p>
            <w:pPr>
              <w:pStyle w:val="normal1"/>
              <w:rPr/>
            </w:pPr>
            <w:r>
              <w:rPr/>
              <w:t>VI</w:t>
            </w:r>
            <w:r>
              <w:rPr>
                <w:color w:val="000000"/>
              </w:rPr>
              <w:t>☐</w:t>
            </w:r>
          </w:p>
        </w:tc>
        <w:tc>
          <w:tcPr>
            <w:tcW w:w="1080" w:type="dxa"/>
            <w:tcBorders>
              <w:top w:val="single" w:sz="8" w:space="0" w:color="000000"/>
              <w:left w:val="single" w:sz="8" w:space="0" w:color="000000"/>
              <w:bottom w:val="single" w:sz="8" w:space="0" w:color="000000"/>
              <w:right w:val="single" w:sz="8" w:space="0" w:color="000000"/>
            </w:tcBorders>
          </w:tcPr>
          <w:p>
            <w:pPr>
              <w:pStyle w:val="normal1"/>
              <w:rPr/>
            </w:pPr>
            <w:r>
              <w:rPr/>
              <w:t>VII</w:t>
            </w:r>
            <w:r>
              <w:rPr>
                <w:color w:val="000000"/>
              </w:rPr>
              <w:t>☐</w:t>
            </w:r>
          </w:p>
        </w:tc>
      </w:tr>
      <w:tr>
        <w:trPr>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bCs/>
              </w:rPr>
            </w:pPr>
            <w:r>
              <w:rPr>
                <w:b/>
                <w:bCs/>
              </w:rPr>
              <w:t>Adı, Soyadı</w:t>
            </w:r>
          </w:p>
        </w:tc>
        <w:tc>
          <w:tcPr>
            <w:tcW w:w="5849" w:type="dxa"/>
            <w:gridSpan w:val="6"/>
            <w:tcBorders>
              <w:top w:val="single" w:sz="8" w:space="0" w:color="000000"/>
              <w:left w:val="single" w:sz="8" w:space="0" w:color="000000"/>
              <w:bottom w:val="single" w:sz="8" w:space="0" w:color="000000"/>
              <w:right w:val="single" w:sz="8" w:space="0" w:color="000000"/>
            </w:tcBorders>
          </w:tcPr>
          <w:p>
            <w:pPr>
              <w:pStyle w:val="normal1"/>
              <w:spacing w:lineRule="auto" w:line="240" w:before="240" w:after="0"/>
              <w:rPr/>
            </w:pPr>
            <w:r>
              <w:rPr/>
              <w:t>Nazarkulov Elaman</w:t>
            </w:r>
          </w:p>
        </w:tc>
      </w:tr>
      <w:tr>
        <w:trPr>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bCs/>
              </w:rPr>
            </w:pPr>
            <w:r>
              <w:rPr>
                <w:b/>
                <w:bCs/>
              </w:rPr>
              <w:t>Bilimsel Danışman</w:t>
            </w:r>
          </w:p>
        </w:tc>
        <w:tc>
          <w:tcPr>
            <w:tcW w:w="5849" w:type="dxa"/>
            <w:gridSpan w:val="6"/>
            <w:tcBorders>
              <w:top w:val="single" w:sz="8" w:space="0" w:color="000000"/>
              <w:left w:val="single" w:sz="8" w:space="0" w:color="000000"/>
              <w:bottom w:val="single" w:sz="8" w:space="0" w:color="000000"/>
              <w:right w:val="single" w:sz="8" w:space="0" w:color="000000"/>
            </w:tcBorders>
          </w:tcPr>
          <w:p>
            <w:pPr>
              <w:pStyle w:val="normal1"/>
              <w:spacing w:lineRule="auto" w:line="240" w:before="240" w:after="0"/>
              <w:rPr/>
            </w:pPr>
            <w:r>
              <w:rPr/>
              <w:t xml:space="preserve">Doç. Dr.  Dr. </w:t>
            </w:r>
            <w:r>
              <w:rPr>
                <w:lang w:val="en-US"/>
              </w:rPr>
              <w:t>Bakyt</w:t>
            </w:r>
            <w:r>
              <w:rPr/>
              <w:t xml:space="preserve"> </w:t>
            </w:r>
            <w:r>
              <w:rPr>
                <w:lang w:val="en-US"/>
              </w:rPr>
              <w:t>Sharshenbaev</w:t>
            </w:r>
          </w:p>
        </w:tc>
      </w:tr>
      <w:tr>
        <w:trPr>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bCs/>
              </w:rPr>
            </w:pPr>
            <w:r>
              <w:rPr>
                <w:b/>
                <w:bCs/>
              </w:rPr>
              <w:t>Eş Danışman</w:t>
            </w:r>
          </w:p>
        </w:tc>
        <w:tc>
          <w:tcPr>
            <w:tcW w:w="5849" w:type="dxa"/>
            <w:gridSpan w:val="6"/>
            <w:tcBorders>
              <w:top w:val="single" w:sz="8" w:space="0" w:color="000000"/>
              <w:left w:val="single" w:sz="8" w:space="0" w:color="000000"/>
              <w:bottom w:val="single" w:sz="8" w:space="0" w:color="000000"/>
              <w:right w:val="single" w:sz="8" w:space="0" w:color="000000"/>
            </w:tcBorders>
          </w:tcPr>
          <w:p>
            <w:pPr>
              <w:pStyle w:val="normal1"/>
              <w:spacing w:lineRule="auto" w:line="240" w:before="240" w:after="0"/>
              <w:jc w:val="left"/>
              <w:rPr/>
            </w:pPr>
            <w:r>
              <w:rPr/>
              <w:t xml:space="preserve">Doç. Dr.  Dr.  </w:t>
            </w:r>
            <w:r>
              <w:rPr>
                <w:lang w:val="en-US"/>
              </w:rPr>
              <w:t>Rayimbek</w:t>
            </w:r>
            <w:r>
              <w:rPr/>
              <w:t xml:space="preserve"> S</w:t>
            </w:r>
            <w:r>
              <w:rPr>
                <w:lang w:val="en-US"/>
              </w:rPr>
              <w:t>ultanov</w:t>
            </w:r>
          </w:p>
        </w:tc>
      </w:tr>
      <w:tr>
        <w:trPr>
          <w:trHeight w:val="922" w:hRule="atLeast"/>
          <w:cantSplit w:val="true"/>
        </w:trPr>
        <w:tc>
          <w:tcPr>
            <w:tcW w:w="4518" w:type="dxa"/>
            <w:tcBorders>
              <w:top w:val="single" w:sz="8" w:space="0" w:color="000000"/>
              <w:left w:val="single" w:sz="8" w:space="0" w:color="000000"/>
              <w:bottom w:val="single" w:sz="8" w:space="0" w:color="000000"/>
              <w:right w:val="single" w:sz="8" w:space="0" w:color="000000"/>
            </w:tcBorders>
          </w:tcPr>
          <w:p>
            <w:pPr>
              <w:pStyle w:val="normal1"/>
              <w:rPr>
                <w:b/>
                <w:bCs/>
              </w:rPr>
            </w:pPr>
            <w:r>
              <w:rPr>
                <w:b/>
                <w:bCs/>
              </w:rPr>
              <w:t>Tez Komitesi Üyeleri</w:t>
              <w:br/>
            </w:r>
          </w:p>
        </w:tc>
        <w:tc>
          <w:tcPr>
            <w:tcW w:w="5849" w:type="dxa"/>
            <w:gridSpan w:val="6"/>
            <w:tcBorders>
              <w:top w:val="single" w:sz="8" w:space="0" w:color="000000"/>
              <w:left w:val="single" w:sz="8" w:space="0" w:color="000000"/>
              <w:bottom w:val="single" w:sz="8" w:space="0" w:color="000000"/>
              <w:right w:val="single" w:sz="8" w:space="0" w:color="000000"/>
            </w:tcBorders>
          </w:tcPr>
          <w:p>
            <w:pPr>
              <w:pStyle w:val="normal1"/>
              <w:rPr/>
            </w:pPr>
            <w:r>
              <w:rPr/>
            </w:r>
          </w:p>
        </w:tc>
      </w:tr>
    </w:tbl>
    <w:p>
      <w:pPr>
        <w:pStyle w:val="normal1"/>
        <w:rPr/>
      </w:pPr>
      <w:r>
        <w:rPr/>
      </w:r>
    </w:p>
    <w:p>
      <w:pPr>
        <w:pStyle w:val="normal1"/>
        <w:rPr/>
      </w:pPr>
      <w:r>
        <w:rPr/>
      </w:r>
    </w:p>
    <w:tbl>
      <w:tblPr>
        <w:tblStyle w:val="Table2"/>
        <w:tblW w:w="10440" w:type="dxa"/>
        <w:jc w:val="left"/>
        <w:tblInd w:w="-319" w:type="dxa"/>
        <w:tblLayout w:type="fixed"/>
        <w:tblCellMar>
          <w:top w:w="0" w:type="dxa"/>
          <w:left w:w="108" w:type="dxa"/>
          <w:bottom w:w="0" w:type="dxa"/>
          <w:right w:w="108" w:type="dxa"/>
        </w:tblCellMar>
        <w:tblLook w:val="0400"/>
      </w:tblPr>
      <w:tblGrid>
        <w:gridCol w:w="2698"/>
        <w:gridCol w:w="7741"/>
      </w:tblGrid>
      <w:tr>
        <w:trPr>
          <w:trHeight w:val="263" w:hRule="atLeast"/>
        </w:trPr>
        <w:tc>
          <w:tcPr>
            <w:tcW w:w="2698"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t>Tez Başlığı</w:t>
            </w:r>
          </w:p>
        </w:tc>
        <w:tc>
          <w:tcPr>
            <w:tcW w:w="7741"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40" w:after="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i w:val="false"/>
                <w:caps w:val="false"/>
                <w:smallCaps w:val="false"/>
                <w:color w:val="0F1115"/>
                <w:spacing w:val="0"/>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Referans düğüm yöntemiyle sinyal büyütmeye dayalı 12 kanallı elektrokardiyografi (EKG) kullanarak kalp hastalıklarını teşhis etmek için sinir ağı.</w:t>
            </w:r>
          </w:p>
          <w:p>
            <w:pPr>
              <w:pStyle w:val="normal1"/>
              <w:rPr>
                <w:sz w:val="24"/>
                <w:szCs w:val="24"/>
              </w:rPr>
            </w:pPr>
            <w:r>
              <w:rPr>
                <w:sz w:val="24"/>
                <w:szCs w:val="24"/>
              </w:rPr>
            </w:r>
          </w:p>
        </w:tc>
      </w:tr>
      <w:tr>
        <w:trPr/>
        <w:tc>
          <w:tcPr>
            <w:tcW w:w="2698" w:type="dxa"/>
            <w:tcBorders>
              <w:top w:val="single" w:sz="4" w:space="0" w:color="000000"/>
              <w:left w:val="single" w:sz="4" w:space="0" w:color="000000"/>
              <w:bottom w:val="single" w:sz="4" w:space="0" w:color="000000"/>
              <w:right w:val="single" w:sz="4" w:space="0" w:color="000000"/>
            </w:tcBorders>
          </w:tcPr>
          <w:p>
            <w:pPr>
              <w:pStyle w:val="normal1"/>
              <w:rPr>
                <w:sz w:val="24"/>
                <w:szCs w:val="24"/>
                <w:highlight w:val="yellow"/>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szCs w:val="24"/>
              </w:rPr>
              <w:t>Kısa İçerik</w:t>
            </w:r>
          </w:p>
        </w:tc>
        <w:tc>
          <w:tcPr>
            <w:tcW w:w="7741"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40" w:after="0"/>
              <w:jc w:val="left"/>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tc>
      </w:tr>
      <w:tr>
        <w:trPr>
          <w:trHeight w:val="2009" w:hRule="atLeast"/>
        </w:trPr>
        <w:tc>
          <w:tcPr>
            <w:tcW w:w="2698" w:type="dxa"/>
            <w:tcBorders>
              <w:top w:val="single" w:sz="4" w:space="0" w:color="000000"/>
              <w:left w:val="single" w:sz="4" w:space="0" w:color="000000"/>
              <w:bottom w:val="single" w:sz="4" w:space="0" w:color="000000"/>
              <w:right w:val="single" w:sz="4" w:space="0" w:color="000000"/>
            </w:tcBorders>
          </w:tcPr>
          <w:p>
            <w:pPr>
              <w:pStyle w:val="normal1"/>
              <w:rPr>
                <w:sz w:val="24"/>
                <w:szCs w:val="24"/>
                <w:highlight w:val="yellow"/>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Anahtar Kelimeler</w:t>
            </w:r>
          </w:p>
        </w:tc>
        <w:tc>
          <w:tcPr>
            <w:tcW w:w="7741"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40" w:after="0"/>
              <w:rPr>
                <w:sz w:val="24"/>
                <w:szCs w:val="24"/>
                <w:highlight w:val="yellow"/>
              </w:rPr>
            </w:pPr>
            <w:r>
              <w:rPr>
                <w:sz w:val="24"/>
                <w:szCs w:val="24"/>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SVG, EKG, CNN, Makine Öğrenimi, kardiyovasküler hastalıklar, elektrokardiyogram, 12 kanallı sinyaller, EKG yorumlama</w:t>
            </w:r>
          </w:p>
        </w:tc>
      </w:tr>
    </w:tbl>
    <w:p>
      <w:pPr>
        <w:pStyle w:val="normal1"/>
        <w:rPr/>
      </w:pPr>
      <w:r>
        <w:rPr/>
      </w:r>
    </w:p>
    <w:p>
      <w:pPr>
        <w:pStyle w:val="normal1"/>
        <w:rPr/>
      </w:pPr>
      <w:r>
        <w:rPr/>
      </w:r>
    </w:p>
    <w:tbl>
      <w:tblPr>
        <w:tblStyle w:val="Table3"/>
        <w:tblW w:w="10598" w:type="dxa"/>
        <w:jc w:val="left"/>
        <w:tblInd w:w="-319" w:type="dxa"/>
        <w:tblLayout w:type="fixed"/>
        <w:tblCellMar>
          <w:top w:w="0" w:type="dxa"/>
          <w:left w:w="108" w:type="dxa"/>
          <w:bottom w:w="0" w:type="dxa"/>
          <w:right w:w="108" w:type="dxa"/>
        </w:tblCellMar>
        <w:tblLook w:val="0400"/>
      </w:tblPr>
      <w:tblGrid>
        <w:gridCol w:w="4827"/>
        <w:gridCol w:w="5770"/>
      </w:tblGrid>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1. </w:t>
            </w:r>
            <w:r>
              <w:rPr>
                <w:rStyle w:val="Strong"/>
                <w:sz w:val="24"/>
                <w:szCs w:val="24"/>
              </w:rPr>
              <w:t>Tez Konusu Hakkında Genel Bilgiler</w:t>
            </w:r>
          </w:p>
          <w:p>
            <w:pPr>
              <w:pStyle w:val="normal1"/>
              <w:rPr>
                <w:sz w:val="24"/>
                <w:szCs w:val="24"/>
              </w:rPr>
            </w:pPr>
            <w:r>
              <w:rPr>
                <w:sz w:val="24"/>
                <w:szCs w:val="24"/>
              </w:rPr>
            </w:r>
          </w:p>
          <w:p>
            <w:pPr>
              <w:pStyle w:val="normal1"/>
              <w:rPr>
                <w:sz w:val="24"/>
                <w:szCs w:val="24"/>
              </w:rPr>
            </w:pPr>
            <w:r>
              <w:rPr>
                <w:sz w:val="24"/>
                <w:szCs w:val="24"/>
              </w:rPr>
              <w:t xml:space="preserve">  </w:t>
            </w:r>
            <w:r>
              <w:rPr>
                <w:sz w:val="24"/>
                <w:szCs w:val="24"/>
              </w:rPr>
              <w:t>Dünya Sağlık Örgütü'ne (WHO) göre, kardiyovasküler hastalıklar (KVD'ler) dünya çapında önde gelen ölüm nedenidir ve her yıl yaklaşık 18 milyon insan ölmektedir. Kardiyovasküler hastalıklar koroner arter hastalığı, serebrovasküler hastalık, romatizmal kalp hastalığı ve kalp ve kan damarlarının diğer durumlarını içerir. Kalp hastalığı ve inmeden kaynaklanan tüm ölümlerin beşte biri 70 yaşından önce gerçekleşir. Bununla birlikte, doğru ve erken teşhis, tedavi maliyetlerini ve ani kalp ölümünü önemli ölçüde azaltabilir.</w:t>
            </w:r>
          </w:p>
          <w:p>
            <w:pPr>
              <w:pStyle w:val="normal1"/>
              <w:rPr>
                <w:sz w:val="24"/>
                <w:szCs w:val="24"/>
              </w:rPr>
            </w:pPr>
            <w:r>
              <w:rPr>
                <w:sz w:val="24"/>
                <w:szCs w:val="24"/>
              </w:rPr>
            </w:r>
          </w:p>
          <w:p>
            <w:pPr>
              <w:pStyle w:val="normal1"/>
              <w:rPr>
                <w:sz w:val="24"/>
                <w:szCs w:val="24"/>
              </w:rPr>
            </w:pPr>
            <w:r>
              <w:rPr>
                <w:sz w:val="24"/>
                <w:szCs w:val="24"/>
              </w:rPr>
              <w:t>Elektrokardiyogram (EKG), kalbin elektriksel aktivitesini ölçerek bazı kalp rahatsızlıklarını belirlemeye yardımcı olan en basit ve en hızlı testlerden biridir.</w:t>
            </w:r>
          </w:p>
          <w:p>
            <w:pPr>
              <w:pStyle w:val="normal1"/>
              <w:rPr>
                <w:sz w:val="24"/>
                <w:szCs w:val="24"/>
              </w:rPr>
            </w:pPr>
            <w:r>
              <w:rPr>
                <w:sz w:val="24"/>
                <w:szCs w:val="24"/>
              </w:rPr>
              <w:t>Kalp ritmindeki veya iletimindeki herhangi bir bozukluk veya kalp kası hasarı, kalbin elektriksel aktivitesini değiştirebilir. Anormal bir EKG ayrıca geçirilmiş bir kalp krizinin veya yakın gelecekte kalp krizi geçirme riskinin yüksek olduğunun bir işareti olabilir.</w:t>
            </w:r>
          </w:p>
          <w:p>
            <w:pPr>
              <w:pStyle w:val="normal1"/>
              <w:rPr>
                <w:sz w:val="24"/>
                <w:szCs w:val="24"/>
              </w:rPr>
            </w:pPr>
            <w:r>
              <w:rPr>
                <w:sz w:val="24"/>
                <w:szCs w:val="24"/>
              </w:rPr>
            </w:r>
          </w:p>
          <w:p>
            <w:pPr>
              <w:pStyle w:val="normal1"/>
              <w:rPr>
                <w:sz w:val="24"/>
                <w:szCs w:val="24"/>
              </w:rPr>
            </w:pPr>
            <w:r>
              <w:rPr>
                <w:sz w:val="24"/>
                <w:szCs w:val="24"/>
              </w:rPr>
              <w:t>EKG'nin üç ana türü şunlardır:</w:t>
            </w:r>
          </w:p>
          <w:p>
            <w:pPr>
              <w:pStyle w:val="normal1"/>
              <w:numPr>
                <w:ilvl w:val="0"/>
                <w:numId w:val="4"/>
              </w:numPr>
              <w:rPr>
                <w:sz w:val="24"/>
                <w:szCs w:val="24"/>
              </w:rPr>
            </w:pPr>
            <w:r>
              <w:rPr>
                <w:sz w:val="24"/>
                <w:szCs w:val="24"/>
              </w:rPr>
              <w:t>İstirahat EKG'si: Bu tür EKG için uzanırsınız. Test sırasında diğer kaslardan gelen elektriksel impulslar karışabileceğinden harekete izin verilmez. Bu tür EKG genellikle 5 ila 10 dakika sürer.</w:t>
            </w:r>
          </w:p>
          <w:p>
            <w:pPr>
              <w:pStyle w:val="normal1"/>
              <w:numPr>
                <w:ilvl w:val="0"/>
                <w:numId w:val="4"/>
              </w:numPr>
              <w:rPr>
                <w:sz w:val="24"/>
                <w:szCs w:val="24"/>
              </w:rPr>
            </w:pPr>
            <w:r>
              <w:rPr>
                <w:sz w:val="24"/>
                <w:szCs w:val="24"/>
              </w:rPr>
              <w:t>Ayakta Tedavi EKG'si: Ayakta tedavi EKG'si için en az 24 saat taşınabilir bir kayıt cihazı giyersiniz. Cihaz takılıyken normal şekilde hareket edebilirsiniz.</w:t>
            </w:r>
          </w:p>
          <w:p>
            <w:pPr>
              <w:pStyle w:val="normal1"/>
              <w:numPr>
                <w:ilvl w:val="0"/>
                <w:numId w:val="4"/>
              </w:numPr>
              <w:rPr>
                <w:sz w:val="24"/>
                <w:szCs w:val="24"/>
              </w:rPr>
            </w:pPr>
            <w:r>
              <w:rPr>
                <w:sz w:val="24"/>
                <w:szCs w:val="24"/>
              </w:rPr>
              <w:t>Stres Testi/Egzersiz Stres Testi: Bu, sabit bir bisiklet sürerken veya koşu bandında yürürken EKG çekilmesini içerir. Bu tür bir EKG'yi tamamlamak 15-30 dakika sürer. Stres testi, kalp üzerindeki etkilerini anlamak için ilaçları da içerebilir.</w:t>
            </w:r>
          </w:p>
          <w:p>
            <w:pPr>
              <w:pStyle w:val="normal1"/>
              <w:rPr>
                <w:sz w:val="24"/>
                <w:szCs w:val="24"/>
              </w:rPr>
            </w:pPr>
            <w:r>
              <w:rPr>
                <w:sz w:val="24"/>
                <w:szCs w:val="24"/>
              </w:rPr>
            </w:r>
          </w:p>
          <w:p>
            <w:pPr>
              <w:pStyle w:val="normal1"/>
              <w:rPr>
                <w:sz w:val="24"/>
                <w:szCs w:val="24"/>
              </w:rPr>
            </w:pPr>
            <w:r>
              <w:rPr>
                <w:sz w:val="24"/>
                <w:szCs w:val="24"/>
              </w:rPr>
              <w:t>EKG testinde değişikliklere neden olabilecek bazı kalp problemleri şunlardır:</w:t>
            </w:r>
          </w:p>
          <w:p>
            <w:pPr>
              <w:pStyle w:val="normal1"/>
              <w:numPr>
                <w:ilvl w:val="0"/>
                <w:numId w:val="5"/>
              </w:numPr>
              <w:rPr>
                <w:sz w:val="24"/>
                <w:szCs w:val="24"/>
              </w:rPr>
            </w:pPr>
            <w:r>
              <w:rPr>
                <w:sz w:val="24"/>
                <w:szCs w:val="24"/>
              </w:rPr>
              <w:t>Atriyal fibrilasyon/çarpıntı</w:t>
            </w:r>
          </w:p>
          <w:p>
            <w:pPr>
              <w:pStyle w:val="normal1"/>
              <w:numPr>
                <w:ilvl w:val="0"/>
                <w:numId w:val="5"/>
              </w:numPr>
              <w:rPr>
                <w:sz w:val="24"/>
                <w:szCs w:val="24"/>
              </w:rPr>
            </w:pPr>
            <w:r>
              <w:rPr>
                <w:sz w:val="24"/>
                <w:szCs w:val="24"/>
              </w:rPr>
              <w:t>Kalp krizi (miyokard enfarktüsü)</w:t>
            </w:r>
          </w:p>
          <w:p>
            <w:pPr>
              <w:pStyle w:val="normal1"/>
              <w:numPr>
                <w:ilvl w:val="0"/>
                <w:numId w:val="5"/>
              </w:numPr>
              <w:rPr>
                <w:sz w:val="24"/>
                <w:szCs w:val="24"/>
              </w:rPr>
            </w:pPr>
            <w:r>
              <w:rPr>
                <w:sz w:val="24"/>
                <w:szCs w:val="24"/>
              </w:rPr>
              <w:t>Kalp yetmezliği</w:t>
            </w:r>
          </w:p>
          <w:p>
            <w:pPr>
              <w:pStyle w:val="normal1"/>
              <w:numPr>
                <w:ilvl w:val="0"/>
                <w:numId w:val="5"/>
              </w:numPr>
              <w:rPr>
                <w:sz w:val="24"/>
                <w:szCs w:val="24"/>
              </w:rPr>
            </w:pPr>
            <w:r>
              <w:rPr>
                <w:sz w:val="24"/>
                <w:szCs w:val="24"/>
              </w:rPr>
              <w:t>Konjenital kalp kusurları</w:t>
            </w:r>
          </w:p>
          <w:p>
            <w:pPr>
              <w:pStyle w:val="normal1"/>
              <w:numPr>
                <w:ilvl w:val="0"/>
                <w:numId w:val="5"/>
              </w:numPr>
              <w:rPr>
                <w:sz w:val="24"/>
                <w:szCs w:val="24"/>
              </w:rPr>
            </w:pPr>
            <w:r>
              <w:rPr>
                <w:sz w:val="24"/>
                <w:szCs w:val="24"/>
              </w:rPr>
              <w:t>Anormal kalp ritimleri (aritmiler)</w:t>
            </w:r>
          </w:p>
          <w:p>
            <w:pPr>
              <w:pStyle w:val="normal1"/>
              <w:numPr>
                <w:ilvl w:val="0"/>
                <w:numId w:val="5"/>
              </w:numPr>
              <w:rPr>
                <w:sz w:val="24"/>
                <w:szCs w:val="24"/>
              </w:rPr>
            </w:pPr>
            <w:r>
              <w:rPr>
                <w:sz w:val="24"/>
                <w:szCs w:val="24"/>
              </w:rPr>
              <w:t>Kalbe yetersiz kan temini</w:t>
            </w:r>
          </w:p>
          <w:p>
            <w:pPr>
              <w:pStyle w:val="normal1"/>
              <w:numPr>
                <w:ilvl w:val="0"/>
                <w:numId w:val="5"/>
              </w:numPr>
              <w:rPr>
                <w:sz w:val="24"/>
                <w:szCs w:val="24"/>
              </w:rPr>
            </w:pPr>
            <w:r>
              <w:rPr>
                <w:sz w:val="24"/>
                <w:szCs w:val="24"/>
              </w:rPr>
              <w:t>Multifokal atriyal taşikardi</w:t>
            </w:r>
          </w:p>
          <w:p>
            <w:pPr>
              <w:pStyle w:val="normal1"/>
              <w:numPr>
                <w:ilvl w:val="0"/>
                <w:numId w:val="5"/>
              </w:numPr>
              <w:rPr>
                <w:sz w:val="24"/>
                <w:szCs w:val="24"/>
              </w:rPr>
            </w:pPr>
            <w:r>
              <w:rPr>
                <w:sz w:val="24"/>
                <w:szCs w:val="24"/>
              </w:rPr>
              <w:t>Paroksismal supraventriküler taşikardi</w:t>
            </w:r>
          </w:p>
          <w:p>
            <w:pPr>
              <w:pStyle w:val="normal1"/>
              <w:numPr>
                <w:ilvl w:val="0"/>
                <w:numId w:val="5"/>
              </w:numPr>
              <w:rPr>
                <w:sz w:val="24"/>
                <w:szCs w:val="24"/>
              </w:rPr>
            </w:pPr>
            <w:r>
              <w:rPr>
                <w:sz w:val="24"/>
                <w:szCs w:val="24"/>
              </w:rPr>
              <w:t>Hasta sinüs sendromu</w:t>
            </w:r>
          </w:p>
          <w:p>
            <w:pPr>
              <w:pStyle w:val="normal1"/>
              <w:numPr>
                <w:ilvl w:val="0"/>
                <w:numId w:val="5"/>
              </w:numPr>
              <w:rPr>
                <w:sz w:val="24"/>
                <w:szCs w:val="24"/>
              </w:rPr>
            </w:pPr>
            <w:r>
              <w:rPr>
                <w:sz w:val="24"/>
                <w:szCs w:val="24"/>
              </w:rPr>
              <w:t>Wolff-Parkinson-White sendromu</w:t>
            </w:r>
          </w:p>
          <w:p>
            <w:pPr>
              <w:pStyle w:val="normal1"/>
              <w:numPr>
                <w:ilvl w:val="0"/>
                <w:numId w:val="0"/>
              </w:numPr>
              <w:ind w:hanging="0" w:left="720"/>
              <w:rPr>
                <w:sz w:val="24"/>
                <w:szCs w:val="24"/>
              </w:rPr>
            </w:pPr>
            <w:r>
              <w:rPr>
                <w:sz w:val="24"/>
                <w:szCs w:val="24"/>
              </w:rPr>
            </w:r>
          </w:p>
          <w:p>
            <w:pPr>
              <w:pStyle w:val="normal1"/>
              <w:rPr>
                <w:sz w:val="24"/>
                <w:szCs w:val="24"/>
              </w:rPr>
            </w:pPr>
            <w:r>
              <w:rPr>
                <w:sz w:val="24"/>
                <w:szCs w:val="24"/>
              </w:rPr>
              <w:t>Bir EKG'nin doğruluğu test edilen duruma bağlıdır. Kalp hastalığı her zaman bir EKG'de görünmeyebilir. Bazı kalp rahatsızlıkları hiçbir zaman herhangi bir spesifik EKG değişikliğine neden olmaz.</w:t>
            </w:r>
          </w:p>
          <w:p>
            <w:pPr>
              <w:pStyle w:val="normal1"/>
              <w:rPr>
                <w:sz w:val="24"/>
                <w:szCs w:val="24"/>
              </w:rPr>
            </w:pPr>
            <w:r>
              <w:rPr>
                <w:sz w:val="24"/>
                <w:szCs w:val="24"/>
              </w:rPr>
              <w:t>Derin Sinir Ağları (DSA'lar), çeşitli alanlarda sınıflandırma ve tahmin görevleri için yaygın olarak kullanılmaktadır. Son zamanlarda, DSA'ların keskin bir şekilde geliştirildiği ve tıbbi görevlerin geniş bir yelpazesi için sınıflandırma doğruluğu üzerinde önemli bir etkiye sahip olduğu gözlemlenmiştir.</w:t>
            </w:r>
          </w:p>
          <w:p>
            <w:pPr>
              <w:pStyle w:val="normal1"/>
              <w:rPr>
                <w:sz w:val="24"/>
                <w:szCs w:val="24"/>
              </w:rPr>
            </w:pPr>
            <w:r>
              <w:rPr>
                <w:sz w:val="24"/>
                <w:szCs w:val="24"/>
              </w:rPr>
              <w:t>(Electrocardiogram, 2024; Services, n.d.)</w:t>
              <w:br/>
              <w:t>(Electrocardiogram Information | Mount Sinai - New York, n.d.)</w:t>
              <w:br/>
              <w:t>(Ayal vd., 2023)</w:t>
              <w:br/>
              <w:t>(Ebrahimi vd., 2020)</w:t>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2. </w:t>
            </w:r>
            <w:r>
              <w:rPr>
                <w:rStyle w:val="Strong"/>
                <w:sz w:val="24"/>
                <w:szCs w:val="24"/>
              </w:rPr>
              <w:t>Tez Konusunun Ele Aldığı Problem</w:t>
            </w:r>
          </w:p>
          <w:p>
            <w:pPr>
              <w:pStyle w:val="normal1"/>
              <w:spacing w:lineRule="auto" w:line="240" w:before="240" w:after="0"/>
              <w:rPr>
                <w:sz w:val="24"/>
                <w:szCs w:val="24"/>
              </w:rPr>
            </w:pPr>
            <w:r>
              <w:rPr>
                <w:sz w:val="24"/>
                <w:szCs w:val="24"/>
              </w:rPr>
              <w:t>Otomatikleştirilmiş 12 kanallı EKG cihazları genel bir tarama yapabilir ve hekimlere ikinci bir görüş sağlayabilir. Bununla birlikte, EKG kayıtlarının doğru yorumlanması karmaşıktır ve klinik olarak zorlayıcıdır; yanlış yorumlama kötü sonuçlara veya hatta hasta ölümüne yol açabilir. Yaygın kullanımına rağmen, birkaç çalışma sağlık çalışanları arasında EKG yorumlama becerilerindeki eksiklikleri vurgulamıştır. Ayrıca, yorumlama farklı gözlemciler arasında değişiklik gösterebilir ve hatta tek bir gözlemci için bile, görev monoton ve son derece deneyimli kardiyologlar için bile zaman alıcıdır. Literatürün gösterdiği gibi, EKG yorumlarının %33'ü kadar uzman referansına kıyasla bir miktar hata içermekte ve %11'e kadarı yanlış yönetime yol açmıştır. EKG yorumlama pedagojisinde evrensel bir temel yoktur; zaman tahsisi, eğitmen geliştirme ve öğretim formatı literatürde büyük farklılıklar gösterir.</w:t>
            </w:r>
          </w:p>
          <w:p>
            <w:pPr>
              <w:pStyle w:val="normal1"/>
              <w:spacing w:lineRule="auto" w:line="240" w:before="240" w:after="0"/>
              <w:rPr>
                <w:sz w:val="24"/>
                <w:szCs w:val="24"/>
              </w:rPr>
            </w:pPr>
            <w:r>
              <w:rPr>
                <w:sz w:val="24"/>
                <w:szCs w:val="24"/>
              </w:rPr>
              <w:t>(Classification of 27 Heart Abnormalities Using 12-Lead ECG Signals with Combined Deep Learning Techniques | Rawt | Bulletin of Electrical Engineering and Informatics, n.d.)</w:t>
              <w:br/>
              <w:t>(Breen vd., 2019)</w:t>
            </w:r>
          </w:p>
          <w:p>
            <w:pPr>
              <w:pStyle w:val="normal1"/>
              <w:spacing w:lineRule="auto" w:line="240" w:before="240" w:after="0"/>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sz w:val="24"/>
                <w:szCs w:val="24"/>
              </w:rPr>
            </w:pPr>
            <w:r>
              <w:rPr>
                <w:b/>
                <w:sz w:val="24"/>
                <w:szCs w:val="24"/>
              </w:rPr>
              <w:t xml:space="preserve">3. </w:t>
            </w:r>
            <w:r>
              <w:rPr>
                <w:rStyle w:val="Strong"/>
                <w:sz w:val="24"/>
                <w:szCs w:val="24"/>
              </w:rPr>
              <w:t>Tez Çalışmasının Amacı</w:t>
            </w:r>
          </w:p>
          <w:p>
            <w:pPr>
              <w:pStyle w:val="normal1"/>
              <w:spacing w:lineRule="auto" w:line="240" w:before="240" w:after="0"/>
              <w:rPr>
                <w:sz w:val="24"/>
                <w:szCs w:val="24"/>
              </w:rPr>
            </w:pPr>
            <w:r>
              <w:rPr/>
              <w:t>Referans düğüm yöntemi kullanılarak sinyal büyütmeye dayalı 12 kanallı elektrokardiyografi (EKG) verilerini kullanarak kalp hastalıklarını teşhis etmek için bir sinir ağı geliştirmek ve uygulamak. 12 kanallı elektrokardiyografinin (EKG) analizine dayalı olarak kalp hastalıklarını teşhis etmek için bir sinir ağı geliştirilmesi düşünülmektedir. Bu, veri toplama, veri ön işleme, model geliştirme ve eğitimi ve etkinliğinin değerlendirilmesini içerir.</w:t>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4. </w:t>
            </w:r>
            <w:r>
              <w:rPr>
                <w:rStyle w:val="Strong"/>
                <w:sz w:val="24"/>
                <w:szCs w:val="24"/>
              </w:rPr>
              <w:t>Tez Çalışmasının Önemi/Sağlayacağı Faydalar</w:t>
            </w:r>
          </w:p>
          <w:p>
            <w:pPr>
              <w:pStyle w:val="normal1"/>
              <w:spacing w:lineRule="auto" w:line="240" w:before="240" w:after="0"/>
              <w:rPr>
                <w:sz w:val="24"/>
                <w:szCs w:val="24"/>
              </w:rPr>
            </w:pPr>
            <w:r>
              <w:rPr>
                <w:sz w:val="24"/>
                <w:szCs w:val="24"/>
              </w:rPr>
              <w:t>Makine öğrenimindeki gelişmeler, EKG'nin kapsamlı yorumlanmasını geliştirmek için potansiyel bir fırsat sunmaktadır. Birçok çalışma, DSA-EKG algoritmalarının sadece tek kanallı bir EKG'den çeşitli aritmileri tespit etme değil, aynı zamanda insan benzeri 12 kanallı EKG yorumu sağlama yeteneğini göstermektedir. Ayrıca, sinyal yorumlama sıkıcı ve karmaşık bir iştir, bu nedenle uzun yıllar boyunca eğitilmiş uzmanlar için bile analiz sürecinde öznel değişkenlik ve insan hatası olabilir. Bu nedenle, bilgisayarlı yöntemleri araştırmak ve geliştirmek büyük önem taşımaktadır. Sağlık profesyonellerine hata olasılığını azaltan kararlar alma konusunda yardımcı olmalı ve karmaşık EKG'leri teşhis etmek için harcanan zamanı azaltmalıdır.</w:t>
            </w:r>
          </w:p>
          <w:p>
            <w:pPr>
              <w:pStyle w:val="normal1"/>
              <w:spacing w:lineRule="auto" w:line="240" w:before="240" w:after="0"/>
              <w:rPr>
                <w:sz w:val="24"/>
                <w:szCs w:val="24"/>
              </w:rPr>
            </w:pPr>
            <w:r>
              <w:rPr>
                <w:sz w:val="24"/>
                <w:szCs w:val="24"/>
              </w:rPr>
              <w:t>12 kanallı EKG ve sinyal büyütme yöntemleri yoluyla kalp hastalıklarını teşhis etmek için bir sinir ağı oluşturma projesi, birkaç nedenden dolayı önemli ve faydalıdır:</w:t>
            </w:r>
          </w:p>
          <w:p>
            <w:pPr>
              <w:pStyle w:val="normal1"/>
              <w:numPr>
                <w:ilvl w:val="0"/>
                <w:numId w:val="6"/>
              </w:numPr>
              <w:spacing w:lineRule="auto" w:line="240" w:before="240" w:after="0"/>
              <w:rPr>
                <w:sz w:val="24"/>
                <w:szCs w:val="24"/>
              </w:rPr>
            </w:pPr>
            <w:r>
              <w:rPr>
                <w:sz w:val="24"/>
                <w:szCs w:val="24"/>
              </w:rPr>
              <w:t>Erken Teşhis: EKG verilerini analiz etmek için otomatikleştirilmiş bir sistem kullanmak, tedavinin en etkili olduğu erken aşamada kalp hastalığı belirtilerinin tespit edilmesini sağlar.</w:t>
            </w:r>
          </w:p>
          <w:p>
            <w:pPr>
              <w:pStyle w:val="normal1"/>
              <w:numPr>
                <w:ilvl w:val="0"/>
                <w:numId w:val="6"/>
              </w:numPr>
              <w:spacing w:lineRule="auto" w:line="240" w:before="240" w:after="0"/>
              <w:rPr>
                <w:sz w:val="24"/>
                <w:szCs w:val="24"/>
              </w:rPr>
            </w:pPr>
            <w:r>
              <w:rPr>
                <w:sz w:val="24"/>
                <w:szCs w:val="24"/>
              </w:rPr>
              <w:t>Teşhis Süresinin Kısaltılması: Otomatikleştirilmiş bir sistem, bir uzmanın manuel yorumlamasına kıyasla EKG analizi için gereken süreyi önemli ölçüde azaltabilir. Bu, hızlı ve doğru bir teşhisin gerekli olduğu durumlarda özellikle kullanışlı olabilir.</w:t>
            </w:r>
          </w:p>
          <w:p>
            <w:pPr>
              <w:pStyle w:val="normal1"/>
              <w:numPr>
                <w:ilvl w:val="0"/>
                <w:numId w:val="6"/>
              </w:numPr>
              <w:spacing w:lineRule="auto" w:line="240" w:before="240" w:after="0"/>
              <w:rPr>
                <w:sz w:val="24"/>
                <w:szCs w:val="24"/>
              </w:rPr>
            </w:pPr>
            <w:r>
              <w:rPr>
                <w:sz w:val="24"/>
                <w:szCs w:val="24"/>
              </w:rPr>
              <w:t>Geliştirilmiş Doğruluk: Sinir ağları ve sinyal büyütme teknikleri kullanılarak, hastalık belirtilerini otomatik olarak öğrenebilen ve yüksek doğrulukla tahminler yapabilen, manuel yorumlamada yaygın olan hataları önlemeye yardımcı olan bir model oluşturulabilir.</w:t>
            </w:r>
          </w:p>
          <w:p>
            <w:pPr>
              <w:pStyle w:val="normal1"/>
              <w:numPr>
                <w:ilvl w:val="0"/>
                <w:numId w:val="6"/>
              </w:numPr>
              <w:spacing w:lineRule="auto" w:line="240" w:before="240" w:after="0"/>
              <w:rPr>
                <w:sz w:val="24"/>
                <w:szCs w:val="24"/>
              </w:rPr>
            </w:pPr>
            <w:r>
              <w:rPr>
                <w:sz w:val="24"/>
                <w:szCs w:val="24"/>
              </w:rPr>
              <w:t>Sağlık Hizmetlerine Erişilebilirliğin İyileştirilmesi: Otomatik sistem klinik uygulamaya kolayca entegre edilebilir ve çeşitli sağlık kurumlarında kullanılabilir, bu da hastalar için kardiyovasküler hastalık teşhisi ve tedavisinin erişilebilirliğini artırır.</w:t>
            </w:r>
          </w:p>
          <w:p>
            <w:pPr>
              <w:pStyle w:val="normal1"/>
              <w:numPr>
                <w:ilvl w:val="0"/>
                <w:numId w:val="6"/>
              </w:numPr>
              <w:spacing w:lineRule="auto" w:line="240" w:before="240" w:after="0"/>
              <w:rPr>
                <w:sz w:val="24"/>
                <w:szCs w:val="24"/>
              </w:rPr>
            </w:pPr>
            <w:r>
              <w:rPr>
                <w:sz w:val="24"/>
                <w:szCs w:val="24"/>
              </w:rPr>
              <w:t>İyileştirilmiş Tedavi Sonuçları: Kalp hastalığının daha hızlı ve doğru teşhisi, daha erken tedaviye ve hastalar için tedavi sonuçlarının iyileşmesine yol açabilir, bu da sonuçta yaşam kalitelerini artırır.</w:t>
            </w:r>
          </w:p>
          <w:p>
            <w:pPr>
              <w:pStyle w:val="normal1"/>
              <w:spacing w:lineRule="auto" w:line="240" w:before="240" w:after="0"/>
              <w:rPr>
                <w:sz w:val="24"/>
                <w:szCs w:val="24"/>
              </w:rPr>
            </w:pPr>
            <w:r>
              <w:rPr>
                <w:sz w:val="24"/>
                <w:szCs w:val="24"/>
              </w:rPr>
              <w:t>Bu nedenle, proje, sağlık hizmetleri ve hastaların yaşamını uzatmak için önemli olan kalp hastalığı teşhisinin verimliliğini ve erişilebilirliğini önemli ölçüde iyileştirebilir.</w:t>
            </w:r>
          </w:p>
          <w:p>
            <w:pPr>
              <w:pStyle w:val="normal1"/>
              <w:spacing w:lineRule="auto" w:line="240" w:before="240" w:after="0"/>
              <w:rPr>
                <w:sz w:val="24"/>
                <w:szCs w:val="24"/>
              </w:rPr>
            </w:pPr>
            <w:r>
              <w:rPr>
                <w:sz w:val="24"/>
                <w:szCs w:val="24"/>
              </w:rPr>
              <w:t>(Rafie vd., 2021)</w:t>
              <w:br/>
              <w:t>(Liu vd., 2021)</w:t>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5. </w:t>
            </w:r>
            <w:r>
              <w:rPr>
                <w:rStyle w:val="Strong"/>
                <w:b/>
              </w:rPr>
              <w:t>Tez Çalışmasının Kapsamı ve Sınırlılıkları</w:t>
            </w:r>
          </w:p>
          <w:p>
            <w:pPr>
              <w:pStyle w:val="normal1"/>
              <w:spacing w:lineRule="auto" w:line="240" w:before="240" w:after="0"/>
              <w:rPr>
                <w:sz w:val="24"/>
                <w:szCs w:val="24"/>
              </w:rPr>
            </w:pPr>
            <w:r>
              <w:rPr>
                <w:sz w:val="24"/>
                <w:szCs w:val="24"/>
              </w:rPr>
              <w:t>DSA'lar çeşitli kardiyak anormallikleri tespit etmede yüksek doğruluk elde edebilir, genellikle geleneksel yöntemleri geride bırakır ve bazı durumlarda insan uzmanları bile geçer. Aritmi, miyokard enfarktüsü ve diğer kalp hastalıkları gibi durumların erken tespitine de yardımcı olabilir, böylece hastanın durumunun iyileştirilmesine katkıda bulunur.</w:t>
              <w:br/>
              <w:t>Ancak, DSA'lar eğitim için büyük miktarda etiketlenmiş veri gerektirir, bu da gizlilik endişeleri ve uzman açıklama ihtiyacı nedeniyle elde edilmesi zordur. Derin öğrenme modelleri görülmemiş verilere veya farklı hasta popülasyonlarına iyi genellemeyebilir, bu da potansiyel yanlışlıklara yol açar.</w:t>
            </w:r>
          </w:p>
          <w:p>
            <w:pPr>
              <w:pStyle w:val="normal1"/>
              <w:spacing w:lineRule="auto" w:line="240" w:before="240" w:after="0"/>
              <w:rPr>
                <w:sz w:val="24"/>
                <w:szCs w:val="24"/>
              </w:rPr>
            </w:pPr>
            <w:r>
              <w:rPr>
                <w:sz w:val="24"/>
                <w:szCs w:val="24"/>
              </w:rPr>
              <w:t>Araştırmada aşağıdaki yöntemlerin kullanılması planlanmaktadır:</w:t>
            </w:r>
          </w:p>
          <w:p>
            <w:pPr>
              <w:pStyle w:val="normal1"/>
              <w:numPr>
                <w:ilvl w:val="0"/>
                <w:numId w:val="7"/>
              </w:numPr>
              <w:spacing w:lineRule="auto" w:line="240" w:before="240" w:after="0"/>
              <w:rPr>
                <w:sz w:val="24"/>
                <w:szCs w:val="24"/>
              </w:rPr>
            </w:pPr>
            <w:r>
              <w:rPr>
                <w:sz w:val="24"/>
                <w:szCs w:val="24"/>
              </w:rPr>
              <w:t>Sinyal büyütme tekniği</w:t>
            </w:r>
          </w:p>
          <w:p>
            <w:pPr>
              <w:pStyle w:val="normal1"/>
              <w:numPr>
                <w:ilvl w:val="0"/>
                <w:numId w:val="7"/>
              </w:numPr>
              <w:spacing w:lineRule="auto" w:line="240" w:before="240" w:after="0"/>
              <w:rPr>
                <w:sz w:val="24"/>
                <w:szCs w:val="24"/>
              </w:rPr>
            </w:pPr>
            <w:r>
              <w:rPr>
                <w:sz w:val="24"/>
                <w:szCs w:val="24"/>
              </w:rPr>
              <w:t>Referans düğüm yöntemi (SVM).</w:t>
            </w:r>
          </w:p>
          <w:p>
            <w:pPr>
              <w:pStyle w:val="normal1"/>
              <w:spacing w:lineRule="auto" w:line="240" w:before="240" w:after="0"/>
              <w:rPr>
                <w:sz w:val="24"/>
                <w:szCs w:val="24"/>
              </w:rPr>
            </w:pPr>
            <w:r>
              <w:rPr>
                <w:sz w:val="24"/>
                <w:szCs w:val="24"/>
              </w:rPr>
              <w:t>Sinyal büyütme tekniğinin kullanılması, eğitim verilerinin kalitesini iyileştirmeye ve modelin doğruluğunu artırmaya olanak tanır. Bu, eğitim örneklerinin çeşitliliğini artırır ve modelin genelleme yeteneğini iyileştirir. Destek Vektör Makineleri (SVM) yönteminin kullanılması, sınıflandırma ve regresyon için doğru sonuçlar elde edilmesini sağlar. Deney, "Bicard" kardiyoloji kliniği tarafından sağlanan verilere dayanarak yürütülecektir.</w:t>
              <w:br/>
              <w:t>Araştırma aşağıdaki temel adımları içerir:</w:t>
            </w:r>
          </w:p>
          <w:p>
            <w:pPr>
              <w:pStyle w:val="normal1"/>
              <w:numPr>
                <w:ilvl w:val="0"/>
                <w:numId w:val="1"/>
              </w:numPr>
              <w:spacing w:lineRule="auto" w:line="240" w:before="240" w:after="0"/>
              <w:rPr>
                <w:sz w:val="24"/>
                <w:szCs w:val="24"/>
              </w:rPr>
            </w:pPr>
            <w:r>
              <w:rPr>
                <w:sz w:val="24"/>
                <w:szCs w:val="24"/>
              </w:rPr>
              <w:t>Veri hazırlama</w:t>
            </w:r>
          </w:p>
          <w:p>
            <w:pPr>
              <w:pStyle w:val="normal1"/>
              <w:numPr>
                <w:ilvl w:val="0"/>
                <w:numId w:val="1"/>
              </w:numPr>
              <w:spacing w:lineRule="auto" w:line="240" w:before="240" w:after="0"/>
              <w:rPr>
                <w:sz w:val="24"/>
                <w:szCs w:val="24"/>
              </w:rPr>
            </w:pPr>
            <w:r>
              <w:rPr>
                <w:sz w:val="24"/>
                <w:szCs w:val="24"/>
              </w:rPr>
              <w:t>Model geliştirme</w:t>
            </w:r>
          </w:p>
          <w:p>
            <w:pPr>
              <w:pStyle w:val="normal1"/>
              <w:numPr>
                <w:ilvl w:val="0"/>
                <w:numId w:val="1"/>
              </w:numPr>
              <w:spacing w:lineRule="auto" w:line="240" w:before="240" w:after="0"/>
              <w:rPr>
                <w:sz w:val="24"/>
                <w:szCs w:val="24"/>
              </w:rPr>
            </w:pPr>
            <w:r>
              <w:rPr>
                <w:sz w:val="24"/>
                <w:szCs w:val="24"/>
              </w:rPr>
              <w:t>Eğitim ve test etme</w:t>
            </w:r>
          </w:p>
          <w:p>
            <w:pPr>
              <w:pStyle w:val="normal1"/>
              <w:numPr>
                <w:ilvl w:val="0"/>
                <w:numId w:val="1"/>
              </w:numPr>
              <w:spacing w:lineRule="auto" w:line="240" w:before="240" w:after="0"/>
              <w:rPr>
                <w:sz w:val="24"/>
                <w:szCs w:val="24"/>
              </w:rPr>
            </w:pPr>
            <w:r>
              <w:rPr>
                <w:sz w:val="24"/>
                <w:szCs w:val="24"/>
              </w:rPr>
              <w:t>Sonuçları değerlendirme</w:t>
            </w:r>
          </w:p>
          <w:p>
            <w:pPr>
              <w:pStyle w:val="normal1"/>
              <w:numPr>
                <w:ilvl w:val="0"/>
                <w:numId w:val="1"/>
              </w:numPr>
              <w:spacing w:lineRule="auto" w:line="240" w:before="240" w:after="0"/>
              <w:rPr>
                <w:sz w:val="24"/>
                <w:szCs w:val="24"/>
              </w:rPr>
            </w:pPr>
            <w:r>
              <w:rPr>
                <w:sz w:val="24"/>
                <w:szCs w:val="24"/>
              </w:rPr>
              <w:t>Dokümantasyon hazırlama ve sonuçları sunma</w:t>
            </w:r>
          </w:p>
          <w:p>
            <w:pPr>
              <w:pStyle w:val="normal1"/>
              <w:spacing w:lineRule="auto" w:line="240" w:before="240" w:after="0"/>
              <w:rPr>
                <w:sz w:val="24"/>
                <w:szCs w:val="24"/>
              </w:rPr>
            </w:pPr>
            <w:r>
              <w:rPr>
                <w:sz w:val="24"/>
                <w:szCs w:val="24"/>
              </w:rPr>
              <w:t>(Ribeiro et al., 2020)</w:t>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sz w:val="24"/>
                <w:szCs w:val="24"/>
              </w:rPr>
            </w:pPr>
            <w:r>
              <w:rPr>
                <w:b/>
                <w:sz w:val="24"/>
                <w:szCs w:val="24"/>
              </w:rPr>
              <w:t xml:space="preserve">6. </w:t>
            </w:r>
            <w:r>
              <w:rPr>
                <w:rStyle w:val="Strong"/>
                <w:sz w:val="24"/>
                <w:szCs w:val="24"/>
              </w:rPr>
              <w:t>Hipotezler ve Varsayımlar</w:t>
            </w:r>
          </w:p>
          <w:p>
            <w:pPr>
              <w:pStyle w:val="normal1"/>
              <w:numPr>
                <w:ilvl w:val="0"/>
                <w:numId w:val="2"/>
              </w:numPr>
              <w:spacing w:lineRule="auto" w:line="240" w:before="240" w:after="0"/>
              <w:rPr>
                <w:sz w:val="24"/>
                <w:szCs w:val="24"/>
              </w:rPr>
            </w:pPr>
            <w:r>
              <w:rPr>
                <w:sz w:val="24"/>
                <w:szCs w:val="24"/>
              </w:rPr>
              <w:t>DSA'lar, insanların tespit etmekte zorlandığı ham EKG verilerinden karmaşık desenleri ayırt edebilir.</w:t>
            </w:r>
          </w:p>
          <w:p>
            <w:pPr>
              <w:pStyle w:val="normal1"/>
              <w:numPr>
                <w:ilvl w:val="0"/>
                <w:numId w:val="2"/>
              </w:numPr>
              <w:spacing w:lineRule="auto" w:line="240" w:before="240" w:after="0"/>
              <w:rPr>
                <w:sz w:val="24"/>
                <w:szCs w:val="24"/>
              </w:rPr>
            </w:pPr>
            <w:r>
              <w:rPr>
                <w:sz w:val="24"/>
                <w:szCs w:val="24"/>
              </w:rPr>
              <w:t>DSA'lar, büyük veri seti ile EKG yorumlama doğruluğunu iyileştirebilir.</w:t>
            </w:r>
          </w:p>
          <w:p>
            <w:pPr>
              <w:pStyle w:val="normal1"/>
              <w:spacing w:lineRule="auto" w:line="240" w:before="240" w:after="0"/>
              <w:rPr>
                <w:sz w:val="24"/>
                <w:szCs w:val="24"/>
              </w:rPr>
            </w:pPr>
            <w:r>
              <w:rPr>
                <w:sz w:val="24"/>
                <w:szCs w:val="24"/>
              </w:rPr>
              <w:t>Proje önemli pratik öneme sahiptir çünkü EKG'ye dayalı kalp hastalıklarının teşhisini otomatikleştirmek tıbbi bakım sürecini büyük ölçüde iyileştirir. Projenin özgünlüğü, kalp hastalıklarını teşhis etmeye yönelik benzersiz yaklaşımında yatmaktadır. Önerilen yöntemin EKG sinyalindeki herhangi bir değişikliği yakalaması, böylece teşhis doğruluğunu artırması ve hasta tedavi sonuçlarını iyileştirmesi beklenmektedir.</w:t>
            </w:r>
          </w:p>
          <w:p>
            <w:pPr>
              <w:pStyle w:val="normal1"/>
              <w:numPr>
                <w:ilvl w:val="0"/>
                <w:numId w:val="3"/>
              </w:numPr>
              <w:spacing w:lineRule="auto" w:line="240" w:before="240" w:after="0"/>
              <w:rPr>
                <w:sz w:val="24"/>
                <w:szCs w:val="24"/>
              </w:rPr>
            </w:pPr>
            <w:r>
              <w:rPr>
                <w:sz w:val="24"/>
                <w:szCs w:val="24"/>
              </w:rPr>
              <w:t>12 Kanallı EKG Kullanımı: Proje, kalp hastalıklarını teşhis etmek için 12 kanallı EKG'den alınan verilerin kullanılmasını önermektedir. Bu, kalbin elektriksel aktivitesinin geniş bir spektrumunu yakalamayı mümkün kılar, böylece sınıflandırma için bilgi içeriğini artırır.</w:t>
            </w:r>
          </w:p>
          <w:p>
            <w:pPr>
              <w:pStyle w:val="normal1"/>
              <w:numPr>
                <w:ilvl w:val="0"/>
                <w:numId w:val="3"/>
              </w:numPr>
              <w:spacing w:lineRule="auto" w:line="240" w:before="240" w:after="0"/>
              <w:rPr>
                <w:sz w:val="24"/>
                <w:szCs w:val="24"/>
              </w:rPr>
            </w:pPr>
            <w:r>
              <w:rPr>
                <w:sz w:val="24"/>
                <w:szCs w:val="24"/>
              </w:rPr>
              <w:t>Referans düğüm yöntemi kullanılarak sinyal büyütme tekniği, EKG verilerinin yeni varyantlarını oluşturmayı mümkün kılar.</w:t>
            </w:r>
          </w:p>
          <w:p>
            <w:pPr>
              <w:pStyle w:val="normal1"/>
              <w:numPr>
                <w:ilvl w:val="0"/>
                <w:numId w:val="3"/>
              </w:numPr>
              <w:spacing w:lineRule="auto" w:line="240" w:before="240" w:after="0"/>
              <w:rPr>
                <w:sz w:val="24"/>
                <w:szCs w:val="24"/>
              </w:rPr>
            </w:pPr>
            <w:r>
              <w:rPr>
                <w:sz w:val="24"/>
                <w:szCs w:val="24"/>
              </w:rPr>
              <w:t>Kalp hastalıklarını teşhis etmek için sinir ağlarının kullanımı: sinir ağları verileri analiz edebilir ve yüksek doğrulukta tahminler yapabilir, bu da çeşitli kalp hastalığı türlerini teşhis etmek için yararlı olabilir.</w:t>
            </w:r>
          </w:p>
          <w:p>
            <w:pPr>
              <w:pStyle w:val="normal1"/>
              <w:numPr>
                <w:ilvl w:val="0"/>
                <w:numId w:val="3"/>
              </w:numPr>
              <w:spacing w:lineRule="auto" w:line="240" w:before="240" w:after="0"/>
              <w:rPr>
                <w:sz w:val="24"/>
                <w:szCs w:val="24"/>
              </w:rPr>
            </w:pPr>
            <w:r>
              <w:rPr>
                <w:sz w:val="24"/>
                <w:szCs w:val="24"/>
              </w:rPr>
              <w:t>Makine öğrenimi algoritmalarının klinik uygulamaya entegrasyonu: Proje başarılı olursa, klinik uygulamaya entegre edilmiş, hastaları daha hızlı ve doğru teşhis ve tedavi etmek için otomatikleştirilmiş bir kalp hastalığı teşhis aracının geliştirilmesine yol açabilir.</w:t>
            </w:r>
          </w:p>
          <w:p>
            <w:pPr>
              <w:pStyle w:val="normal1"/>
              <w:spacing w:lineRule="auto" w:line="240" w:before="240" w:after="0"/>
              <w:rPr>
                <w:sz w:val="24"/>
                <w:szCs w:val="24"/>
              </w:rPr>
            </w:pPr>
            <w:r>
              <w:rPr>
                <w:sz w:val="24"/>
                <w:szCs w:val="24"/>
              </w:rPr>
              <w:t>Böylece, projenin yeniliği, otomatikleştirilmiş kalp hastalığı teşhisi için modern büyütme tekniklerinin, derin öğrenmenin ve EKG sinyallerinin analizinin kullanılmasında yatmaktadır. Bu, sağlık hizmetlerinin kalitesinin iyileştirilmesine ve tıbbi personel üzerindeki yükün azaltılmasına yol açar.</w:t>
            </w:r>
          </w:p>
          <w:p>
            <w:pPr>
              <w:pStyle w:val="normal1"/>
              <w:rPr>
                <w:sz w:val="24"/>
                <w:szCs w:val="24"/>
              </w:rPr>
            </w:pPr>
            <w:r>
              <w:rPr>
                <w:sz w:val="24"/>
                <w:szCs w:val="24"/>
              </w:rPr>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7. </w:t>
            </w:r>
            <w:r>
              <w:rPr>
                <w:rStyle w:val="Strong"/>
              </w:rPr>
              <w:t>Tez Çalışmasının Metodolojik Temeli</w:t>
            </w:r>
          </w:p>
          <w:p>
            <w:pPr>
              <w:pStyle w:val="normal1"/>
              <w:rPr>
                <w:sz w:val="24"/>
                <w:szCs w:val="24"/>
              </w:rPr>
            </w:pPr>
            <w:r>
              <w:rPr>
                <w:sz w:val="24"/>
                <w:szCs w:val="24"/>
              </w:rPr>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     </w:t>
            </w:r>
            <w:r>
              <w:rPr>
                <w:b/>
                <w:sz w:val="24"/>
                <w:szCs w:val="24"/>
              </w:rPr>
              <w:t xml:space="preserve">7.1. </w:t>
            </w:r>
            <w:r>
              <w:rPr>
                <w:rStyle w:val="Strong"/>
                <w:sz w:val="24"/>
                <w:szCs w:val="24"/>
              </w:rPr>
              <w:t>Kavramsal Temeller/Araştırma Modeli</w:t>
            </w:r>
          </w:p>
          <w:p>
            <w:pPr>
              <w:pStyle w:val="normal1"/>
              <w:rPr>
                <w:sz w:val="24"/>
                <w:szCs w:val="24"/>
              </w:rPr>
            </w:pPr>
            <w:r>
              <w:rPr>
                <w:sz w:val="24"/>
                <w:szCs w:val="24"/>
              </w:rPr>
            </w:r>
          </w:p>
          <w:p>
            <w:pPr>
              <w:pStyle w:val="normal1"/>
              <w:spacing w:lineRule="auto" w:line="240"/>
              <w:rPr>
                <w:sz w:val="24"/>
                <w:szCs w:val="24"/>
              </w:rPr>
            </w:pPr>
            <w:r>
              <w:rPr>
                <w:sz w:val="24"/>
                <w:szCs w:val="24"/>
                <w:lang w:val="en-US"/>
              </w:rPr>
              <w:t xml:space="preserve">1. </w:t>
            </w:r>
            <w:r>
              <w:rPr>
                <w:sz w:val="24"/>
                <w:szCs w:val="24"/>
              </w:rPr>
              <w:t>Veri Hazırlama:</w:t>
            </w:r>
          </w:p>
          <w:p>
            <w:pPr>
              <w:pStyle w:val="normal1"/>
              <w:numPr>
                <w:ilvl w:val="0"/>
                <w:numId w:val="8"/>
              </w:numPr>
              <w:spacing w:lineRule="auto" w:line="240"/>
              <w:rPr>
                <w:sz w:val="24"/>
                <w:szCs w:val="24"/>
              </w:rPr>
            </w:pPr>
            <w:r>
              <w:rPr>
                <w:sz w:val="24"/>
                <w:szCs w:val="24"/>
              </w:rPr>
              <w:t>Çeşitli kalp hastalıkları olan hastaların ve normal EKG'lerin kayıtlarını içeren 12 kanallı bir EKG veri setinin elde edilmesi.</w:t>
            </w:r>
          </w:p>
          <w:p>
            <w:pPr>
              <w:pStyle w:val="normal1"/>
              <w:numPr>
                <w:ilvl w:val="0"/>
                <w:numId w:val="8"/>
              </w:numPr>
              <w:spacing w:lineRule="auto" w:line="240"/>
              <w:rPr>
                <w:sz w:val="24"/>
                <w:szCs w:val="24"/>
              </w:rPr>
            </w:pPr>
            <w:r>
              <w:rPr>
                <w:sz w:val="24"/>
                <w:szCs w:val="24"/>
              </w:rPr>
              <w:t>Genlik normalleştirme, gürültü giderme, zaman serisi hizalama, artefakt kaldırma vb. gibi veri ön işleme.</w:t>
            </w:r>
          </w:p>
          <w:p>
            <w:pPr>
              <w:pStyle w:val="normal1"/>
              <w:numPr>
                <w:ilvl w:val="0"/>
                <w:numId w:val="0"/>
              </w:numPr>
              <w:spacing w:lineRule="auto" w:line="240"/>
              <w:ind w:hanging="0" w:left="720"/>
              <w:rPr>
                <w:sz w:val="24"/>
                <w:szCs w:val="24"/>
              </w:rPr>
            </w:pPr>
            <w:r>
              <w:rPr>
                <w:sz w:val="24"/>
                <w:szCs w:val="24"/>
              </w:rPr>
            </w:r>
          </w:p>
          <w:p>
            <w:pPr>
              <w:pStyle w:val="normal1"/>
              <w:spacing w:lineRule="auto" w:line="240"/>
              <w:rPr>
                <w:sz w:val="24"/>
                <w:szCs w:val="24"/>
              </w:rPr>
            </w:pPr>
            <w:r>
              <w:rPr>
                <w:sz w:val="24"/>
                <w:szCs w:val="24"/>
                <w:lang w:val="en-US"/>
              </w:rPr>
              <w:t xml:space="preserve">2. </w:t>
            </w:r>
            <w:r>
              <w:rPr>
                <w:sz w:val="24"/>
                <w:szCs w:val="24"/>
              </w:rPr>
              <w:t>Veri Büyütme:</w:t>
              <w:br/>
              <w:t>Çeşitli fizyolojik varyasyonları ve artefaktları hesaba katarak EKG verilerinin yeni versiyonlarını oluşturmak için referans düğüm yöntemi kullanılarak bir sinyal büyütme tekniği geliştirilmesi.</w:t>
            </w:r>
          </w:p>
          <w:p>
            <w:pPr>
              <w:pStyle w:val="normal1"/>
              <w:numPr>
                <w:ilvl w:val="0"/>
                <w:numId w:val="9"/>
              </w:numPr>
              <w:spacing w:lineRule="auto" w:line="240"/>
              <w:rPr>
                <w:sz w:val="24"/>
                <w:szCs w:val="24"/>
              </w:rPr>
            </w:pPr>
            <w:r>
              <w:rPr>
                <w:sz w:val="24"/>
                <w:szCs w:val="24"/>
              </w:rPr>
              <w:t>Büyütülmüş bir veri seti oluşturmak için hazırlanan veri setine sinyal büyütme uygulayın.</w:t>
            </w:r>
          </w:p>
          <w:p>
            <w:pPr>
              <w:pStyle w:val="normal1"/>
              <w:numPr>
                <w:ilvl w:val="0"/>
                <w:numId w:val="0"/>
              </w:numPr>
              <w:spacing w:lineRule="auto" w:line="240"/>
              <w:ind w:hanging="0" w:left="720"/>
              <w:rPr>
                <w:sz w:val="24"/>
                <w:szCs w:val="24"/>
              </w:rPr>
            </w:pPr>
            <w:r>
              <w:rPr>
                <w:sz w:val="24"/>
                <w:szCs w:val="24"/>
              </w:rPr>
            </w:r>
          </w:p>
          <w:p>
            <w:pPr>
              <w:pStyle w:val="normal1"/>
              <w:spacing w:lineRule="auto" w:line="240"/>
              <w:rPr>
                <w:sz w:val="24"/>
                <w:szCs w:val="24"/>
              </w:rPr>
            </w:pPr>
            <w:r>
              <w:rPr>
                <w:sz w:val="24"/>
                <w:szCs w:val="24"/>
                <w:lang w:val="en-US"/>
              </w:rPr>
              <w:t xml:space="preserve">3. </w:t>
            </w:r>
            <w:r>
              <w:rPr>
                <w:sz w:val="24"/>
                <w:szCs w:val="24"/>
              </w:rPr>
              <w:t>Sinir Ağı Mimarisi Geliştirme:</w:t>
            </w:r>
          </w:p>
          <w:p>
            <w:pPr>
              <w:pStyle w:val="normal1"/>
              <w:numPr>
                <w:ilvl w:val="0"/>
                <w:numId w:val="10"/>
              </w:numPr>
              <w:spacing w:lineRule="auto" w:line="240"/>
              <w:rPr>
                <w:sz w:val="24"/>
                <w:szCs w:val="24"/>
              </w:rPr>
            </w:pPr>
            <w:r>
              <w:rPr>
                <w:sz w:val="24"/>
                <w:szCs w:val="24"/>
              </w:rPr>
              <w:t>EKG verilerini sınıflandırmak için sinir ağı mimarisinin tanımlanması.</w:t>
            </w:r>
          </w:p>
          <w:p>
            <w:pPr>
              <w:pStyle w:val="normal1"/>
              <w:numPr>
                <w:ilvl w:val="0"/>
                <w:numId w:val="10"/>
              </w:numPr>
              <w:spacing w:lineRule="auto" w:line="240"/>
              <w:rPr>
                <w:sz w:val="24"/>
                <w:szCs w:val="24"/>
              </w:rPr>
            </w:pPr>
            <w:r>
              <w:rPr>
                <w:sz w:val="24"/>
                <w:szCs w:val="24"/>
              </w:rPr>
              <w:t>Katman türlerinin seçilmesi (örneğin, evrişimli katmanlar, havuzlama katmanları, tam bağlı katmanlar) ve parametreleri.</w:t>
            </w:r>
          </w:p>
          <w:p>
            <w:pPr>
              <w:pStyle w:val="normal1"/>
              <w:numPr>
                <w:ilvl w:val="0"/>
                <w:numId w:val="10"/>
              </w:numPr>
              <w:spacing w:lineRule="auto" w:line="240"/>
              <w:rPr>
                <w:sz w:val="24"/>
                <w:szCs w:val="24"/>
              </w:rPr>
            </w:pPr>
            <w:r>
              <w:rPr>
                <w:sz w:val="24"/>
                <w:szCs w:val="24"/>
              </w:rPr>
              <w:t>Model performansını değerlendirmek için aktivasyon fonksiyonlarını, kayıp fonksiyonlarını ve metrikleri tanımlayın.</w:t>
            </w:r>
          </w:p>
          <w:p>
            <w:pPr>
              <w:pStyle w:val="normal1"/>
              <w:numPr>
                <w:ilvl w:val="0"/>
                <w:numId w:val="0"/>
              </w:numPr>
              <w:spacing w:lineRule="auto" w:line="240"/>
              <w:ind w:hanging="0" w:left="720"/>
              <w:rPr>
                <w:sz w:val="24"/>
                <w:szCs w:val="24"/>
              </w:rPr>
            </w:pPr>
            <w:r>
              <w:rPr>
                <w:sz w:val="24"/>
                <w:szCs w:val="24"/>
              </w:rPr>
            </w:r>
          </w:p>
          <w:p>
            <w:pPr>
              <w:pStyle w:val="normal1"/>
              <w:spacing w:lineRule="auto" w:line="240"/>
              <w:rPr>
                <w:sz w:val="24"/>
                <w:szCs w:val="24"/>
              </w:rPr>
            </w:pPr>
            <w:r>
              <w:rPr>
                <w:sz w:val="24"/>
                <w:szCs w:val="24"/>
                <w:lang w:val="en-US"/>
              </w:rPr>
              <w:t xml:space="preserve">4. </w:t>
            </w:r>
            <w:r>
              <w:rPr>
                <w:sz w:val="24"/>
                <w:szCs w:val="24"/>
              </w:rPr>
              <w:t>Model Eğitimi:</w:t>
            </w:r>
          </w:p>
          <w:p>
            <w:pPr>
              <w:pStyle w:val="normal1"/>
              <w:numPr>
                <w:ilvl w:val="0"/>
                <w:numId w:val="11"/>
              </w:numPr>
              <w:spacing w:lineRule="auto" w:line="240"/>
              <w:rPr>
                <w:sz w:val="24"/>
                <w:szCs w:val="24"/>
              </w:rPr>
            </w:pPr>
            <w:r>
              <w:rPr>
                <w:sz w:val="24"/>
                <w:szCs w:val="24"/>
              </w:rPr>
              <w:t>Verileri eğitim, doğrulama ve test setlerine bölme.</w:t>
            </w:r>
          </w:p>
          <w:p>
            <w:pPr>
              <w:pStyle w:val="normal1"/>
              <w:numPr>
                <w:ilvl w:val="0"/>
                <w:numId w:val="11"/>
              </w:numPr>
              <w:spacing w:lineRule="auto" w:line="240"/>
              <w:rPr>
                <w:sz w:val="24"/>
                <w:szCs w:val="24"/>
              </w:rPr>
            </w:pPr>
            <w:r>
              <w:rPr>
                <w:sz w:val="24"/>
                <w:szCs w:val="24"/>
              </w:rPr>
              <w:t>Seçilen sinir ağı mimarisi ve sinyal büyütme tekniği kullanılarak modelin eğitim verileri üzerinde eğitilmesi.</w:t>
            </w:r>
          </w:p>
          <w:p>
            <w:pPr>
              <w:pStyle w:val="normal1"/>
              <w:numPr>
                <w:ilvl w:val="0"/>
                <w:numId w:val="11"/>
              </w:numPr>
              <w:spacing w:lineRule="auto" w:line="240"/>
              <w:rPr>
                <w:sz w:val="24"/>
                <w:szCs w:val="24"/>
              </w:rPr>
            </w:pPr>
            <w:r>
              <w:rPr>
                <w:sz w:val="24"/>
                <w:szCs w:val="24"/>
              </w:rPr>
              <w:t>Modelin performansını doğrulama veri setinde değerlendirin ve gerekirse model parametrelerini ayarlayın.</w:t>
            </w:r>
          </w:p>
          <w:p>
            <w:pPr>
              <w:pStyle w:val="normal1"/>
              <w:numPr>
                <w:ilvl w:val="0"/>
                <w:numId w:val="0"/>
              </w:numPr>
              <w:spacing w:lineRule="auto" w:line="240"/>
              <w:ind w:hanging="0" w:left="720"/>
              <w:rPr>
                <w:sz w:val="24"/>
                <w:szCs w:val="24"/>
              </w:rPr>
            </w:pPr>
            <w:r>
              <w:rPr>
                <w:sz w:val="24"/>
                <w:szCs w:val="24"/>
              </w:rPr>
            </w:r>
          </w:p>
          <w:p>
            <w:pPr>
              <w:pStyle w:val="normal1"/>
              <w:spacing w:lineRule="auto" w:line="240"/>
              <w:rPr>
                <w:sz w:val="24"/>
                <w:szCs w:val="24"/>
              </w:rPr>
            </w:pPr>
            <w:r>
              <w:rPr>
                <w:sz w:val="24"/>
                <w:szCs w:val="24"/>
                <w:lang w:val="en-US"/>
              </w:rPr>
              <w:t xml:space="preserve">5. </w:t>
            </w:r>
            <w:r>
              <w:rPr>
                <w:sz w:val="24"/>
                <w:szCs w:val="24"/>
              </w:rPr>
              <w:t>Model Değerlendirme:</w:t>
            </w:r>
          </w:p>
          <w:p>
            <w:pPr>
              <w:pStyle w:val="normal1"/>
              <w:numPr>
                <w:ilvl w:val="0"/>
                <w:numId w:val="12"/>
              </w:numPr>
              <w:spacing w:lineRule="auto" w:line="240"/>
              <w:rPr>
                <w:sz w:val="24"/>
                <w:szCs w:val="24"/>
              </w:rPr>
            </w:pPr>
            <w:r>
              <w:rPr>
                <w:sz w:val="24"/>
                <w:szCs w:val="24"/>
              </w:rPr>
              <w:t>Eğitilmiş modelin performansını test veri setinde değerlendirin.</w:t>
            </w:r>
          </w:p>
          <w:p>
            <w:pPr>
              <w:pStyle w:val="normal1"/>
              <w:numPr>
                <w:ilvl w:val="0"/>
                <w:numId w:val="12"/>
              </w:numPr>
              <w:spacing w:lineRule="auto" w:line="240"/>
              <w:rPr>
                <w:sz w:val="24"/>
                <w:szCs w:val="24"/>
              </w:rPr>
            </w:pPr>
            <w:r>
              <w:rPr>
                <w:sz w:val="24"/>
                <w:szCs w:val="24"/>
              </w:rPr>
              <w:t>Sonuçları kalp hastalığı sınıflandırması veya teşhisinin diğer yöntemleriyle karşılaştırın.</w:t>
            </w:r>
          </w:p>
          <w:p>
            <w:pPr>
              <w:pStyle w:val="normal1"/>
              <w:numPr>
                <w:ilvl w:val="0"/>
                <w:numId w:val="12"/>
              </w:numPr>
              <w:spacing w:lineRule="auto" w:line="240"/>
              <w:rPr>
                <w:sz w:val="24"/>
                <w:szCs w:val="24"/>
              </w:rPr>
            </w:pPr>
            <w:r>
              <w:rPr>
                <w:sz w:val="24"/>
                <w:szCs w:val="24"/>
              </w:rPr>
              <w:t>Model hatalarını analiz edin ve yorumlanabilirliğini araştırın.</w:t>
            </w:r>
          </w:p>
          <w:p>
            <w:pPr>
              <w:pStyle w:val="normal1"/>
              <w:rPr>
                <w:sz w:val="24"/>
                <w:szCs w:val="24"/>
              </w:rPr>
            </w:pPr>
            <w:r>
              <w:rPr>
                <w:sz w:val="24"/>
                <w:szCs w:val="24"/>
              </w:rPr>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     </w:t>
            </w:r>
            <w:r>
              <w:rPr>
                <w:b/>
                <w:sz w:val="24"/>
                <w:szCs w:val="24"/>
              </w:rPr>
              <w:t xml:space="preserve">7.2. </w:t>
            </w:r>
            <w:r>
              <w:rPr>
                <w:rStyle w:val="Strong"/>
                <w:sz w:val="24"/>
                <w:szCs w:val="24"/>
              </w:rPr>
              <w:t>Ana Kitle (Hedef Popülasyon) ve Örneklem (Örneklem Popülasyonu)</w:t>
            </w:r>
          </w:p>
          <w:p>
            <w:pPr>
              <w:pStyle w:val="normal1"/>
              <w:spacing w:lineRule="auto" w:line="240"/>
              <w:rPr>
                <w:sz w:val="24"/>
                <w:szCs w:val="24"/>
              </w:rPr>
            </w:pPr>
            <w:r>
              <w:rPr>
                <w:sz w:val="24"/>
                <w:szCs w:val="24"/>
              </w:rPr>
            </w:r>
          </w:p>
          <w:p>
            <w:pPr>
              <w:pStyle w:val="normal1"/>
              <w:spacing w:lineRule="auto" w:line="240"/>
              <w:rPr/>
            </w:pPr>
            <w:r>
              <w:rPr>
                <w:sz w:val="24"/>
                <w:szCs w:val="24"/>
              </w:rPr>
              <w:t>PhysioNet/Cinc 2020 yarışma veri seti ve bir hastane hastaları veri seti.</w:t>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sz w:val="24"/>
                <w:szCs w:val="24"/>
              </w:rPr>
            </w:pPr>
            <w:r>
              <w:rPr>
                <w:b/>
                <w:sz w:val="24"/>
                <w:szCs w:val="24"/>
              </w:rPr>
              <w:t xml:space="preserve">     </w:t>
            </w:r>
            <w:r>
              <w:rPr>
                <w:b/>
                <w:sz w:val="24"/>
                <w:szCs w:val="24"/>
              </w:rPr>
              <w:t xml:space="preserve">7.3. </w:t>
            </w:r>
            <w:r>
              <w:rPr>
                <w:rStyle w:val="Strong"/>
                <w:sz w:val="24"/>
                <w:szCs w:val="24"/>
              </w:rPr>
              <w:t>Malzemeler ve Toplanması</w:t>
            </w:r>
          </w:p>
          <w:p>
            <w:pPr>
              <w:pStyle w:val="normal1"/>
              <w:spacing w:lineRule="auto" w:line="240" w:before="240" w:after="0"/>
              <w:rPr>
                <w:sz w:val="24"/>
                <w:szCs w:val="24"/>
              </w:rPr>
            </w:pPr>
            <w:r>
              <w:rPr>
                <w:sz w:val="24"/>
                <w:szCs w:val="24"/>
              </w:rPr>
              <w:t>Bu çalışmada PhysioNet/Cinc 2020 yarışma veri seti kullanılacaktır. Bu, 43,101 EKG kaydı içeren halka açık, çok sınıflı bir EKG sinyal veri setidir. Ayrıca, veri seti çeşitli kaynaklardan toplanmıştır, bu da önerilen yöntemin genelleme yeteneğini sağlamak için ideal kılar.</w:t>
            </w:r>
          </w:p>
          <w:p>
            <w:pPr>
              <w:pStyle w:val="normal1"/>
              <w:spacing w:lineRule="auto" w:line="240" w:before="240" w:after="0"/>
              <w:rPr>
                <w:sz w:val="24"/>
                <w:szCs w:val="24"/>
              </w:rPr>
            </w:pPr>
            <w:r>
              <w:rPr>
                <w:sz w:val="24"/>
                <w:szCs w:val="24"/>
              </w:rPr>
              <w:t>(4 Large Scale 12-Lead Electrocardiogram Database for Arrhythmia Study v1.0.0, n.d.)</w:t>
            </w:r>
          </w:p>
          <w:p>
            <w:pPr>
              <w:pStyle w:val="normal1"/>
              <w:spacing w:lineRule="auto" w:line="240" w:before="240" w:after="0"/>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sz w:val="24"/>
                <w:szCs w:val="24"/>
              </w:rPr>
            </w:pPr>
            <w:r>
              <w:rPr>
                <w:b/>
                <w:sz w:val="24"/>
                <w:szCs w:val="24"/>
              </w:rPr>
              <w:t xml:space="preserve">     </w:t>
            </w:r>
            <w:r>
              <w:rPr>
                <w:b/>
                <w:sz w:val="24"/>
                <w:szCs w:val="24"/>
              </w:rPr>
              <w:t xml:space="preserve">7.4. </w:t>
            </w:r>
            <w:r>
              <w:rPr>
                <w:rStyle w:val="Strong"/>
                <w:sz w:val="24"/>
                <w:szCs w:val="24"/>
              </w:rPr>
              <w:t>Veri Analizi (Malzemelerin Analizi ve Özeti)</w:t>
            </w:r>
          </w:p>
          <w:p>
            <w:pPr>
              <w:pStyle w:val="normal1"/>
              <w:spacing w:lineRule="auto" w:line="240" w:before="240" w:after="0"/>
              <w:rPr>
                <w:sz w:val="24"/>
                <w:szCs w:val="24"/>
              </w:rPr>
            </w:pPr>
            <w:r>
              <w:rPr>
                <w:sz w:val="24"/>
                <w:szCs w:val="24"/>
              </w:rPr>
              <w:t>Kaynak veri seti 45,152 hastanın EKG'lerinden oluşmaktadır. Bit başına A/D dönüşüm sayısı 4.88'dir ve A/D dönüştürücü 32 bit çözünürlüğe sahiptir. Genlik birimi mikrovolttur. Üst sınır 32.767 ve alt sınır -32.768'dir. Shaoxing Halk Hastanesi ve Ningbo Birinci Hastanesi'nin Kurumsal İnceleme Kurulları bu çalışmayı onaylamış ve bilgilendirilmiş onamın feragat edilmesine ve kimlik gizlendikten sonra verilerin kamuyla paylaşılmasına izin vermiştir.</w:t>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8. </w:t>
            </w:r>
            <w:r>
              <w:rPr>
                <w:rStyle w:val="Strong"/>
              </w:rPr>
              <w:t>Çalışma Planı/Takvimi</w:t>
            </w:r>
          </w:p>
          <w:p>
            <w:pPr>
              <w:pStyle w:val="normal1"/>
              <w:rPr>
                <w:sz w:val="24"/>
                <w:szCs w:val="24"/>
              </w:rPr>
            </w:pPr>
            <w:r>
              <w:rPr>
                <w:sz w:val="24"/>
                <w:szCs w:val="24"/>
              </w:rPr>
            </w:r>
          </w:p>
          <w:tbl>
            <w:tblPr>
              <w:tblStyle w:val="Table4"/>
              <w:tblW w:w="10372" w:type="dxa"/>
              <w:jc w:val="left"/>
              <w:tblInd w:w="0" w:type="dxa"/>
              <w:tblLayout w:type="fixed"/>
              <w:tblCellMar>
                <w:top w:w="0" w:type="dxa"/>
                <w:left w:w="108" w:type="dxa"/>
                <w:bottom w:w="0" w:type="dxa"/>
                <w:right w:w="108" w:type="dxa"/>
              </w:tblCellMar>
              <w:tblLook w:val="0400"/>
            </w:tblPr>
            <w:tblGrid>
              <w:gridCol w:w="1652"/>
              <w:gridCol w:w="1177"/>
              <w:gridCol w:w="1072"/>
              <w:gridCol w:w="973"/>
              <w:gridCol w:w="1061"/>
              <w:gridCol w:w="956"/>
              <w:gridCol w:w="1080"/>
              <w:gridCol w:w="763"/>
              <w:gridCol w:w="974"/>
              <w:gridCol w:w="663"/>
            </w:tblGrid>
            <w:tr>
              <w:trPr/>
              <w:tc>
                <w:tcPr>
                  <w:tcW w:w="1652" w:type="dxa"/>
                  <w:vMerge w:val="restart"/>
                  <w:tcBorders>
                    <w:top w:val="single" w:sz="4" w:space="0" w:color="000000"/>
                    <w:left w:val="single" w:sz="4" w:space="0" w:color="000000"/>
                    <w:bottom w:val="single" w:sz="4" w:space="0" w:color="000000"/>
                    <w:right w:val="single" w:sz="4" w:space="0" w:color="000000"/>
                  </w:tcBorders>
                </w:tcPr>
                <w:p>
                  <w:pPr>
                    <w:pStyle w:val="normal1"/>
                    <w:rPr>
                      <w:lang w:val="en-US"/>
                    </w:rPr>
                  </w:pPr>
                  <w:r>
                    <w:rPr>
                      <w:lang w:val="en-US"/>
                    </w:rPr>
                    <w:t>Adımlar</w:t>
                  </w:r>
                </w:p>
              </w:tc>
              <w:tc>
                <w:tcPr>
                  <w:tcW w:w="8719" w:type="dxa"/>
                  <w:gridSpan w:val="9"/>
                  <w:tcBorders>
                    <w:top w:val="single" w:sz="4" w:space="0" w:color="000000"/>
                    <w:left w:val="single" w:sz="4" w:space="0" w:color="000000"/>
                    <w:bottom w:val="single" w:sz="4" w:space="0" w:color="000000"/>
                    <w:right w:val="single" w:sz="4" w:space="0" w:color="000000"/>
                  </w:tcBorders>
                </w:tcPr>
                <w:p>
                  <w:pPr>
                    <w:pStyle w:val="normal1"/>
                    <w:jc w:val="center"/>
                    <w:rPr/>
                  </w:pPr>
                  <w:r>
                    <w:rPr>
                      <w:lang w:val="en-US"/>
                    </w:rPr>
                    <w:t>Zaman</w:t>
                  </w:r>
                </w:p>
              </w:tc>
            </w:tr>
            <w:tr>
              <w:trPr/>
              <w:tc>
                <w:tcPr>
                  <w:tcW w:w="1652"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276" w:before="0" w:after="0"/>
                    <w:ind w:hanging="0" w:left="0" w:right="0"/>
                    <w:jc w:val="left"/>
                    <w:rPr>
                      <w:sz w:val="24"/>
                      <w:szCs w:val="24"/>
                    </w:rPr>
                  </w:pPr>
                  <w:r>
                    <w:rPr>
                      <w:sz w:val="24"/>
                      <w:szCs w:val="24"/>
                    </w:rPr>
                  </w:r>
                </w:p>
              </w:tc>
              <w:tc>
                <w:tcPr>
                  <w:tcW w:w="5239" w:type="dxa"/>
                  <w:gridSpan w:val="5"/>
                  <w:tcBorders>
                    <w:top w:val="single" w:sz="4" w:space="0" w:color="000000"/>
                    <w:left w:val="single" w:sz="4" w:space="0" w:color="000000"/>
                    <w:bottom w:val="single" w:sz="4" w:space="0" w:color="000000"/>
                    <w:right w:val="single" w:sz="4" w:space="0" w:color="000000"/>
                  </w:tcBorders>
                </w:tcPr>
                <w:p>
                  <w:pPr>
                    <w:pStyle w:val="normal1"/>
                    <w:jc w:val="center"/>
                    <w:rPr>
                      <w:sz w:val="24"/>
                      <w:szCs w:val="24"/>
                      <w:lang w:val="en-US"/>
                    </w:rPr>
                  </w:pPr>
                  <w:r>
                    <w:rPr>
                      <w:sz w:val="24"/>
                      <w:szCs w:val="24"/>
                    </w:rPr>
                    <w:t>20</w:t>
                  </w:r>
                  <w:r>
                    <w:rPr>
                      <w:color w:val="FF0000"/>
                      <w:sz w:val="24"/>
                      <w:szCs w:val="24"/>
                    </w:rPr>
                    <w:t>2</w:t>
                  </w:r>
                  <w:r>
                    <w:rPr>
                      <w:color w:val="FF0000"/>
                      <w:sz w:val="24"/>
                      <w:szCs w:val="24"/>
                      <w:lang w:val="en-US"/>
                    </w:rPr>
                    <w:t>5</w:t>
                  </w:r>
                  <w:r>
                    <w:rPr>
                      <w:sz w:val="24"/>
                      <w:szCs w:val="24"/>
                    </w:rPr>
                    <w:t>/20</w:t>
                  </w:r>
                  <w:r>
                    <w:rPr>
                      <w:color w:val="FF0000"/>
                      <w:sz w:val="24"/>
                      <w:szCs w:val="24"/>
                    </w:rPr>
                    <w:t>2</w:t>
                  </w:r>
                  <w:r>
                    <w:rPr>
                      <w:color w:val="FF0000"/>
                      <w:sz w:val="24"/>
                      <w:szCs w:val="24"/>
                      <w:lang w:val="en-US"/>
                    </w:rPr>
                    <w:t>6</w:t>
                  </w:r>
                  <w:r>
                    <w:rPr>
                      <w:sz w:val="24"/>
                      <w:szCs w:val="24"/>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Akademik Yıl</w:t>
                  </w:r>
                </w:p>
                <w:p>
                  <w:pPr>
                    <w:pStyle w:val="normal1"/>
                    <w:jc w:val="center"/>
                    <w:rPr/>
                  </w:pPr>
                  <w:r>
                    <w:rPr>
                      <w:lang w:val="en-US"/>
                    </w:rPr>
                    <w:t>Güz Dönemi</w:t>
                  </w:r>
                </w:p>
              </w:tc>
              <w:tc>
                <w:tcPr>
                  <w:tcW w:w="3480" w:type="dxa"/>
                  <w:gridSpan w:val="4"/>
                  <w:tcBorders>
                    <w:top w:val="single" w:sz="4" w:space="0" w:color="000000"/>
                    <w:left w:val="single" w:sz="4" w:space="0" w:color="000000"/>
                    <w:bottom w:val="single" w:sz="4" w:space="0" w:color="000000"/>
                    <w:right w:val="single" w:sz="4" w:space="0" w:color="000000"/>
                  </w:tcBorders>
                </w:tcPr>
                <w:p>
                  <w:pPr>
                    <w:pStyle w:val="normal1"/>
                    <w:jc w:val="center"/>
                    <w:rPr>
                      <w:sz w:val="24"/>
                      <w:szCs w:val="24"/>
                    </w:rPr>
                  </w:pPr>
                  <w:r>
                    <w:rPr>
                      <w:sz w:val="24"/>
                      <w:szCs w:val="24"/>
                    </w:rPr>
                    <w:t>20</w:t>
                  </w:r>
                  <w:r>
                    <w:rPr>
                      <w:color w:val="FF0000"/>
                      <w:sz w:val="24"/>
                      <w:szCs w:val="24"/>
                    </w:rPr>
                    <w:t>2</w:t>
                  </w:r>
                  <w:r>
                    <w:rPr>
                      <w:color w:val="FF0000"/>
                      <w:sz w:val="24"/>
                      <w:szCs w:val="24"/>
                      <w:lang w:val="en-US"/>
                    </w:rPr>
                    <w:t>5</w:t>
                  </w:r>
                  <w:r>
                    <w:rPr>
                      <w:sz w:val="24"/>
                      <w:szCs w:val="24"/>
                    </w:rPr>
                    <w:t>/20</w:t>
                  </w:r>
                  <w:r>
                    <w:rPr>
                      <w:color w:val="FF0000"/>
                      <w:sz w:val="24"/>
                      <w:szCs w:val="24"/>
                    </w:rPr>
                    <w:t>2</w:t>
                  </w:r>
                  <w:r>
                    <w:rPr>
                      <w:color w:val="FF0000"/>
                      <w:sz w:val="24"/>
                      <w:szCs w:val="24"/>
                      <w:lang w:val="en-US"/>
                    </w:rPr>
                    <w:t>6</w:t>
                  </w:r>
                  <w:r>
                    <w:rPr>
                      <w:sz w:val="24"/>
                      <w:szCs w:val="24"/>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rPr>
                    <w:t>Akademik Yıl</w:t>
                  </w:r>
                </w:p>
                <w:p>
                  <w:pPr>
                    <w:pStyle w:val="normal1"/>
                    <w:jc w:val="center"/>
                    <w:rPr/>
                  </w:pPr>
                  <w:r>
                    <w:rPr/>
                    <w:t>Bahar Dönemi</w:t>
                    <w:br/>
                  </w:r>
                </w:p>
              </w:tc>
            </w:tr>
            <w:tr>
              <w:trPr>
                <w:trHeight w:val="547" w:hRule="atLeast"/>
              </w:trPr>
              <w:tc>
                <w:tcPr>
                  <w:tcW w:w="1652" w:type="dxa"/>
                  <w:vMerge w:val="continue"/>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276" w:before="0" w:after="0"/>
                    <w:ind w:hanging="0" w:left="0" w:right="0"/>
                    <w:jc w:val="left"/>
                    <w:rPr>
                      <w:sz w:val="24"/>
                      <w:szCs w:val="24"/>
                    </w:rPr>
                  </w:pPr>
                  <w:r>
                    <w:rPr>
                      <w:sz w:val="24"/>
                      <w:szCs w:val="24"/>
                    </w:rPr>
                  </w:r>
                </w:p>
              </w:tc>
              <w:tc>
                <w:tcPr>
                  <w:tcW w:w="1177"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lang w:val="en-US"/>
                    </w:rPr>
                    <w:t>Eylül</w:t>
                  </w:r>
                </w:p>
              </w:tc>
              <w:tc>
                <w:tcPr>
                  <w:tcW w:w="1072"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lang w:val="en-US"/>
                    </w:rPr>
                    <w:t>Ekim</w:t>
                  </w:r>
                </w:p>
              </w:tc>
              <w:tc>
                <w:tcPr>
                  <w:tcW w:w="973"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lang w:val="en-US"/>
                    </w:rPr>
                    <w:t>Kasım</w:t>
                  </w:r>
                </w:p>
              </w:tc>
              <w:tc>
                <w:tcPr>
                  <w:tcW w:w="1061"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lang w:val="en-US"/>
                    </w:rPr>
                    <w:t>Aralık</w:t>
                  </w:r>
                </w:p>
              </w:tc>
              <w:tc>
                <w:tcPr>
                  <w:tcW w:w="956"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lang w:val="en-US"/>
                    </w:rPr>
                    <w:t>Ocak</w:t>
                  </w:r>
                </w:p>
              </w:tc>
              <w:tc>
                <w:tcPr>
                  <w:tcW w:w="1080"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lang w:val="en-US"/>
                    </w:rPr>
                    <w:t>Şubat</w:t>
                  </w:r>
                </w:p>
              </w:tc>
              <w:tc>
                <w:tcPr>
                  <w:tcW w:w="763"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lang w:val="en-US"/>
                    </w:rPr>
                    <w:t>Mart</w:t>
                  </w:r>
                </w:p>
              </w:tc>
              <w:tc>
                <w:tcPr>
                  <w:tcW w:w="974"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lang w:val="en-US"/>
                    </w:rPr>
                    <w:t>Nisan</w:t>
                  </w:r>
                </w:p>
              </w:tc>
              <w:tc>
                <w:tcPr>
                  <w:tcW w:w="663" w:type="dxa"/>
                  <w:tcBorders>
                    <w:top w:val="single" w:sz="4" w:space="0" w:color="000000"/>
                    <w:left w:val="single" w:sz="4" w:space="0" w:color="000000"/>
                    <w:bottom w:val="single" w:sz="4" w:space="0" w:color="000000"/>
                    <w:right w:val="single" w:sz="4" w:space="0" w:color="000000"/>
                  </w:tcBorders>
                </w:tcPr>
                <w:p>
                  <w:pPr>
                    <w:pStyle w:val="normal1"/>
                    <w:jc w:val="center"/>
                    <w:rPr>
                      <w:lang w:val="en-US"/>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lang w:val="en-US"/>
                    </w:rPr>
                    <w:t>Mayıs</w:t>
                  </w:r>
                </w:p>
              </w:tc>
            </w:tr>
            <w:tr>
              <w:trPr/>
              <w:tc>
                <w:tcPr>
                  <w:tcW w:w="1652" w:type="dxa"/>
                  <w:tcBorders>
                    <w:top w:val="single" w:sz="4" w:space="0" w:color="000000"/>
                    <w:left w:val="single" w:sz="4" w:space="0" w:color="000000"/>
                    <w:bottom w:val="single" w:sz="4" w:space="0" w:color="000000"/>
                    <w:right w:val="single" w:sz="4" w:space="0" w:color="000000"/>
                  </w:tcBorders>
                </w:tcPr>
                <w:p>
                  <w:pPr>
                    <w:pStyle w:val="normal1"/>
                    <w:widowControl/>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szCs w:val="24"/>
                    </w:rPr>
                    <w:t>Mevcut Araştırmaların İncelenmesi</w:t>
                  </w:r>
                </w:p>
              </w:tc>
              <w:tc>
                <w:tcPr>
                  <w:tcW w:w="1177"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1072"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73"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1061"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56"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1080"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763"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74"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6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r>
            <w:tr>
              <w:trPr/>
              <w:tc>
                <w:tcPr>
                  <w:tcW w:w="1652" w:type="dxa"/>
                  <w:tcBorders>
                    <w:top w:val="single" w:sz="4" w:space="0" w:color="000000"/>
                    <w:left w:val="single" w:sz="4" w:space="0" w:color="000000"/>
                    <w:bottom w:val="single" w:sz="4" w:space="0" w:color="000000"/>
                    <w:right w:val="single" w:sz="4" w:space="0" w:color="000000"/>
                  </w:tcBorders>
                </w:tcPr>
                <w:p>
                  <w:pPr>
                    <w:pStyle w:val="normal1"/>
                    <w:widowControl/>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szCs w:val="24"/>
                    </w:rPr>
                    <w:t>Araştırma ve Uygulama</w:t>
                  </w:r>
                </w:p>
                <w:p>
                  <w:pPr>
                    <w:pStyle w:val="normal1"/>
                    <w:rPr>
                      <w:sz w:val="24"/>
                      <w:szCs w:val="24"/>
                    </w:rPr>
                  </w:pPr>
                  <w:r>
                    <w:rPr>
                      <w:sz w:val="24"/>
                      <w:szCs w:val="24"/>
                    </w:rPr>
                  </w:r>
                </w:p>
              </w:tc>
              <w:tc>
                <w:tcPr>
                  <w:tcW w:w="1177" w:type="dxa"/>
                  <w:tcBorders>
                    <w:top w:val="single" w:sz="4" w:space="0" w:color="000000"/>
                    <w:left w:val="single" w:sz="4" w:space="0" w:color="000000"/>
                    <w:bottom w:val="single" w:sz="4" w:space="0" w:color="000000"/>
                    <w:right w:val="single" w:sz="4" w:space="0" w:color="000000"/>
                  </w:tcBorders>
                  <w:shd w:fill="auto" w:val="clear"/>
                </w:tcPr>
                <w:p>
                  <w:pPr>
                    <w:pStyle w:val="normal1"/>
                    <w:rPr>
                      <w:sz w:val="24"/>
                      <w:szCs w:val="24"/>
                    </w:rPr>
                  </w:pPr>
                  <w:r>
                    <w:rPr>
                      <w:sz w:val="24"/>
                      <w:szCs w:val="24"/>
                    </w:rPr>
                  </w:r>
                </w:p>
              </w:tc>
              <w:tc>
                <w:tcPr>
                  <w:tcW w:w="1072"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7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61"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56"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80"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7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74"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6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r>
            <w:tr>
              <w:trPr/>
              <w:tc>
                <w:tcPr>
                  <w:tcW w:w="1652" w:type="dxa"/>
                  <w:tcBorders>
                    <w:top w:val="single" w:sz="4" w:space="0" w:color="000000"/>
                    <w:left w:val="single" w:sz="4" w:space="0" w:color="000000"/>
                    <w:bottom w:val="single" w:sz="4" w:space="0" w:color="000000"/>
                    <w:right w:val="single" w:sz="4" w:space="0" w:color="000000"/>
                  </w:tcBorders>
                </w:tcPr>
                <w:p>
                  <w:pPr>
                    <w:pStyle w:val="normal1"/>
                    <w:widowControl/>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szCs w:val="24"/>
                    </w:rPr>
                    <w:t>Araştırma ve Uygulama</w:t>
                  </w:r>
                </w:p>
                <w:p>
                  <w:pPr>
                    <w:pStyle w:val="normal1"/>
                    <w:rPr>
                      <w:sz w:val="24"/>
                      <w:szCs w:val="24"/>
                    </w:rPr>
                  </w:pPr>
                  <w:r>
                    <w:rPr>
                      <w:sz w:val="24"/>
                      <w:szCs w:val="24"/>
                    </w:rPr>
                  </w:r>
                </w:p>
              </w:tc>
              <w:tc>
                <w:tcPr>
                  <w:tcW w:w="1177" w:type="dxa"/>
                  <w:tcBorders>
                    <w:top w:val="single" w:sz="4" w:space="0" w:color="000000"/>
                    <w:left w:val="single" w:sz="4" w:space="0" w:color="000000"/>
                    <w:bottom w:val="single" w:sz="4" w:space="0" w:color="000000"/>
                    <w:right w:val="single" w:sz="4" w:space="0" w:color="000000"/>
                  </w:tcBorders>
                  <w:shd w:fill="auto" w:val="clear"/>
                </w:tcPr>
                <w:p>
                  <w:pPr>
                    <w:pStyle w:val="normal1"/>
                    <w:rPr>
                      <w:sz w:val="24"/>
                      <w:szCs w:val="24"/>
                    </w:rPr>
                  </w:pPr>
                  <w:r>
                    <w:rPr>
                      <w:sz w:val="24"/>
                      <w:szCs w:val="24"/>
                    </w:rPr>
                  </w:r>
                </w:p>
              </w:tc>
              <w:tc>
                <w:tcPr>
                  <w:tcW w:w="1072"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73"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1061"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56"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1080"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7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74"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6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r>
            <w:tr>
              <w:trPr/>
              <w:tc>
                <w:tcPr>
                  <w:tcW w:w="1652" w:type="dxa"/>
                  <w:tcBorders>
                    <w:top w:val="single" w:sz="4" w:space="0" w:color="000000"/>
                    <w:left w:val="single" w:sz="4" w:space="0" w:color="000000"/>
                    <w:bottom w:val="single" w:sz="4" w:space="0" w:color="000000"/>
                    <w:right w:val="single" w:sz="4" w:space="0" w:color="000000"/>
                  </w:tcBorders>
                </w:tcPr>
                <w:p>
                  <w:pPr>
                    <w:pStyle w:val="normal1"/>
                    <w:widowControl/>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szCs w:val="24"/>
                    </w:rPr>
                    <w:t>Araştırma ve Uygulama</w:t>
                  </w:r>
                </w:p>
                <w:p>
                  <w:pPr>
                    <w:pStyle w:val="normal1"/>
                    <w:rPr>
                      <w:sz w:val="24"/>
                      <w:szCs w:val="24"/>
                    </w:rPr>
                  </w:pPr>
                  <w:r>
                    <w:rPr>
                      <w:sz w:val="24"/>
                      <w:szCs w:val="24"/>
                    </w:rPr>
                  </w:r>
                </w:p>
              </w:tc>
              <w:tc>
                <w:tcPr>
                  <w:tcW w:w="1177" w:type="dxa"/>
                  <w:tcBorders>
                    <w:top w:val="single" w:sz="4" w:space="0" w:color="000000"/>
                    <w:left w:val="single" w:sz="4" w:space="0" w:color="000000"/>
                    <w:bottom w:val="single" w:sz="4" w:space="0" w:color="000000"/>
                    <w:right w:val="single" w:sz="4" w:space="0" w:color="000000"/>
                  </w:tcBorders>
                  <w:shd w:fill="auto" w:val="clear"/>
                </w:tcPr>
                <w:p>
                  <w:pPr>
                    <w:pStyle w:val="normal1"/>
                    <w:rPr>
                      <w:sz w:val="24"/>
                      <w:szCs w:val="24"/>
                    </w:rPr>
                  </w:pPr>
                  <w:r>
                    <w:rPr>
                      <w:sz w:val="24"/>
                      <w:szCs w:val="24"/>
                    </w:rPr>
                  </w:r>
                </w:p>
              </w:tc>
              <w:tc>
                <w:tcPr>
                  <w:tcW w:w="1072" w:type="dxa"/>
                  <w:tcBorders>
                    <w:top w:val="single" w:sz="4" w:space="0" w:color="000000"/>
                    <w:left w:val="single" w:sz="4" w:space="0" w:color="000000"/>
                    <w:bottom w:val="single" w:sz="4" w:space="0" w:color="000000"/>
                    <w:right w:val="single" w:sz="4" w:space="0" w:color="000000"/>
                  </w:tcBorders>
                  <w:shd w:fill="auto" w:val="clear"/>
                </w:tcPr>
                <w:p>
                  <w:pPr>
                    <w:pStyle w:val="normal1"/>
                    <w:rPr>
                      <w:sz w:val="24"/>
                      <w:szCs w:val="24"/>
                    </w:rPr>
                  </w:pPr>
                  <w:r>
                    <w:rPr>
                      <w:sz w:val="24"/>
                      <w:szCs w:val="24"/>
                    </w:rPr>
                  </w:r>
                </w:p>
              </w:tc>
              <w:tc>
                <w:tcPr>
                  <w:tcW w:w="973" w:type="dxa"/>
                  <w:tcBorders>
                    <w:top w:val="single" w:sz="4" w:space="0" w:color="000000"/>
                    <w:left w:val="single" w:sz="4" w:space="0" w:color="000000"/>
                    <w:bottom w:val="single" w:sz="4" w:space="0" w:color="000000"/>
                    <w:right w:val="single" w:sz="4" w:space="0" w:color="000000"/>
                  </w:tcBorders>
                  <w:shd w:fill="auto" w:val="clear"/>
                </w:tcPr>
                <w:p>
                  <w:pPr>
                    <w:pStyle w:val="normal1"/>
                    <w:rPr>
                      <w:sz w:val="24"/>
                      <w:szCs w:val="24"/>
                    </w:rPr>
                  </w:pPr>
                  <w:r>
                    <w:rPr>
                      <w:sz w:val="24"/>
                      <w:szCs w:val="24"/>
                    </w:rPr>
                  </w:r>
                </w:p>
              </w:tc>
              <w:tc>
                <w:tcPr>
                  <w:tcW w:w="1061"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56"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1080"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7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74"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6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r>
            <w:tr>
              <w:trPr/>
              <w:tc>
                <w:tcPr>
                  <w:tcW w:w="1652" w:type="dxa"/>
                  <w:tcBorders>
                    <w:top w:val="single" w:sz="4" w:space="0" w:color="000000"/>
                    <w:left w:val="single" w:sz="4" w:space="0" w:color="000000"/>
                    <w:bottom w:val="single" w:sz="4" w:space="0" w:color="000000"/>
                    <w:right w:val="single" w:sz="4" w:space="0" w:color="000000"/>
                  </w:tcBorders>
                </w:tcPr>
                <w:p>
                  <w:pPr>
                    <w:pStyle w:val="normal1"/>
                    <w:widowControl/>
                    <w:ind w:hanging="0" w:left="0" w:right="0"/>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szCs w:val="24"/>
                    </w:rPr>
                    <w:t>Test Etme</w:t>
                  </w:r>
                </w:p>
                <w:p>
                  <w:pPr>
                    <w:pStyle w:val="normal1"/>
                    <w:rPr>
                      <w:sz w:val="24"/>
                      <w:szCs w:val="24"/>
                    </w:rPr>
                  </w:pPr>
                  <w:r>
                    <w:rPr>
                      <w:sz w:val="24"/>
                      <w:szCs w:val="24"/>
                    </w:rPr>
                  </w:r>
                </w:p>
              </w:tc>
              <w:tc>
                <w:tcPr>
                  <w:tcW w:w="1177"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72"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7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61"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56"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80"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763"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74"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6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r>
            <w:tr>
              <w:trPr/>
              <w:tc>
                <w:tcPr>
                  <w:tcW w:w="1652"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szCs w:val="24"/>
                    </w:rPr>
                    <w:t>Doğrulama</w:t>
                  </w:r>
                </w:p>
                <w:p>
                  <w:pPr>
                    <w:pStyle w:val="normal1"/>
                    <w:rPr>
                      <w:sz w:val="24"/>
                      <w:szCs w:val="24"/>
                    </w:rPr>
                  </w:pPr>
                  <w:r>
                    <w:rPr>
                      <w:sz w:val="24"/>
                      <w:szCs w:val="24"/>
                    </w:rPr>
                  </w:r>
                </w:p>
              </w:tc>
              <w:tc>
                <w:tcPr>
                  <w:tcW w:w="1177"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72"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7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61"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56"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80"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763"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74"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66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r>
            <w:tr>
              <w:trPr/>
              <w:tc>
                <w:tcPr>
                  <w:tcW w:w="1652"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3"/>
                      <w:szCs w:val="24"/>
                    </w:rPr>
                    <w:t>Rapor Hazırlama</w:t>
                  </w:r>
                </w:p>
              </w:tc>
              <w:tc>
                <w:tcPr>
                  <w:tcW w:w="1177"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72"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73"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61"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956"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1080" w:type="dxa"/>
                  <w:tcBorders>
                    <w:top w:val="single" w:sz="4" w:space="0" w:color="000000"/>
                    <w:left w:val="single" w:sz="4" w:space="0" w:color="000000"/>
                    <w:bottom w:val="single" w:sz="4" w:space="0" w:color="000000"/>
                    <w:right w:val="single" w:sz="4" w:space="0" w:color="000000"/>
                  </w:tcBorders>
                </w:tcPr>
                <w:p>
                  <w:pPr>
                    <w:pStyle w:val="normal1"/>
                    <w:rPr>
                      <w:sz w:val="24"/>
                      <w:szCs w:val="24"/>
                    </w:rPr>
                  </w:pPr>
                  <w:r>
                    <w:rPr>
                      <w:sz w:val="24"/>
                      <w:szCs w:val="24"/>
                    </w:rPr>
                  </w:r>
                </w:p>
              </w:tc>
              <w:tc>
                <w:tcPr>
                  <w:tcW w:w="763"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974"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c>
                <w:tcPr>
                  <w:tcW w:w="663" w:type="dxa"/>
                  <w:tcBorders>
                    <w:top w:val="single" w:sz="4" w:space="0" w:color="000000"/>
                    <w:left w:val="single" w:sz="4" w:space="0" w:color="000000"/>
                    <w:bottom w:val="single" w:sz="4" w:space="0" w:color="000000"/>
                    <w:right w:val="single" w:sz="4" w:space="0" w:color="000000"/>
                  </w:tcBorders>
                  <w:shd w:fill="9BBB59" w:val="clear"/>
                </w:tcPr>
                <w:p>
                  <w:pPr>
                    <w:pStyle w:val="normal1"/>
                    <w:rPr>
                      <w:sz w:val="24"/>
                      <w:szCs w:val="24"/>
                    </w:rPr>
                  </w:pPr>
                  <w:r>
                    <w:rPr>
                      <w:sz w:val="24"/>
                      <w:szCs w:val="24"/>
                    </w:rPr>
                  </w:r>
                </w:p>
              </w:tc>
            </w:tr>
          </w:tbl>
          <w:p>
            <w:pPr>
              <w:pStyle w:val="normal1"/>
              <w:rPr>
                <w:sz w:val="24"/>
                <w:szCs w:val="24"/>
              </w:rPr>
            </w:pPr>
            <w:r>
              <w:rPr>
                <w:sz w:val="24"/>
                <w:szCs w:val="24"/>
              </w:rPr>
            </w:r>
          </w:p>
          <w:p>
            <w:pPr>
              <w:pStyle w:val="normal1"/>
              <w:rPr>
                <w:sz w:val="24"/>
                <w:szCs w:val="24"/>
              </w:rPr>
            </w:pPr>
            <w:r>
              <w:rPr>
                <w:sz w:val="24"/>
                <w:szCs w:val="24"/>
              </w:rPr>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spacing w:lineRule="auto" w:line="259"/>
              <w:jc w:val="left"/>
              <w:rPr>
                <w:sz w:val="24"/>
                <w:szCs w:val="24"/>
              </w:rPr>
            </w:pPr>
            <w:r>
              <w:rPr>
                <w:b/>
                <w:sz w:val="24"/>
                <w:szCs w:val="24"/>
              </w:rPr>
              <w:t xml:space="preserve">9. </w:t>
            </w:r>
            <w:r>
              <w:rPr>
                <w:rStyle w:val="Strong"/>
                <w:sz w:val="24"/>
                <w:szCs w:val="24"/>
              </w:rPr>
              <w:t>Kaynaklar</w:t>
            </w:r>
          </w:p>
          <w:p>
            <w:pPr>
              <w:pStyle w:val="normal1"/>
              <w:spacing w:lineRule="auto" w:line="259"/>
              <w:jc w:val="left"/>
              <w:rPr>
                <w:rFonts w:ascii="Arial" w:hAnsi="Arial" w:eastAsia="Arial" w:cs="Arial"/>
                <w:sz w:val="24"/>
                <w:szCs w:val="24"/>
              </w:rPr>
            </w:pPr>
            <w:r>
              <w:rPr/>
            </w:r>
          </w:p>
          <w:p>
            <w:pPr>
              <w:pStyle w:val="normal1"/>
              <w:spacing w:lineRule="auto" w:line="240" w:before="240" w:after="0"/>
              <w:jc w:val="left"/>
              <w:rPr>
                <w:rFonts w:ascii="Arial" w:hAnsi="Arial" w:eastAsia="Arial" w:cs="Arial"/>
                <w:sz w:val="24"/>
                <w:szCs w:val="24"/>
              </w:rPr>
            </w:pPr>
            <w:r>
              <w:rPr>
                <w:rFonts w:eastAsia="Arial" w:cs="Arial" w:ascii="Arial" w:hAnsi="Arial"/>
                <w:sz w:val="24"/>
                <w:szCs w:val="24"/>
              </w:rPr>
              <w:t xml:space="preserve"> </w:t>
            </w:r>
            <w:r>
              <w:rPr>
                <w:rFonts w:eastAsia="Arial" w:cs="Arial" w:ascii="Arial" w:hAnsi="Arial"/>
                <w:sz w:val="24"/>
                <w:szCs w:val="24"/>
              </w:rPr>
              <w:t xml:space="preserve">Ayal, A., Elbashir, M., &amp; Mohammed, A. (2023). Classification of 27 heart abnormalities using 12-lead ECG signals with combined deep learning techniques. </w:t>
            </w:r>
            <w:r>
              <w:rPr>
                <w:rFonts w:eastAsia="Arial" w:cs="Arial" w:ascii="Arial" w:hAnsi="Arial"/>
                <w:i/>
                <w:sz w:val="24"/>
                <w:szCs w:val="24"/>
              </w:rPr>
              <w:t>Bulletin of Electrical Engineering and Informatics</w:t>
            </w:r>
            <w:r>
              <w:rPr>
                <w:rFonts w:eastAsia="Arial" w:cs="Arial" w:ascii="Arial" w:hAnsi="Arial"/>
                <w:sz w:val="24"/>
                <w:szCs w:val="24"/>
              </w:rPr>
              <w:t xml:space="preserve">, </w:t>
            </w:r>
            <w:r>
              <w:rPr>
                <w:rFonts w:eastAsia="Arial" w:cs="Arial" w:ascii="Arial" w:hAnsi="Arial"/>
                <w:i/>
                <w:sz w:val="24"/>
                <w:szCs w:val="24"/>
              </w:rPr>
              <w:t>12</w:t>
            </w:r>
            <w:r>
              <w:rPr>
                <w:rFonts w:eastAsia="Arial" w:cs="Arial" w:ascii="Arial" w:hAnsi="Arial"/>
                <w:sz w:val="24"/>
                <w:szCs w:val="24"/>
              </w:rPr>
              <w:t>, 2220–2235. https://doi.org/10.11591/eei.v12i4.4668</w:t>
            </w:r>
          </w:p>
          <w:p>
            <w:pPr>
              <w:pStyle w:val="normal1"/>
              <w:spacing w:lineRule="auto" w:line="240" w:before="240" w:after="0"/>
              <w:jc w:val="left"/>
              <w:rPr>
                <w:rFonts w:ascii="Arial" w:hAnsi="Arial" w:eastAsia="Arial" w:cs="Arial"/>
                <w:sz w:val="24"/>
                <w:szCs w:val="24"/>
              </w:rPr>
            </w:pPr>
            <w:r>
              <w:rPr>
                <w:rFonts w:eastAsia="Arial" w:cs="Arial" w:ascii="Arial" w:hAnsi="Arial"/>
                <w:sz w:val="24"/>
                <w:szCs w:val="24"/>
              </w:rPr>
              <w:t xml:space="preserve">Breen, C. J., Kelly, G., &amp; Kernohan, W. (2019). ECG interpretation skill acquisition: A review of learning, teaching and assessment. </w:t>
            </w:r>
            <w:r>
              <w:rPr>
                <w:rFonts w:eastAsia="Arial" w:cs="Arial" w:ascii="Arial" w:hAnsi="Arial"/>
                <w:i/>
                <w:sz w:val="24"/>
                <w:szCs w:val="24"/>
              </w:rPr>
              <w:t>Journal of Electrocardiology</w:t>
            </w:r>
            <w:r>
              <w:rPr>
                <w:rFonts w:eastAsia="Arial" w:cs="Arial" w:ascii="Arial" w:hAnsi="Arial"/>
                <w:sz w:val="24"/>
                <w:szCs w:val="24"/>
              </w:rPr>
              <w:t xml:space="preserve">, </w:t>
            </w:r>
            <w:r>
              <w:rPr>
                <w:rFonts w:eastAsia="Arial" w:cs="Arial" w:ascii="Arial" w:hAnsi="Arial"/>
                <w:i/>
                <w:sz w:val="24"/>
                <w:szCs w:val="24"/>
              </w:rPr>
              <w:t>73</w:t>
            </w:r>
            <w:r>
              <w:rPr>
                <w:rFonts w:eastAsia="Arial" w:cs="Arial" w:ascii="Arial" w:hAnsi="Arial"/>
                <w:sz w:val="24"/>
                <w:szCs w:val="24"/>
              </w:rPr>
              <w:t>. https://doi.org/10.1016/j.jelectrocard.2019.03.010</w:t>
            </w:r>
          </w:p>
          <w:p>
            <w:pPr>
              <w:pStyle w:val="normal1"/>
              <w:spacing w:lineRule="auto" w:line="240" w:before="240" w:after="0"/>
              <w:jc w:val="left"/>
              <w:rPr>
                <w:rFonts w:ascii="Arial" w:hAnsi="Arial" w:eastAsia="Arial" w:cs="Arial"/>
                <w:sz w:val="24"/>
                <w:szCs w:val="24"/>
              </w:rPr>
            </w:pPr>
            <w:r>
              <w:rPr>
                <w:rFonts w:eastAsia="Arial" w:cs="Arial" w:ascii="Arial" w:hAnsi="Arial"/>
                <w:i/>
                <w:sz w:val="24"/>
                <w:szCs w:val="24"/>
              </w:rPr>
              <w:t>Classification of 27 heart abnormalities using 12-lead ECG signals with combined deep learning techniques | Rawi | Bulletin of Electrical Engineering and Informatics</w:t>
            </w:r>
            <w:r>
              <w:rPr>
                <w:rFonts w:eastAsia="Arial" w:cs="Arial" w:ascii="Arial" w:hAnsi="Arial"/>
                <w:sz w:val="24"/>
                <w:szCs w:val="24"/>
              </w:rPr>
              <w:t>. (n.d.). Retrieved September 4, 2024, from https://beei.org/index.php/EEI/article/view/4668</w:t>
            </w:r>
          </w:p>
          <w:p>
            <w:pPr>
              <w:pStyle w:val="normal1"/>
              <w:spacing w:lineRule="auto" w:line="240" w:before="240" w:after="0"/>
              <w:jc w:val="left"/>
              <w:rPr>
                <w:rFonts w:ascii="Arial" w:hAnsi="Arial" w:eastAsia="Arial" w:cs="Arial"/>
                <w:sz w:val="24"/>
                <w:szCs w:val="24"/>
              </w:rPr>
            </w:pPr>
            <w:r>
              <w:rPr>
                <w:rFonts w:eastAsia="Arial" w:cs="Arial" w:ascii="Arial" w:hAnsi="Arial"/>
                <w:sz w:val="24"/>
                <w:szCs w:val="24"/>
              </w:rPr>
              <w:t xml:space="preserve">Ebrahimi, Z., Loni, M., Daneshtalab, M., &amp; Gharehbaghi, A. (2020). A review on deep learning methods for ECG arrhythmia classification. </w:t>
            </w:r>
            <w:r>
              <w:rPr>
                <w:rFonts w:eastAsia="Arial" w:cs="Arial" w:ascii="Arial" w:hAnsi="Arial"/>
                <w:i/>
                <w:sz w:val="24"/>
                <w:szCs w:val="24"/>
              </w:rPr>
              <w:t>Expert Systems with Applications: X</w:t>
            </w:r>
            <w:r>
              <w:rPr>
                <w:rFonts w:eastAsia="Arial" w:cs="Arial" w:ascii="Arial" w:hAnsi="Arial"/>
                <w:sz w:val="24"/>
                <w:szCs w:val="24"/>
              </w:rPr>
              <w:t xml:space="preserve">, </w:t>
            </w:r>
            <w:r>
              <w:rPr>
                <w:rFonts w:eastAsia="Arial" w:cs="Arial" w:ascii="Arial" w:hAnsi="Arial"/>
                <w:i/>
                <w:sz w:val="24"/>
                <w:szCs w:val="24"/>
              </w:rPr>
              <w:t>7</w:t>
            </w:r>
            <w:r>
              <w:rPr>
                <w:rFonts w:eastAsia="Arial" w:cs="Arial" w:ascii="Arial" w:hAnsi="Arial"/>
                <w:sz w:val="24"/>
                <w:szCs w:val="24"/>
              </w:rPr>
              <w:t>, 100033. https://doi.org/10.1016/j.eswax.2020.100033</w:t>
            </w:r>
          </w:p>
          <w:p>
            <w:pPr>
              <w:pStyle w:val="normal1"/>
              <w:spacing w:lineRule="auto" w:line="240" w:before="240" w:after="0"/>
              <w:jc w:val="left"/>
              <w:rPr>
                <w:rFonts w:ascii="Arial" w:hAnsi="Arial" w:eastAsia="Arial" w:cs="Arial"/>
                <w:sz w:val="24"/>
                <w:szCs w:val="24"/>
              </w:rPr>
            </w:pPr>
            <w:r>
              <w:rPr>
                <w:rFonts w:eastAsia="Arial" w:cs="Arial" w:ascii="Arial" w:hAnsi="Arial"/>
                <w:i/>
                <w:sz w:val="24"/>
                <w:szCs w:val="24"/>
              </w:rPr>
              <w:t>Electrocardiogram</w:t>
            </w:r>
            <w:r>
              <w:rPr>
                <w:rFonts w:eastAsia="Arial" w:cs="Arial" w:ascii="Arial" w:hAnsi="Arial"/>
                <w:sz w:val="24"/>
                <w:szCs w:val="24"/>
              </w:rPr>
              <w:t>. (2024, March 13). https://www.hopkinsmedicine.org/health/treatment-tests-and-therapies/electrocardiogram</w:t>
            </w:r>
          </w:p>
          <w:p>
            <w:pPr>
              <w:pStyle w:val="normal1"/>
              <w:spacing w:lineRule="auto" w:line="240" w:before="240" w:after="0"/>
              <w:jc w:val="left"/>
              <w:rPr>
                <w:rFonts w:ascii="Arial" w:hAnsi="Arial" w:eastAsia="Arial" w:cs="Arial"/>
                <w:sz w:val="24"/>
                <w:szCs w:val="24"/>
              </w:rPr>
            </w:pPr>
            <w:r>
              <w:rPr>
                <w:rFonts w:eastAsia="Arial" w:cs="Arial" w:ascii="Arial" w:hAnsi="Arial"/>
                <w:i/>
                <w:sz w:val="24"/>
                <w:szCs w:val="24"/>
              </w:rPr>
              <w:t>Electrocardiogram Information | Mount Sinai—New York</w:t>
            </w:r>
            <w:r>
              <w:rPr>
                <w:rFonts w:eastAsia="Arial" w:cs="Arial" w:ascii="Arial" w:hAnsi="Arial"/>
                <w:sz w:val="24"/>
                <w:szCs w:val="24"/>
              </w:rPr>
              <w:t>. (n.d.). Mount Sinai Health System. Retrieved September 4, 2024, from https://www.mountsinai.org/health-library/tests/electrocardiogram</w:t>
            </w:r>
          </w:p>
          <w:p>
            <w:pPr>
              <w:pStyle w:val="normal1"/>
              <w:spacing w:lineRule="auto" w:line="240" w:before="240" w:after="0"/>
              <w:jc w:val="left"/>
              <w:rPr>
                <w:rFonts w:ascii="Arial" w:hAnsi="Arial" w:eastAsia="Arial" w:cs="Arial"/>
                <w:sz w:val="24"/>
                <w:szCs w:val="24"/>
              </w:rPr>
            </w:pPr>
            <w:r>
              <w:rPr>
                <w:rFonts w:eastAsia="Arial" w:cs="Arial" w:ascii="Arial" w:hAnsi="Arial"/>
                <w:sz w:val="24"/>
                <w:szCs w:val="24"/>
              </w:rPr>
              <w:t xml:space="preserve">Liu, X., Wang, H., Li, Z., &amp; Qin, L. (2021). Deep learning in ECG diagnosis: A review. </w:t>
            </w:r>
            <w:r>
              <w:rPr>
                <w:rFonts w:eastAsia="Arial" w:cs="Arial" w:ascii="Arial" w:hAnsi="Arial"/>
                <w:i/>
                <w:sz w:val="24"/>
                <w:szCs w:val="24"/>
              </w:rPr>
              <w:t>Knowledge-Based Systems</w:t>
            </w:r>
            <w:r>
              <w:rPr>
                <w:rFonts w:eastAsia="Arial" w:cs="Arial" w:ascii="Arial" w:hAnsi="Arial"/>
                <w:sz w:val="24"/>
                <w:szCs w:val="24"/>
              </w:rPr>
              <w:t xml:space="preserve">, </w:t>
            </w:r>
            <w:r>
              <w:rPr>
                <w:rFonts w:eastAsia="Arial" w:cs="Arial" w:ascii="Arial" w:hAnsi="Arial"/>
                <w:i/>
                <w:sz w:val="24"/>
                <w:szCs w:val="24"/>
              </w:rPr>
              <w:t>227</w:t>
            </w:r>
            <w:r>
              <w:rPr>
                <w:rFonts w:eastAsia="Arial" w:cs="Arial" w:ascii="Arial" w:hAnsi="Arial"/>
                <w:sz w:val="24"/>
                <w:szCs w:val="24"/>
              </w:rPr>
              <w:t>, 107187. https://doi.org/10.1016/j.knosys.2021.107187</w:t>
            </w:r>
          </w:p>
          <w:p>
            <w:pPr>
              <w:pStyle w:val="normal1"/>
              <w:spacing w:lineRule="auto" w:line="240" w:before="240" w:after="0"/>
              <w:jc w:val="left"/>
              <w:rPr>
                <w:rFonts w:ascii="Arial" w:hAnsi="Arial" w:eastAsia="Arial" w:cs="Arial"/>
                <w:sz w:val="24"/>
                <w:szCs w:val="24"/>
              </w:rPr>
            </w:pPr>
            <w:r>
              <w:rPr>
                <w:rFonts w:eastAsia="Arial" w:cs="Arial" w:ascii="Arial" w:hAnsi="Arial"/>
                <w:sz w:val="24"/>
                <w:szCs w:val="24"/>
              </w:rPr>
              <w:t xml:space="preserve">Rafie, N., Kashou, A. H., &amp; Noseworthy, P. A. (2021). ECG Interpretation: Clinical Relevance, Challenges, and Advances. </w:t>
            </w:r>
            <w:r>
              <w:rPr>
                <w:rFonts w:eastAsia="Arial" w:cs="Arial" w:ascii="Arial" w:hAnsi="Arial"/>
                <w:i/>
                <w:sz w:val="24"/>
                <w:szCs w:val="24"/>
              </w:rPr>
              <w:t>Hearts</w:t>
            </w:r>
            <w:r>
              <w:rPr>
                <w:rFonts w:eastAsia="Arial" w:cs="Arial" w:ascii="Arial" w:hAnsi="Arial"/>
                <w:sz w:val="24"/>
                <w:szCs w:val="24"/>
              </w:rPr>
              <w:t xml:space="preserve">, </w:t>
            </w:r>
            <w:r>
              <w:rPr>
                <w:rFonts w:eastAsia="Arial" w:cs="Arial" w:ascii="Arial" w:hAnsi="Arial"/>
                <w:i/>
                <w:sz w:val="24"/>
                <w:szCs w:val="24"/>
              </w:rPr>
              <w:t>2</w:t>
            </w:r>
            <w:r>
              <w:rPr>
                <w:rFonts w:eastAsia="Arial" w:cs="Arial" w:ascii="Arial" w:hAnsi="Arial"/>
                <w:sz w:val="24"/>
                <w:szCs w:val="24"/>
              </w:rPr>
              <w:t>(4), Article 4. https://doi.org/10.3390/hearts2040039</w:t>
            </w:r>
          </w:p>
          <w:p>
            <w:pPr>
              <w:pStyle w:val="normal1"/>
              <w:spacing w:lineRule="auto" w:line="240" w:before="240" w:after="0"/>
              <w:jc w:val="left"/>
              <w:rPr>
                <w:rFonts w:ascii="Arial" w:hAnsi="Arial" w:eastAsia="Arial" w:cs="Arial"/>
                <w:sz w:val="24"/>
                <w:szCs w:val="24"/>
              </w:rPr>
            </w:pPr>
            <w:r>
              <w:rPr>
                <w:rFonts w:eastAsia="Arial" w:cs="Arial" w:ascii="Arial" w:hAnsi="Arial"/>
                <w:sz w:val="24"/>
                <w:szCs w:val="24"/>
              </w:rPr>
              <w:t xml:space="preserve">Ribeiro, A. H., Ribeiro, M. H., Paixão, G. M. M., Oliveira, D. M., Gomes, P. R., Canazart, J. A., Ferreira, M. P. S., Andersson, C. R., Macfarlane, P. W., Meira Jr., W., Schön, T. B., &amp; Ribeiro, A. L. P. (2020). Automatic diagnosis of the 12-lead ECG using a deep neural network. </w:t>
            </w:r>
            <w:r>
              <w:rPr>
                <w:rFonts w:eastAsia="Arial" w:cs="Arial" w:ascii="Arial" w:hAnsi="Arial"/>
                <w:i/>
                <w:sz w:val="24"/>
                <w:szCs w:val="24"/>
              </w:rPr>
              <w:t>Nature Communications</w:t>
            </w:r>
            <w:r>
              <w:rPr>
                <w:rFonts w:eastAsia="Arial" w:cs="Arial" w:ascii="Arial" w:hAnsi="Arial"/>
                <w:sz w:val="24"/>
                <w:szCs w:val="24"/>
              </w:rPr>
              <w:t xml:space="preserve">, </w:t>
            </w:r>
            <w:r>
              <w:rPr>
                <w:rFonts w:eastAsia="Arial" w:cs="Arial" w:ascii="Arial" w:hAnsi="Arial"/>
                <w:i/>
                <w:sz w:val="24"/>
                <w:szCs w:val="24"/>
              </w:rPr>
              <w:t>11</w:t>
            </w:r>
            <w:r>
              <w:rPr>
                <w:rFonts w:eastAsia="Arial" w:cs="Arial" w:ascii="Arial" w:hAnsi="Arial"/>
                <w:sz w:val="24"/>
                <w:szCs w:val="24"/>
              </w:rPr>
              <w:t>(1), 1760. https://doi.org/10.1038/s41467-020-15432-4</w:t>
            </w:r>
          </w:p>
          <w:p>
            <w:pPr>
              <w:pStyle w:val="normal1"/>
              <w:spacing w:lineRule="auto" w:line="240" w:before="240" w:after="0"/>
              <w:jc w:val="left"/>
              <w:rPr>
                <w:rFonts w:ascii="Arial" w:hAnsi="Arial" w:eastAsia="Arial" w:cs="Arial"/>
                <w:sz w:val="24"/>
                <w:szCs w:val="24"/>
              </w:rPr>
            </w:pPr>
            <w:r>
              <w:rPr>
                <w:rFonts w:eastAsia="Arial" w:cs="Arial" w:ascii="Arial" w:hAnsi="Arial"/>
                <w:sz w:val="24"/>
                <w:szCs w:val="24"/>
              </w:rPr>
              <w:t xml:space="preserve">Services, D. of H. &amp; H. (n.d.). </w:t>
            </w:r>
            <w:r>
              <w:rPr>
                <w:rFonts w:eastAsia="Arial" w:cs="Arial" w:ascii="Arial" w:hAnsi="Arial"/>
                <w:i/>
                <w:sz w:val="24"/>
                <w:szCs w:val="24"/>
              </w:rPr>
              <w:t>ECG test</w:t>
            </w:r>
            <w:r>
              <w:rPr>
                <w:rFonts w:eastAsia="Arial" w:cs="Arial" w:ascii="Arial" w:hAnsi="Arial"/>
                <w:sz w:val="24"/>
                <w:szCs w:val="24"/>
              </w:rPr>
              <w:t>. Department of Health &amp; Human Services. Retrieved September 4, 2024, from http://www.betterhealth.vic.gov.au/health/conditionsandtreatments/ecg-test</w:t>
            </w:r>
          </w:p>
          <w:p>
            <w:pPr>
              <w:pStyle w:val="normal1"/>
              <w:spacing w:lineRule="auto" w:line="259"/>
              <w:jc w:val="left"/>
              <w:rPr>
                <w:sz w:val="24"/>
                <w:szCs w:val="24"/>
              </w:rPr>
            </w:pPr>
            <w:r>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b/>
                <w:sz w:val="24"/>
                <w:szCs w:val="24"/>
              </w:rPr>
              <w:t xml:space="preserve">10. </w:t>
            </w:r>
            <w:r>
              <w:rPr>
                <w:rStyle w:val="Strong"/>
                <w:sz w:val="24"/>
                <w:szCs w:val="24"/>
              </w:rPr>
              <w:t>Ek</w:t>
            </w:r>
          </w:p>
          <w:p>
            <w:pPr>
              <w:pStyle w:val="normal1"/>
              <w:rPr>
                <w:sz w:val="24"/>
                <w:szCs w:val="24"/>
              </w:rPr>
            </w:pPr>
            <w:r>
              <w:rPr>
                <w:sz w:val="24"/>
                <w:szCs w:val="24"/>
              </w:rPr>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sz w:val="24"/>
                <w:szCs w:val="24"/>
              </w:rPr>
            </w:pPr>
            <w:bookmarkStart w:id="1" w:name="_30j0zll"/>
            <w:bookmarkEnd w:id="1"/>
            <w:r>
              <w:rPr>
                <w:b/>
                <w:sz w:val="24"/>
                <w:szCs w:val="24"/>
              </w:rPr>
              <w:t xml:space="preserve">11. </w:t>
            </w:r>
            <w:r>
              <w:rPr>
                <w:rStyle w:val="Strong"/>
              </w:rPr>
              <w:t>Diğer Eklenecek Öğeler</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 </w:t>
            </w:r>
            <w:r>
              <w:rPr>
                <w:rStyle w:val="Strong"/>
                <w:b w:val="false"/>
                <w:bCs w:val="false"/>
                <w:sz w:val="24"/>
                <w:szCs w:val="24"/>
              </w:rPr>
              <w:t>(Tez yazmak için Etik Kurul'dan alınan izin veya diğer resmi izinlere ilişkin bilgiler)</w:t>
            </w:r>
          </w:p>
          <w:p>
            <w:pPr>
              <w:pStyle w:val="normal1"/>
              <w:rPr>
                <w:sz w:val="24"/>
                <w:szCs w:val="24"/>
              </w:rPr>
            </w:pPr>
            <w:r>
              <w:rPr>
                <w:sz w:val="24"/>
                <w:szCs w:val="24"/>
              </w:rPr>
            </w:r>
          </w:p>
          <w:p>
            <w:pPr>
              <w:pStyle w:val="normal1"/>
              <w:rPr>
                <w:sz w:val="24"/>
                <w:szCs w:val="24"/>
              </w:rPr>
            </w:pPr>
            <w:r>
              <w:rPr>
                <w:sz w:val="24"/>
                <w:szCs w:val="24"/>
              </w:rPr>
            </w:r>
          </w:p>
        </w:tc>
      </w:tr>
      <w:tr>
        <w:trPr/>
        <w:tc>
          <w:tcPr>
            <w:tcW w:w="10597" w:type="dxa"/>
            <w:gridSpan w:val="2"/>
            <w:tcBorders>
              <w:top w:val="single" w:sz="4" w:space="0" w:color="000000"/>
              <w:left w:val="single" w:sz="4" w:space="0" w:color="000000"/>
              <w:bottom w:val="single" w:sz="4" w:space="0" w:color="000000"/>
              <w:right w:val="single" w:sz="4" w:space="0" w:color="000000"/>
            </w:tcBorders>
          </w:tcPr>
          <w:p>
            <w:pPr>
              <w:pStyle w:val="normal1"/>
              <w:rPr>
                <w:b/>
                <w:sz w:val="24"/>
                <w:szCs w:val="24"/>
              </w:rPr>
            </w:pPr>
            <w:r>
              <w:rPr>
                <w:rStyle w:val="Strong"/>
                <w:sz w:val="24"/>
                <w:szCs w:val="24"/>
              </w:rPr>
              <w:t>Bu tez proje önerisi, KTMU, Kİİ, Yüksek Lisans/Doktora programlarındaki tez yazma ve yayımlama talimatlarında ve ayrıca tez projesi yazma talimatlarında belirtilen kurallara uygun olarak yazılmıştır.</w:t>
            </w:r>
          </w:p>
        </w:tc>
      </w:tr>
      <w:tr>
        <w:trPr/>
        <w:tc>
          <w:tcPr>
            <w:tcW w:w="4827" w:type="dxa"/>
            <w:tcBorders>
              <w:top w:val="single" w:sz="4" w:space="0" w:color="000000"/>
              <w:left w:val="single" w:sz="4" w:space="0" w:color="000000"/>
              <w:bottom w:val="single" w:sz="4" w:space="0" w:color="000000"/>
              <w:right w:val="single" w:sz="4" w:space="0" w:color="000000"/>
            </w:tcBorders>
          </w:tcPr>
          <w:p>
            <w:pPr>
              <w:pStyle w:val="normal1"/>
              <w:jc w:val="center"/>
              <w:rPr>
                <w:sz w:val="24"/>
                <w:szCs w:val="24"/>
              </w:rPr>
            </w:pPr>
            <w:r>
              <w:rPr/>
              <w:t>İmza</w:t>
            </w:r>
          </w:p>
          <w:p>
            <w:pPr>
              <w:pStyle w:val="normal1"/>
              <w:jc w:val="center"/>
              <w:rPr>
                <w:sz w:val="24"/>
                <w:szCs w:val="24"/>
              </w:rPr>
            </w:pPr>
            <w:r>
              <w:rPr>
                <w:sz w:val="24"/>
                <w:szCs w:val="24"/>
              </w:rPr>
            </w:r>
          </w:p>
          <w:p>
            <w:pPr>
              <w:pStyle w:val="normal1"/>
              <w:jc w:val="center"/>
              <w:rPr>
                <w:sz w:val="24"/>
                <w:szCs w:val="24"/>
              </w:rPr>
            </w:pPr>
            <w:r>
              <w:rPr>
                <w:sz w:val="24"/>
                <w:szCs w:val="24"/>
              </w:rPr>
            </w:r>
          </w:p>
          <w:p>
            <w:pPr>
              <w:pStyle w:val="normal1"/>
              <w:jc w:val="center"/>
              <w:rPr>
                <w:sz w:val="24"/>
                <w:szCs w:val="24"/>
              </w:rPr>
            </w:pPr>
            <w:r>
              <w:rPr>
                <w:sz w:val="24"/>
                <w:szCs w:val="24"/>
              </w:rPr>
              <w:t>Yüksek Lisans Öğrencisi</w:t>
            </w:r>
          </w:p>
          <w:p>
            <w:pPr>
              <w:pStyle w:val="normal1"/>
              <w:spacing w:lineRule="auto" w:line="240" w:before="240" w:after="0"/>
              <w:jc w:val="center"/>
              <w:rPr>
                <w:lang w:val="en-US"/>
              </w:rPr>
            </w:pPr>
            <w:r>
              <w:rPr>
                <w:lang w:val="en-US"/>
              </w:rPr>
              <w:t>Nazarkulov Elaman</w:t>
            </w:r>
          </w:p>
          <w:p>
            <w:pPr>
              <w:pStyle w:val="normal1"/>
              <w:jc w:val="center"/>
              <w:rPr>
                <w:color w:val="FF0000"/>
                <w:sz w:val="24"/>
                <w:szCs w:val="24"/>
              </w:rPr>
            </w:pPr>
            <w:r>
              <w:rPr>
                <w:color w:val="FF0000"/>
                <w:sz w:val="24"/>
                <w:szCs w:val="24"/>
              </w:rPr>
            </w:r>
          </w:p>
          <w:p>
            <w:pPr>
              <w:pStyle w:val="normal1"/>
              <w:jc w:val="center"/>
              <w:rPr>
                <w:sz w:val="24"/>
                <w:szCs w:val="24"/>
              </w:rPr>
            </w:pPr>
            <w:r>
              <w:rPr>
                <w:color w:val="FF0000"/>
                <w:sz w:val="24"/>
                <w:szCs w:val="24"/>
              </w:rPr>
              <w:t>02.09.2024</w:t>
            </w:r>
          </w:p>
        </w:tc>
        <w:tc>
          <w:tcPr>
            <w:tcW w:w="5770" w:type="dxa"/>
            <w:tcBorders>
              <w:top w:val="single" w:sz="4" w:space="0" w:color="000000"/>
              <w:left w:val="single" w:sz="4" w:space="0" w:color="000000"/>
              <w:bottom w:val="single" w:sz="4" w:space="0" w:color="000000"/>
              <w:right w:val="single" w:sz="4" w:space="0" w:color="000000"/>
            </w:tcBorders>
          </w:tcPr>
          <w:p>
            <w:pPr>
              <w:pStyle w:val="normal1"/>
              <w:jc w:val="center"/>
              <w:rPr>
                <w:sz w:val="24"/>
                <w:szCs w:val="24"/>
              </w:rPr>
            </w:pPr>
            <w:r>
              <w:rPr/>
              <w:t>İmza</w:t>
            </w:r>
          </w:p>
          <w:p>
            <w:pPr>
              <w:pStyle w:val="normal1"/>
              <w:jc w:val="center"/>
              <w:rPr>
                <w:sz w:val="24"/>
                <w:szCs w:val="24"/>
              </w:rPr>
            </w:pPr>
            <w:r>
              <w:rPr>
                <w:sz w:val="24"/>
                <w:szCs w:val="24"/>
              </w:rPr>
            </w:r>
          </w:p>
          <w:p>
            <w:pPr>
              <w:pStyle w:val="normal1"/>
              <w:jc w:val="center"/>
              <w:rPr>
                <w:sz w:val="24"/>
                <w:szCs w:val="24"/>
              </w:rPr>
            </w:pPr>
            <w:r>
              <w:rPr>
                <w:sz w:val="24"/>
                <w:szCs w:val="24"/>
              </w:rPr>
            </w:r>
          </w:p>
          <w:p>
            <w:pPr>
              <w:pStyle w:val="normal1"/>
              <w:jc w:val="center"/>
              <w:rPr>
                <w:sz w:val="24"/>
                <w:szCs w:val="24"/>
              </w:rPr>
            </w:pPr>
            <w:r>
              <w:rPr>
                <w:sz w:val="24"/>
                <w:szCs w:val="24"/>
              </w:rPr>
              <w:t>Bilimsel Danışman</w:t>
            </w:r>
          </w:p>
          <w:p>
            <w:pPr>
              <w:pStyle w:val="normal1"/>
              <w:jc w:val="center"/>
              <w:rPr>
                <w:sz w:val="24"/>
                <w:szCs w:val="24"/>
              </w:rPr>
            </w:pPr>
            <w:r>
              <w:rPr>
                <w:sz w:val="24"/>
                <w:szCs w:val="24"/>
              </w:rPr>
            </w:r>
          </w:p>
          <w:p>
            <w:pPr>
              <w:pStyle w:val="normal1"/>
              <w:jc w:val="center"/>
              <w:rPr>
                <w:sz w:val="24"/>
                <w:szCs w:val="24"/>
              </w:rPr>
            </w:pPr>
            <w:r>
              <w:rPr>
                <w:sz w:val="24"/>
                <w:szCs w:val="24"/>
              </w:rPr>
              <w:t xml:space="preserve">Doç. Dr. </w:t>
            </w:r>
            <w:hyperlink r:id="rId2">
              <w:r>
                <w:rPr>
                  <w:rStyle w:val="Hyperlink"/>
                  <w:sz w:val="24"/>
                  <w:szCs w:val="24"/>
                </w:rPr>
                <w:t>Rayımbek SULTANOV</w:t>
              </w:r>
            </w:hyperlink>
          </w:p>
          <w:p>
            <w:pPr>
              <w:pStyle w:val="normal1"/>
              <w:jc w:val="center"/>
              <w:rPr>
                <w:color w:val="FF0000"/>
                <w:sz w:val="24"/>
                <w:szCs w:val="24"/>
              </w:rPr>
            </w:pPr>
            <w:r>
              <w:rPr>
                <w:color w:val="FF0000"/>
                <w:sz w:val="24"/>
                <w:szCs w:val="24"/>
              </w:rPr>
            </w:r>
          </w:p>
          <w:p>
            <w:pPr>
              <w:pStyle w:val="normal1"/>
              <w:jc w:val="center"/>
              <w:rPr>
                <w:sz w:val="24"/>
                <w:szCs w:val="24"/>
              </w:rPr>
            </w:pPr>
            <w:r>
              <w:rPr>
                <w:color w:val="FF0000"/>
                <w:sz w:val="24"/>
                <w:szCs w:val="24"/>
              </w:rPr>
              <w:t>02.09.2024</w:t>
            </w:r>
          </w:p>
        </w:tc>
      </w:tr>
    </w:tbl>
    <w:p>
      <w:pPr>
        <w:pStyle w:val="normal1"/>
        <w:rPr/>
      </w:pPr>
      <w:r>
        <w:rPr/>
      </w:r>
    </w:p>
    <w:p>
      <w:pPr>
        <w:pStyle w:val="normal1"/>
        <w:jc w:val="both"/>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Tahoma">
    <w:charset w:val="00"/>
    <w:family w:val="roman"/>
    <w:pitch w:val="variable"/>
  </w:font>
  <w:font w:name="Georgia">
    <w:charset w:val="00"/>
    <w:family w:val="roman"/>
    <w:pitch w:val="variable"/>
  </w:font>
  <w:font w:name="quote-cjk-patch">
    <w:altName w:val="Inter"/>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76" w:before="0" w:after="0"/>
      <w:ind w:hanging="0" w:left="0" w:right="0"/>
      <w:jc w:val="left"/>
      <w:rPr/>
    </w:pPr>
    <w:r>
      <w:rPr/>
    </w:r>
  </w:p>
  <w:tbl>
    <w:tblPr>
      <w:tblStyle w:val="Table6"/>
      <w:tblW w:w="9904" w:type="dxa"/>
      <w:jc w:val="left"/>
      <w:tblInd w:w="-159" w:type="dxa"/>
      <w:tblLayout w:type="fixed"/>
      <w:tblCellMar>
        <w:top w:w="0" w:type="dxa"/>
        <w:left w:w="108" w:type="dxa"/>
        <w:bottom w:w="0" w:type="dxa"/>
        <w:right w:w="108" w:type="dxa"/>
      </w:tblCellMar>
      <w:tblLook w:val="0400"/>
    </w:tblPr>
    <w:tblGrid>
      <w:gridCol w:w="1409"/>
      <w:gridCol w:w="3883"/>
      <w:gridCol w:w="1399"/>
      <w:gridCol w:w="3212"/>
    </w:tblGrid>
    <w:tr>
      <w:trPr>
        <w:trHeight w:val="548" w:hRule="atLeast"/>
      </w:trPr>
      <w:tc>
        <w:tcPr>
          <w:tcW w:w="140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Даярдаган</w:t>
          </w:r>
        </w:p>
      </w:tc>
      <w:tc>
        <w:tcPr>
          <w:tcW w:w="3883"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Институттун секретары</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Тастыктаган</w:t>
          </w:r>
        </w:p>
      </w:tc>
      <w:tc>
        <w:tcPr>
          <w:tcW w:w="3212"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Жетекчиликтин өкүлү</w:t>
          </w:r>
        </w:p>
      </w:tc>
    </w:tr>
  </w:tbl>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709" w:right="0"/>
      <w:jc w:val="both"/>
      <w:rPr>
        <w:rFonts w:ascii="Times New Roman" w:hAnsi="Times New Roman" w:eastAsia="Times New Roman" w:cs="Times New Roman"/>
        <w:b w:val="false"/>
        <w:i/>
        <w:i/>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b w:val="false"/>
        <w:i/>
        <w:caps w:val="false"/>
        <w:smallCaps w:val="false"/>
        <w:strike w:val="false"/>
        <w:dstrike w:val="false"/>
        <w:color w:val="000000"/>
        <w:position w:val="0"/>
        <w:sz w:val="20"/>
        <w:sz w:val="20"/>
        <w:szCs w:val="20"/>
        <w:u w:val="none"/>
        <w:shd w:fill="auto" w:val="clear"/>
        <w:vertAlign w:val="baseline"/>
      </w:rPr>
      <w:t>Кыргыз-Түрк Манас университетинин ректорлугу © 2014</w:t>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76" w:before="0" w:after="0"/>
      <w:ind w:hanging="0" w:left="0" w:right="0"/>
      <w:jc w:val="left"/>
      <w:rPr/>
    </w:pPr>
    <w:r>
      <w:rPr/>
    </w:r>
  </w:p>
  <w:tbl>
    <w:tblPr>
      <w:tblStyle w:val="Table6"/>
      <w:tblW w:w="9904" w:type="dxa"/>
      <w:jc w:val="left"/>
      <w:tblInd w:w="-159" w:type="dxa"/>
      <w:tblLayout w:type="fixed"/>
      <w:tblCellMar>
        <w:top w:w="0" w:type="dxa"/>
        <w:left w:w="108" w:type="dxa"/>
        <w:bottom w:w="0" w:type="dxa"/>
        <w:right w:w="108" w:type="dxa"/>
      </w:tblCellMar>
      <w:tblLook w:val="0400"/>
    </w:tblPr>
    <w:tblGrid>
      <w:gridCol w:w="1409"/>
      <w:gridCol w:w="3883"/>
      <w:gridCol w:w="1399"/>
      <w:gridCol w:w="3212"/>
    </w:tblGrid>
    <w:tr>
      <w:trPr>
        <w:trHeight w:val="548" w:hRule="atLeast"/>
      </w:trPr>
      <w:tc>
        <w:tcPr>
          <w:tcW w:w="140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Даярдаган</w:t>
          </w:r>
        </w:p>
      </w:tc>
      <w:tc>
        <w:tcPr>
          <w:tcW w:w="3883"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Институттун секретары</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Тастыктаган</w:t>
          </w:r>
        </w:p>
      </w:tc>
      <w:tc>
        <w:tcPr>
          <w:tcW w:w="3212"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Жетекчиликтин өкүлү</w:t>
          </w:r>
        </w:p>
      </w:tc>
    </w:tr>
  </w:tbl>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709" w:right="0"/>
      <w:jc w:val="both"/>
      <w:rPr>
        <w:rFonts w:ascii="Times New Roman" w:hAnsi="Times New Roman" w:eastAsia="Times New Roman" w:cs="Times New Roman"/>
        <w:b w:val="false"/>
        <w:i/>
        <w:i/>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b w:val="false"/>
        <w:i/>
        <w:caps w:val="false"/>
        <w:smallCaps w:val="false"/>
        <w:strike w:val="false"/>
        <w:dstrike w:val="false"/>
        <w:color w:val="000000"/>
        <w:position w:val="0"/>
        <w:sz w:val="20"/>
        <w:sz w:val="20"/>
        <w:szCs w:val="20"/>
        <w:u w:val="none"/>
        <w:shd w:fill="auto" w:val="clear"/>
        <w:vertAlign w:val="baseline"/>
      </w:rPr>
      <w:t>Кыргыз-Түрк Манас университетинин ректорлугу © 2014</w:t>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76" w:before="0" w:after="0"/>
      <w:ind w:hanging="0" w:left="0" w:right="0"/>
      <w:jc w:val="left"/>
      <w:rPr/>
    </w:pPr>
    <w:r>
      <w:rPr/>
    </w:r>
  </w:p>
  <w:tbl>
    <w:tblPr>
      <w:tblStyle w:val="Table5"/>
      <w:tblW w:w="10260" w:type="dxa"/>
      <w:jc w:val="left"/>
      <w:tblInd w:w="-280" w:type="dxa"/>
      <w:tblLayout w:type="fixed"/>
      <w:tblCellMar>
        <w:top w:w="0" w:type="dxa"/>
        <w:left w:w="108" w:type="dxa"/>
        <w:bottom w:w="0" w:type="dxa"/>
        <w:right w:w="108" w:type="dxa"/>
      </w:tblCellMar>
      <w:tblLook w:val="0000"/>
    </w:tblPr>
    <w:tblGrid>
      <w:gridCol w:w="1440"/>
      <w:gridCol w:w="1260"/>
      <w:gridCol w:w="3870"/>
      <w:gridCol w:w="1890"/>
      <w:gridCol w:w="1800"/>
    </w:tblGrid>
    <w:tr>
      <w:trPr>
        <w:trHeight w:val="284" w:hRule="atLeast"/>
        <w:cantSplit w:val="true"/>
      </w:trPr>
      <w:tc>
        <w:tcPr>
          <w:tcW w:w="1440"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drawing>
              <wp:inline distT="0" distB="0" distL="0" distR="0">
                <wp:extent cx="866775" cy="882650"/>
                <wp:effectExtent l="0" t="0" r="0" b="0"/>
                <wp:docPr id="1" name="image1.jp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logo"/>
                        <pic:cNvPicPr>
                          <a:picLocks noChangeAspect="1" noChangeArrowheads="1"/>
                        </pic:cNvPicPr>
                      </pic:nvPicPr>
                      <pic:blipFill>
                        <a:blip r:embed="rId1"/>
                        <a:stretch>
                          <a:fillRect/>
                        </a:stretch>
                      </pic:blipFill>
                      <pic:spPr bwMode="auto">
                        <a:xfrm>
                          <a:off x="0" y="0"/>
                          <a:ext cx="866775" cy="882650"/>
                        </a:xfrm>
                        <a:prstGeom prst="rect">
                          <a:avLst/>
                        </a:prstGeom>
                        <a:noFill/>
                      </pic:spPr>
                    </pic:pic>
                  </a:graphicData>
                </a:graphic>
              </wp:inline>
            </w:drawing>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5130"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Title"/>
            <w:rPr>
              <w:rFonts w:ascii="Times New Roman" w:hAnsi="Times New Roman" w:eastAsia="Times New Roman" w:cs="Times New Roman"/>
              <w:sz w:val="20"/>
              <w:szCs w:val="20"/>
            </w:rPr>
          </w:pPr>
          <w:r>
            <w:rPr>
              <w:rFonts w:eastAsia="Times New Roman" w:cs="Times New Roman" w:ascii="Times New Roman" w:hAnsi="Times New Roman"/>
              <w:sz w:val="20"/>
              <w:szCs w:val="20"/>
            </w:rPr>
            <w:t>Табигый илимдер институтунун формалары</w:t>
          </w:r>
        </w:p>
        <w:p>
          <w:pPr>
            <w:pStyle w:val="normal1"/>
            <w:tabs>
              <w:tab w:val="clear" w:pos="720"/>
              <w:tab w:val="left" w:pos="-2430" w:leader="none"/>
            </w:tabs>
            <w:ind w:hanging="0" w:left="57" w:right="57"/>
            <w:jc w:val="center"/>
            <w:rPr>
              <w:sz w:val="20"/>
              <w:szCs w:val="20"/>
            </w:rPr>
          </w:pPr>
          <w:r>
            <w:rPr>
              <w:sz w:val="20"/>
              <w:szCs w:val="20"/>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Документтин №</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743" w:leader="none"/>
              <w:tab w:val="center" w:pos="4680" w:leader="none"/>
              <w:tab w:val="right" w:pos="9360" w:leader="none"/>
            </w:tabs>
            <w:spacing w:lineRule="auto" w:line="240" w:before="0" w:after="0"/>
            <w:ind w:hanging="0" w:left="0" w:right="-57"/>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КТМУ-фр-ТИИ-28</w:t>
          </w:r>
        </w:p>
      </w:tc>
    </w:tr>
    <w:tr>
      <w:trPr>
        <w:trHeight w:val="284"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5130"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Түзүлгөн датасы</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01/11/2014</w:t>
          </w:r>
        </w:p>
      </w:tc>
    </w:tr>
    <w:tr>
      <w:trPr>
        <w:trHeight w:val="284"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5130"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Ревизиянын №</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01</w:t>
          </w:r>
        </w:p>
      </w:tc>
    </w:tr>
    <w:tr>
      <w:trPr>
        <w:trHeight w:val="330"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260"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3546"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Документтин аты</w:t>
          </w:r>
        </w:p>
      </w:tc>
      <w:tc>
        <w:tcPr>
          <w:tcW w:w="3870"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3546" w:leader="none"/>
              <w:tab w:val="center" w:pos="4680" w:leader="none"/>
              <w:tab w:val="right" w:pos="9360" w:leader="none"/>
            </w:tabs>
            <w:spacing w:lineRule="auto" w:line="240" w:before="0" w:after="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Диссертациялык иштин долбоорун даярдоо формасы</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Ревизиянын датасы</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w:t>
          </w:r>
        </w:p>
      </w:tc>
    </w:tr>
    <w:tr>
      <w:trPr>
        <w:trHeight w:val="330"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26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7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Бет</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1/2</w:t>
          </w:r>
        </w:p>
      </w:tc>
    </w:tr>
  </w:tbl>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76" w:before="0" w:after="0"/>
      <w:ind w:hanging="0" w:left="0" w:right="0"/>
      <w:jc w:val="left"/>
      <w:rPr/>
    </w:pPr>
    <w:r>
      <w:rPr/>
    </w:r>
  </w:p>
  <w:tbl>
    <w:tblPr>
      <w:tblStyle w:val="Table5"/>
      <w:tblW w:w="10260" w:type="dxa"/>
      <w:jc w:val="left"/>
      <w:tblInd w:w="-280" w:type="dxa"/>
      <w:tblLayout w:type="fixed"/>
      <w:tblCellMar>
        <w:top w:w="0" w:type="dxa"/>
        <w:left w:w="108" w:type="dxa"/>
        <w:bottom w:w="0" w:type="dxa"/>
        <w:right w:w="108" w:type="dxa"/>
      </w:tblCellMar>
      <w:tblLook w:val="0000"/>
    </w:tblPr>
    <w:tblGrid>
      <w:gridCol w:w="1440"/>
      <w:gridCol w:w="1260"/>
      <w:gridCol w:w="3870"/>
      <w:gridCol w:w="1890"/>
      <w:gridCol w:w="1800"/>
    </w:tblGrid>
    <w:tr>
      <w:trPr>
        <w:trHeight w:val="284" w:hRule="atLeast"/>
        <w:cantSplit w:val="true"/>
      </w:trPr>
      <w:tc>
        <w:tcPr>
          <w:tcW w:w="1440"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drawing>
              <wp:inline distT="0" distB="0" distL="0" distR="0">
                <wp:extent cx="866775" cy="882650"/>
                <wp:effectExtent l="0" t="0" r="0" b="0"/>
                <wp:docPr id="2" name="image1.jp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logo"/>
                        <pic:cNvPicPr>
                          <a:picLocks noChangeAspect="1" noChangeArrowheads="1"/>
                        </pic:cNvPicPr>
                      </pic:nvPicPr>
                      <pic:blipFill>
                        <a:blip r:embed="rId1"/>
                        <a:stretch>
                          <a:fillRect/>
                        </a:stretch>
                      </pic:blipFill>
                      <pic:spPr bwMode="auto">
                        <a:xfrm>
                          <a:off x="0" y="0"/>
                          <a:ext cx="866775" cy="882650"/>
                        </a:xfrm>
                        <a:prstGeom prst="rect">
                          <a:avLst/>
                        </a:prstGeom>
                        <a:noFill/>
                      </pic:spPr>
                    </pic:pic>
                  </a:graphicData>
                </a:graphic>
              </wp:inline>
            </w:drawing>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5130"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Title"/>
            <w:rPr>
              <w:rFonts w:ascii="Times New Roman" w:hAnsi="Times New Roman" w:eastAsia="Times New Roman" w:cs="Times New Roman"/>
              <w:sz w:val="20"/>
              <w:szCs w:val="20"/>
            </w:rPr>
          </w:pPr>
          <w:r>
            <w:rPr>
              <w:rFonts w:eastAsia="Times New Roman" w:cs="Times New Roman" w:ascii="Times New Roman" w:hAnsi="Times New Roman"/>
              <w:sz w:val="20"/>
              <w:szCs w:val="20"/>
            </w:rPr>
            <w:t>Табигый илимдер институтунун формалары</w:t>
          </w:r>
        </w:p>
        <w:p>
          <w:pPr>
            <w:pStyle w:val="normal1"/>
            <w:tabs>
              <w:tab w:val="clear" w:pos="720"/>
              <w:tab w:val="left" w:pos="-2430" w:leader="none"/>
            </w:tabs>
            <w:ind w:hanging="0" w:left="57" w:right="57"/>
            <w:jc w:val="center"/>
            <w:rPr>
              <w:sz w:val="20"/>
              <w:szCs w:val="20"/>
            </w:rPr>
          </w:pPr>
          <w:r>
            <w:rPr>
              <w:sz w:val="20"/>
              <w:szCs w:val="20"/>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Документтин №</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743" w:leader="none"/>
              <w:tab w:val="center" w:pos="4680" w:leader="none"/>
              <w:tab w:val="right" w:pos="9360" w:leader="none"/>
            </w:tabs>
            <w:spacing w:lineRule="auto" w:line="240" w:before="0" w:after="0"/>
            <w:ind w:hanging="0" w:left="0" w:right="-57"/>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КТМУ-фр-ТИИ-28</w:t>
          </w:r>
        </w:p>
      </w:tc>
    </w:tr>
    <w:tr>
      <w:trPr>
        <w:trHeight w:val="284"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5130"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Түзүлгөн датасы</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01/11/2014</w:t>
          </w:r>
        </w:p>
      </w:tc>
    </w:tr>
    <w:tr>
      <w:trPr>
        <w:trHeight w:val="284"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5130"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Ревизиянын №</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01</w:t>
          </w:r>
        </w:p>
      </w:tc>
    </w:tr>
    <w:tr>
      <w:trPr>
        <w:trHeight w:val="330"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260"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3546"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Документтин аты</w:t>
          </w:r>
        </w:p>
      </w:tc>
      <w:tc>
        <w:tcPr>
          <w:tcW w:w="3870"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3546" w:leader="none"/>
              <w:tab w:val="center" w:pos="4680" w:leader="none"/>
              <w:tab w:val="right" w:pos="9360" w:leader="none"/>
            </w:tabs>
            <w:spacing w:lineRule="auto" w:line="240" w:before="0" w:after="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i w:val="false"/>
              <w:caps w:val="false"/>
              <w:smallCaps w:val="false"/>
              <w:strike w:val="false"/>
              <w:dstrike w:val="false"/>
              <w:color w:val="000000"/>
              <w:position w:val="0"/>
              <w:sz w:val="22"/>
              <w:sz w:val="22"/>
              <w:szCs w:val="22"/>
              <w:u w:val="none"/>
              <w:shd w:fill="auto" w:val="clear"/>
              <w:vertAlign w:val="baseline"/>
            </w:rPr>
            <w:t>Диссертациялык иштин долбоорун даярдоо формасы</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Ревизиянын датасы</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w:t>
          </w:r>
        </w:p>
      </w:tc>
    </w:tr>
    <w:tr>
      <w:trPr>
        <w:trHeight w:val="330" w:hRule="atLeast"/>
        <w:cantSplit w:val="true"/>
      </w:trPr>
      <w:tc>
        <w:tcPr>
          <w:tcW w:w="14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26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70"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561"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Бет</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shd w:val="clear" w:fill="auto"/>
            <w:tabs>
              <w:tab w:val="clear" w:pos="720"/>
              <w:tab w:val="left" w:pos="1419" w:leader="none"/>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b w:val="false"/>
              <w:i w:val="false"/>
              <w:caps w:val="false"/>
              <w:smallCaps w:val="false"/>
              <w:strike w:val="false"/>
              <w:dstrike w:val="false"/>
              <w:color w:val="000000"/>
              <w:position w:val="0"/>
              <w:sz w:val="20"/>
              <w:sz w:val="20"/>
              <w:szCs w:val="20"/>
              <w:u w:val="none"/>
              <w:shd w:fill="auto" w:val="clear"/>
              <w:vertAlign w:val="baseline"/>
            </w:rPr>
            <w:t>1/2</w:t>
          </w:r>
        </w:p>
      </w:tc>
    </w:tr>
  </w:tbl>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8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ky-KG"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SimSun" w:cs="Arial"/>
      <w:color w:val="auto"/>
      <w:kern w:val="0"/>
      <w:sz w:val="24"/>
      <w:szCs w:val="24"/>
      <w:lang w:val="ky-KG" w:eastAsia="zh-CN" w:bidi="hi-IN"/>
    </w:rPr>
  </w:style>
  <w:style w:type="paragraph" w:styleId="Heading1">
    <w:name w:val="heading 1"/>
    <w:basedOn w:val="normal1"/>
    <w:next w:val="normal1"/>
    <w:qFormat/>
    <w:pPr>
      <w:keepNext w:val="true"/>
      <w:keepLines/>
      <w:spacing w:lineRule="auto" w:line="240" w:before="240" w:after="0"/>
    </w:pPr>
    <w:rPr>
      <w:rFonts w:ascii="Cambria" w:hAnsi="Cambria" w:eastAsia="Cambria" w:cs="Cambria"/>
      <w:color w:val="366091"/>
      <w:sz w:val="32"/>
      <w:szCs w:val="32"/>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jc w:val="center"/>
    </w:pPr>
    <w:rPr>
      <w:b/>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before="0" w:after="0"/>
      <w:jc w:val="left"/>
    </w:pPr>
    <w:rPr>
      <w:rFonts w:ascii="Times New Roman" w:hAnsi="Times New Roman" w:eastAsia="NSimSun" w:cs="Arial"/>
      <w:color w:val="auto"/>
      <w:kern w:val="0"/>
      <w:sz w:val="24"/>
      <w:szCs w:val="24"/>
      <w:lang w:val="ky-KG" w:eastAsia="zh-CN" w:bidi="hi-IN"/>
    </w:rPr>
  </w:style>
  <w:style w:type="paragraph" w:styleId="Title">
    <w:name w:val="Title"/>
    <w:basedOn w:val="normal1"/>
    <w:next w:val="normal1"/>
    <w:qFormat/>
    <w:pPr>
      <w:jc w:val="center"/>
    </w:pPr>
    <w:rPr>
      <w:rFonts w:ascii="Tahoma" w:hAnsi="Tahoma" w:eastAsia="Tahoma" w:cs="Tahoma"/>
      <w:b/>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Default">
    <w:name w:val="Default"/>
    <w:qFormat/>
    <w:pPr>
      <w:widowControl/>
      <w:suppressAutoHyphens w:val="true"/>
      <w:bidi w:val="0"/>
      <w:spacing w:before="0" w:after="0"/>
      <w:jc w:val="left"/>
    </w:pPr>
    <w:rPr>
      <w:rFonts w:ascii="Times New Roman" w:hAnsi="Times New Roman" w:eastAsia="NSimSun" w:cs="Arial"/>
      <w:color w:val="000000"/>
      <w:kern w:val="0"/>
      <w:sz w:val="24"/>
      <w:szCs w:val="24"/>
      <w:lang w:val="ky-KG" w:eastAsia="zh-CN" w:bidi="hi-IN"/>
    </w:rPr>
  </w:style>
  <w:style w:type="paragraph" w:styleId="FrameContents">
    <w:name w:val="Frame Contents"/>
    <w:basedOn w:val="Normal"/>
    <w:qFormat/>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ee.manas.edu.kg/staff/0417"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LibreOffice/25.2.5.2$Windows_X86_64 LibreOffice_project/03d19516eb2e1dd5d4ccd751a0d6f35f35e08022</Application>
  <AppVersion>15.0000</AppVersion>
  <Pages>10</Pages>
  <Words>2079</Words>
  <Characters>14510</Characters>
  <CharactersWithSpaces>16408</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2025-01-14T10:16:00Z</dcterms:created>
  <dc:creator/>
  <dc:description/>
  <dc:language>en-US</dc:language>
  <cp:lastModifiedBy/>
  <dcterms:modified xsi:type="dcterms:W3CDTF">2025-10-03T16:44:22Z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