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7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978"/>
      </w:tblGrid>
      <w:tr>
        <w:trPr/>
        <w:tc>
          <w:tcPr>
            <w:tcW w:w="9978" w:type="dxa"/>
            <w:tcBorders>
              <w:top w:val="single" w:sz="4" w:space="0" w:color="BFBFBF"/>
              <w:left w:val="single" w:sz="4" w:space="0" w:color="BFBFBF"/>
              <w:bottom w:val="single" w:sz="4" w:space="0" w:color="BFBFBF"/>
              <w:right w:val="single" w:sz="4" w:space="0" w:color="BFBFBF"/>
            </w:tcBorders>
            <w:shd w:color="auto" w:fill="auto" w:val="clear"/>
          </w:tcPr>
          <w:p>
            <w:pPr>
              <w:jc w:val="left"/>
            </w:pPr>
            <w:r>
              <w:rPr>
                <w:rFonts w:ascii="Times New Roman" w:hAnsi="Times New Roman" w:cs="Times New Roman" w:eastAsia="Times New Roman"/>
                <w:b/>
                <w:sz w:val="22"/>
              </w:rPr>
              <w:t>BİLGİSAYAR MÜHENDİSLİĞİ ANABİLİM DALI BAŞKANLIĞINA</w:t>
            </w:r>
          </w:p>
          <w:p>
            <w:pPr>
              <w:jc w:val="left"/>
            </w:pPr>
            <w:r>
              <w:rPr>
                <w:rFonts w:ascii="Times New Roman" w:hAnsi="Times New Roman" w:cs="Times New Roman" w:eastAsia="Times New Roman"/>
                <w:b w:val="0"/>
                <w:sz w:val="22"/>
              </w:rPr>
              <w:t>24/04/2026</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Bilgisayar Mühendisliği Anabilim Dalı Yüksek Lisans öğrencisinin tez çalışması ile ilgili sunduğu rapor hakkındaki değerlendirme aşağıda sunulmuştur. Bilgilerinizi saygılarımla arz ederim.</w:t>
            </w:r>
          </w:p>
          <w:p>
            <w:r>
              <w:rPr>
                <w:rFonts w:ascii="Times New Roman" w:hAnsi="Times New Roman" w:cs="Times New Roman" w:eastAsia="Times New Roman"/>
                <w:b w:val="0"/>
                <w:sz w:val="22"/>
              </w:rPr>
            </w:r>
          </w:p>
          <w:p>
            <w:pPr>
              <w:jc w:val="right"/>
            </w:pPr>
            <w:r>
              <w:rPr>
                <w:rFonts w:ascii="Times New Roman" w:hAnsi="Times New Roman" w:cs="Times New Roman" w:eastAsia="Times New Roman"/>
                <w:b w:val="0"/>
                <w:sz w:val="22"/>
              </w:rPr>
              <w:t>İmza</w:t>
            </w:r>
          </w:p>
          <w:p>
            <w:pPr>
              <w:jc w:val="right"/>
            </w:pPr>
            <w:r>
              <w:rPr>
                <w:rFonts w:ascii="Times New Roman" w:hAnsi="Times New Roman" w:cs="Times New Roman" w:eastAsia="Times New Roman"/>
                <w:b w:val="0"/>
                <w:sz w:val="22"/>
              </w:rPr>
              <w:t>Danışman</w:t>
            </w:r>
          </w:p>
          <w:p>
            <w:pPr>
              <w:jc w:val="right"/>
            </w:pPr>
            <w:r>
              <w:rPr>
                <w:rFonts w:ascii="Times New Roman" w:hAnsi="Times New Roman" w:cs="Times New Roman" w:eastAsia="Times New Roman"/>
                <w:b w:val="0"/>
                <w:sz w:val="22"/>
              </w:rPr>
              <w:t>Doç. Dr. Bakıt ŞARŞEMBAEV</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val="0"/>
                <w:sz w:val="22"/>
              </w:rPr>
              <w:t>EK: Dönemlik Tez Ara Raporu</w:t>
            </w:r>
          </w:p>
        </w:tc>
      </w:tr>
    </w:tbl>
    <w:p>
      <w:pPr>
        <w:pStyle w:val="Normal"/>
        <w:jc w:val="center"/>
        <w:rPr>
          <w:b/>
          <w:sz w:val="32"/>
          <w:szCs w:val="32"/>
        </w:rPr>
      </w:pPr>
      <w:r>
        <w:rPr>
          <w:b/>
          <w:sz w:val="32"/>
          <w:szCs w:val="32"/>
        </w:rPr>
      </w:r>
    </w:p>
    <w:tbl>
      <w:tblPr>
        <w:tblW w:w="10041"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536"/>
        <w:gridCol w:w="1420"/>
        <w:gridCol w:w="1064"/>
        <w:gridCol w:w="66"/>
        <w:gridCol w:w="1031"/>
        <w:gridCol w:w="1098"/>
        <w:gridCol w:w="1452"/>
        <w:gridCol w:w="1373"/>
      </w:tblGrid>
      <w:tr>
        <w:trPr>
          <w:trHeight w:val="336"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Öğrenci Numarası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val="false"/>
                <w:bCs w:val="false"/>
                <w:spacing w:val="4"/>
                <w:sz w:val="22"/>
                <w:szCs w:val="22"/>
              </w:rPr>
              <w:t>2351y0100</w:t>
            </w:r>
            <w:r>
              <w:rPr>
                <w:b w:val="false"/>
                <w:bCs w:val="false"/>
                <w:spacing w:val="4"/>
                <w:sz w:val="22"/>
                <w:szCs w:val="22"/>
              </w:rPr>
              <w:t>5</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Adı - Soyadı  </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Nazarkulov Elaman</w:t>
            </w:r>
          </w:p>
        </w:tc>
      </w:tr>
      <w:tr>
        <w:trPr>
          <w:trHeight w:val="359"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 xml:space="preserve">Programın </w:t>
            </w:r>
            <w:r>
              <w:rPr>
                <w:b/>
                <w:bCs/>
                <w:sz w:val="22"/>
                <w:szCs w:val="22"/>
              </w:rPr>
              <w:t>Adı</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b w:val="false"/>
                <w:bCs w:val="false"/>
              </w:rPr>
            </w:pPr>
            <w:r>
              <w:rPr>
                <w:b w:val="false"/>
                <w:bCs w:val="false"/>
                <w:spacing w:val="4"/>
                <w:sz w:val="22"/>
                <w:szCs w:val="22"/>
              </w:rPr>
              <w:t>Bilgisayar Mühendisliği</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sz w:val="22"/>
                <w:szCs w:val="22"/>
              </w:rPr>
            </w:pPr>
            <w:r>
              <w:rPr>
                <w:b/>
                <w:sz w:val="22"/>
                <w:szCs w:val="22"/>
              </w:rPr>
              <w:t>Tez Konusu</w:t>
            </w:r>
          </w:p>
        </w:tc>
        <w:tc>
          <w:tcPr>
            <w:tcW w:w="7504" w:type="dxa"/>
            <w:gridSpan w:val="7"/>
            <w:tcBorders>
              <w:top w:val="single" w:sz="4" w:space="0" w:color="BFBFBF"/>
              <w:left w:val="single" w:sz="4" w:space="0" w:color="BFBFBF"/>
              <w:bottom w:val="single" w:sz="4" w:space="0" w:color="BFBFBF"/>
              <w:right w:val="single" w:sz="4" w:space="0" w:color="BFBFBF"/>
            </w:tcBorders>
            <w:shd w:color="auto" w:fill="auto" w:val="clear"/>
          </w:tcPr>
          <w:p>
            <w:pPr>
              <w:pStyle w:val="Normal"/>
              <w:rPr>
                <w:sz w:val="22"/>
                <w:szCs w:val="22"/>
              </w:rPr>
            </w:pPr>
            <w:r>
              <w:rPr/>
              <w:t xml:space="preserve">12 Kanallı EKG Tabanlı Kardiyak Hastalık Teşhisi için Destek Düğüm Yöntemi Kullanarak Sinyal Zenginleştirmeli Sinir Ağı </w:t>
            </w:r>
          </w:p>
        </w:tc>
      </w:tr>
      <w:tr>
        <w:trPr>
          <w:trHeight w:val="328" w:hRule="atLeast"/>
        </w:trPr>
        <w:tc>
          <w:tcPr>
            <w:tcW w:w="2536"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both"/>
              <w:rPr>
                <w:b/>
                <w:sz w:val="22"/>
                <w:szCs w:val="22"/>
              </w:rPr>
            </w:pPr>
            <w:r>
              <w:rPr>
                <w:b/>
                <w:sz w:val="22"/>
                <w:szCs w:val="22"/>
              </w:rPr>
              <w:t>Tez Ara Rapor No</w:t>
            </w:r>
          </w:p>
        </w:tc>
        <w:tc>
          <w:tcPr>
            <w:tcW w:w="1420"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sz w:val="22"/>
                <w:szCs w:val="22"/>
              </w:rPr>
            </w:pPr>
            <w:r>
              <w:fldChar w:fldCharType="begin">
                <w:ffData>
                  <w:name w:val="Onay1"/>
                  <w:enabled/>
                  <w:calcOnExit w:val="0"/>
                  <w:checkBox>
                    <w:sizeAuto/>
                    <w:checked/>
                  </w:checkBox>
                </w:ffData>
              </w:fldChar>
            </w:r>
            <w:r>
              <w:rPr>
                <w:sz w:val="22"/>
                <w:szCs w:val="22"/>
              </w:rPr>
              <w:instrText xml:space="preserve"> FORMCHECKBOX </w:instrText>
            </w:r>
            <w:r>
              <w:rPr>
                <w:sz w:val="22"/>
                <w:szCs w:val="22"/>
              </w:rPr>
              <w:fldChar w:fldCharType="separate"/>
            </w:r>
            <w:bookmarkStart w:id="0" w:name="Onay1"/>
            <w:bookmarkStart w:id="1" w:name="Onay1"/>
            <w:bookmarkEnd w:id="1"/>
            <w:r>
              <w:rPr>
                <w:sz w:val="22"/>
                <w:szCs w:val="22"/>
              </w:rPr>
            </w:r>
            <w:r>
              <w:rPr>
                <w:sz w:val="22"/>
                <w:szCs w:val="22"/>
              </w:rPr>
              <w:fldChar w:fldCharType="end"/>
            </w:r>
            <w:r>
              <w:rPr>
                <w:bCs/>
                <w:sz w:val="22"/>
                <w:szCs w:val="22"/>
              </w:rPr>
              <w:t xml:space="preserve"> 1</w:t>
            </w:r>
          </w:p>
        </w:tc>
        <w:tc>
          <w:tcPr>
            <w:tcW w:w="1064"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1"/>
                  <w:enabled/>
                  <w:calcOnExit w:val="0"/>
                  <w:checkBox>
                    <w:sizeAuto/>
                  </w:checkBox>
                </w:ffData>
              </w:fldChar>
            </w:r>
            <w:r>
              <w:rPr>
                <w:sz w:val="22"/>
                <w:szCs w:val="22"/>
              </w:rPr>
              <w:instrText xml:space="preserve"> FORMCHECKBOX </w:instrText>
            </w:r>
            <w:r>
              <w:rPr>
                <w:sz w:val="22"/>
                <w:szCs w:val="22"/>
              </w:rPr>
              <w:fldChar w:fldCharType="separate"/>
            </w:r>
            <w:bookmarkStart w:id="2" w:name="Onay1_Copy_1"/>
            <w:bookmarkStart w:id="3" w:name="Onay1_Copy_1"/>
            <w:bookmarkEnd w:id="3"/>
            <w:r>
              <w:rPr>
                <w:sz w:val="22"/>
                <w:szCs w:val="22"/>
              </w:rPr>
            </w:r>
            <w:r>
              <w:rPr>
                <w:sz w:val="22"/>
                <w:szCs w:val="22"/>
              </w:rPr>
              <w:fldChar w:fldCharType="end"/>
            </w:r>
            <w:r>
              <w:rPr>
                <w:bCs/>
                <w:sz w:val="22"/>
                <w:szCs w:val="22"/>
              </w:rPr>
              <w:t xml:space="preserve"> 2</w:t>
            </w:r>
          </w:p>
        </w:tc>
        <w:tc>
          <w:tcPr>
            <w:tcW w:w="1097" w:type="dxa"/>
            <w:gridSpan w:val="2"/>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2"/>
                  <w:enabled/>
                  <w:calcOnExit w:val="0"/>
                  <w:checkBox>
                    <w:sizeAuto/>
                  </w:checkBox>
                </w:ffData>
              </w:fldChar>
            </w:r>
            <w:r>
              <w:rPr>
                <w:sz w:val="22"/>
                <w:szCs w:val="22"/>
              </w:rPr>
              <w:instrText xml:space="preserve"> FORMCHECKBOX </w:instrText>
            </w:r>
            <w:r>
              <w:rPr>
                <w:sz w:val="22"/>
                <w:szCs w:val="22"/>
              </w:rPr>
              <w:fldChar w:fldCharType="separate"/>
            </w:r>
            <w:bookmarkStart w:id="4" w:name="Onay1_Copy_2"/>
            <w:bookmarkStart w:id="5" w:name="Onay1_Copy_2"/>
            <w:bookmarkEnd w:id="5"/>
            <w:r>
              <w:rPr>
                <w:sz w:val="22"/>
                <w:szCs w:val="22"/>
              </w:rPr>
            </w:r>
            <w:r>
              <w:rPr>
                <w:sz w:val="22"/>
                <w:szCs w:val="22"/>
              </w:rPr>
              <w:fldChar w:fldCharType="end"/>
            </w:r>
            <w:r>
              <w:rPr>
                <w:bCs/>
                <w:sz w:val="22"/>
                <w:szCs w:val="22"/>
              </w:rPr>
              <w:t xml:space="preserve"> 3</w:t>
            </w:r>
          </w:p>
        </w:tc>
        <w:tc>
          <w:tcPr>
            <w:tcW w:w="1098"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3"/>
                  <w:enabled/>
                  <w:calcOnExit w:val="0"/>
                  <w:checkBox>
                    <w:sizeAuto/>
                  </w:checkBox>
                </w:ffData>
              </w:fldChar>
            </w:r>
            <w:r>
              <w:rPr>
                <w:sz w:val="22"/>
                <w:szCs w:val="22"/>
              </w:rPr>
              <w:instrText xml:space="preserve"> FORMCHECKBOX </w:instrText>
            </w:r>
            <w:r>
              <w:rPr>
                <w:sz w:val="22"/>
                <w:szCs w:val="22"/>
              </w:rPr>
              <w:fldChar w:fldCharType="separate"/>
            </w:r>
            <w:bookmarkStart w:id="6" w:name="Onay1_Copy_3"/>
            <w:bookmarkStart w:id="7" w:name="Onay1_Copy_3"/>
            <w:bookmarkEnd w:id="7"/>
            <w:r>
              <w:rPr>
                <w:sz w:val="22"/>
                <w:szCs w:val="22"/>
              </w:rPr>
            </w:r>
            <w:r>
              <w:rPr>
                <w:sz w:val="22"/>
                <w:szCs w:val="22"/>
              </w:rPr>
              <w:fldChar w:fldCharType="end"/>
            </w:r>
            <w:r>
              <w:rPr>
                <w:bCs/>
                <w:sz w:val="22"/>
                <w:szCs w:val="22"/>
              </w:rPr>
              <w:t xml:space="preserve"> 4</w:t>
            </w:r>
          </w:p>
        </w:tc>
        <w:tc>
          <w:tcPr>
            <w:tcW w:w="1452"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4"/>
                  <w:enabled/>
                  <w:calcOnExit w:val="0"/>
                  <w:checkBox>
                    <w:sizeAuto/>
                  </w:checkBox>
                </w:ffData>
              </w:fldChar>
            </w:r>
            <w:r>
              <w:rPr>
                <w:sz w:val="22"/>
                <w:szCs w:val="22"/>
              </w:rPr>
              <w:instrText xml:space="preserve"> FORMCHECKBOX </w:instrText>
            </w:r>
            <w:r>
              <w:rPr>
                <w:sz w:val="22"/>
                <w:szCs w:val="22"/>
              </w:rPr>
              <w:fldChar w:fldCharType="separate"/>
            </w:r>
            <w:bookmarkStart w:id="8" w:name="Onay1_Copy_4"/>
            <w:bookmarkStart w:id="9" w:name="Onay1_Copy_4"/>
            <w:bookmarkEnd w:id="9"/>
            <w:r>
              <w:rPr>
                <w:sz w:val="22"/>
                <w:szCs w:val="22"/>
              </w:rPr>
            </w:r>
            <w:r>
              <w:rPr>
                <w:sz w:val="22"/>
                <w:szCs w:val="22"/>
              </w:rPr>
              <w:fldChar w:fldCharType="end"/>
            </w:r>
            <w:r>
              <w:rPr>
                <w:bCs/>
                <w:sz w:val="22"/>
                <w:szCs w:val="22"/>
              </w:rPr>
              <w:t xml:space="preserve"> 5</w:t>
            </w:r>
          </w:p>
        </w:tc>
        <w:tc>
          <w:tcPr>
            <w:tcW w:w="1373" w:type="dxa"/>
            <w:tcBorders>
              <w:top w:val="single" w:sz="4" w:space="0" w:color="BFBFBF"/>
              <w:left w:val="single" w:sz="4" w:space="0" w:color="BFBFBF"/>
              <w:bottom w:val="single" w:sz="4" w:space="0" w:color="BFBFBF"/>
              <w:right w:val="single" w:sz="4" w:space="0" w:color="BFBFBF"/>
            </w:tcBorders>
            <w:shd w:color="auto" w:fill="auto" w:val="clear"/>
          </w:tcPr>
          <w:p>
            <w:pPr>
              <w:pStyle w:val="Normal"/>
              <w:spacing w:before="40" w:after="40"/>
              <w:jc w:val="center"/>
              <w:rPr>
                <w:bCs/>
                <w:sz w:val="22"/>
                <w:szCs w:val="22"/>
              </w:rPr>
            </w:pPr>
            <w:r>
              <w:fldChar w:fldCharType="begin">
                <w:ffData>
                  <w:name w:val="Onay1 Copy 5"/>
                  <w:enabled/>
                  <w:calcOnExit w:val="0"/>
                  <w:checkBox>
                    <w:sizeAuto/>
                  </w:checkBox>
                </w:ffData>
              </w:fldChar>
            </w:r>
            <w:r>
              <w:rPr>
                <w:sz w:val="22"/>
                <w:szCs w:val="22"/>
              </w:rPr>
              <w:instrText xml:space="preserve"> FORMCHECKBOX </w:instrText>
            </w:r>
            <w:r>
              <w:rPr>
                <w:sz w:val="22"/>
                <w:szCs w:val="22"/>
              </w:rPr>
              <w:fldChar w:fldCharType="separate"/>
            </w:r>
            <w:bookmarkStart w:id="10" w:name="Onay1_Copy_5"/>
            <w:bookmarkStart w:id="11" w:name="Onay1_Copy_5"/>
            <w:bookmarkEnd w:id="11"/>
            <w:r>
              <w:rPr>
                <w:sz w:val="22"/>
                <w:szCs w:val="22"/>
              </w:rPr>
            </w:r>
            <w:r>
              <w:rPr>
                <w:sz w:val="22"/>
                <w:szCs w:val="22"/>
              </w:rPr>
              <w:fldChar w:fldCharType="end"/>
            </w:r>
            <w:r>
              <w:rPr>
                <w:bCs/>
                <w:sz w:val="22"/>
                <w:szCs w:val="22"/>
              </w:rPr>
              <w:t xml:space="preserve"> 6</w:t>
            </w:r>
          </w:p>
        </w:tc>
      </w:tr>
      <w:tr>
        <w:trPr>
          <w:trHeight w:val="497" w:hRule="atLeast"/>
        </w:trPr>
        <w:tc>
          <w:tcPr>
            <w:tcW w:w="5086"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sz w:val="22"/>
              </w:rPr>
              <w:t xml:space="preserve"> Başarılı</w:t>
            </w:r>
          </w:p>
        </w:tc>
        <w:tc>
          <w:tcPr>
            <w:tcW w:w="4954" w:type="dxa"/>
            <w:gridSpan w:val="4"/>
            <w:tcBorders>
              <w:top w:val="single" w:sz="4" w:space="0" w:color="BFBFBF"/>
              <w:left w:val="single" w:sz="4" w:space="0" w:color="BFBFBF"/>
              <w:bottom w:val="single" w:sz="4" w:space="0" w:color="BFBFBF"/>
              <w:right w:val="single" w:sz="4" w:space="0" w:color="BFBFBF"/>
            </w:tcBorders>
            <w:shd w:color="auto" w:fill="auto" w:val="clear"/>
          </w:tcPr>
          <w:p>
            <w:pPr>
              <w:jc w:val="center"/>
            </w:pPr>
            <w:r>
              <w:rPr>
                <w:rFonts w:ascii="Times New Roman" w:hAnsi="Times New Roman" w:cs="Times New Roman" w:eastAsia="Times New Roman"/>
                <w:b w:val="0"/>
                <w:sz w:val="22"/>
              </w:rPr>
            </w:r>
          </w:p>
        </w:tc>
      </w:tr>
      <w:tr>
        <w:trPr>
          <w:trHeight w:val="1729" w:hRule="atLeast"/>
        </w:trPr>
        <w:tc>
          <w:tcPr>
            <w:tcW w:w="10040" w:type="dxa"/>
            <w:gridSpan w:val="8"/>
            <w:tcBorders>
              <w:top w:val="single" w:sz="4" w:space="0" w:color="BFBFBF"/>
              <w:left w:val="single" w:sz="4" w:space="0" w:color="BFBFBF"/>
              <w:bottom w:val="single" w:sz="4" w:space="0" w:color="BFBFBF"/>
              <w:right w:val="single" w:sz="4" w:space="0" w:color="BFBFBF"/>
            </w:tcBorders>
            <w:shd w:color="auto" w:fill="auto" w:val="clear"/>
          </w:tcPr>
          <w:p>
            <w:pPr>
              <w:pStyle w:val="Normal"/>
              <w:spacing w:lineRule="auto" w:line="360"/>
              <w:jc w:val="both"/>
              <w:rPr>
                <w:bCs/>
                <w:i/>
                <w:i/>
                <w:iCs/>
                <w:sz w:val="22"/>
                <w:szCs w:val="22"/>
              </w:rPr>
            </w:pPr>
            <w:r>
              <w:rPr>
                <w:bCs/>
                <w:i/>
                <w:iCs/>
                <w:sz w:val="22"/>
                <w:szCs w:val="22"/>
              </w:rPr>
              <w:t>Danışman öğretim üyesinin tez hakkında görüşleri:</w:t>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p>
            <w:pPr>
              <w:pStyle w:val="Normal"/>
              <w:spacing w:lineRule="auto" w:line="360"/>
              <w:jc w:val="both"/>
              <w:rPr>
                <w:sz w:val="22"/>
                <w:szCs w:val="22"/>
              </w:rPr>
            </w:pPr>
            <w:r>
              <w:rPr>
                <w:sz w:val="22"/>
                <w:szCs w:val="22"/>
              </w:rPr>
            </w:r>
          </w:p>
        </w:tc>
      </w:tr>
    </w:tbl>
    <w:p>
      <w:pPr>
        <w:pStyle w:val="Normal"/>
        <w:jc w:val="center"/>
        <w:rPr>
          <w:b/>
          <w:sz w:val="32"/>
          <w:szCs w:val="32"/>
        </w:rPr>
      </w:pPr>
      <w:r>
        <w:rPr>
          <w:b/>
          <w:sz w:val="32"/>
          <w:szCs w:val="32"/>
        </w:rPr>
      </w:r>
      <w:r>
        <w:br w:type="page"/>
      </w:r>
    </w:p>
    <w:p>
      <w:pPr>
        <w:pStyle w:val="Normal"/>
        <w:spacing w:before="0" w:after="0"/>
        <w:jc w:val="center"/>
        <w:rPr>
          <w:b/>
          <w:sz w:val="32"/>
          <w:szCs w:val="32"/>
        </w:rPr>
      </w:pPr>
      <w:r>
        <w:rPr>
          <w:b/>
          <w:sz w:val="32"/>
          <w:szCs w:val="32"/>
        </w:rPr>
      </w:r>
    </w:p>
    <w:p>
      <w:pPr>
        <w:pStyle w:val="Normal"/>
        <w:jc w:val="center"/>
        <w:rPr>
          <w:b/>
          <w:sz w:val="32"/>
          <w:szCs w:val="32"/>
        </w:rPr>
      </w:pPr>
      <w:r>
        <w:rPr/>
        <w:drawing>
          <wp:inline distT="0" distB="0" distL="0" distR="0">
            <wp:extent cx="836295" cy="816610"/>
            <wp:effectExtent l="0" t="0" r="0" b="0"/>
            <wp:docPr id="1" name="Resi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
                    <pic:cNvPicPr>
                      <a:picLocks noChangeAspect="1" noChangeArrowheads="1"/>
                    </pic:cNvPicPr>
                  </pic:nvPicPr>
                  <pic:blipFill>
                    <a:blip r:embed="rId2"/>
                    <a:stretch>
                      <a:fillRect/>
                    </a:stretch>
                  </pic:blipFill>
                  <pic:spPr bwMode="auto">
                    <a:xfrm>
                      <a:off x="0" y="0"/>
                      <a:ext cx="836295" cy="816610"/>
                    </a:xfrm>
                    <a:prstGeom prst="rect">
                      <a:avLst/>
                    </a:prstGeom>
                  </pic:spPr>
                </pic:pic>
              </a:graphicData>
            </a:graphic>
          </wp:inline>
        </w:drawing>
      </w:r>
    </w:p>
    <w:p>
      <w:pPr>
        <w:pStyle w:val="Normal"/>
        <w:jc w:val="center"/>
        <w:rPr>
          <w:b/>
          <w:bCs/>
          <w:szCs w:val="32"/>
        </w:rPr>
      </w:pPr>
      <w:r>
        <w:rPr>
          <w:b/>
          <w:szCs w:val="32"/>
        </w:rPr>
        <w:t>KIRGIZİSTAN - TÜRKİYE MANAS ÜNİVERSİTESİ</w:t>
      </w:r>
    </w:p>
    <w:p>
      <w:pPr>
        <w:pStyle w:val="Title"/>
        <w:rPr>
          <w:sz w:val="24"/>
          <w:szCs w:val="32"/>
        </w:rPr>
      </w:pPr>
      <w:r>
        <w:rPr>
          <w:sz w:val="24"/>
          <w:szCs w:val="32"/>
          <w:lang w:val="tr-TR"/>
        </w:rPr>
        <w:t>LİSANSÜSTÜ EĞİTİM</w:t>
      </w:r>
      <w:r>
        <w:rPr>
          <w:sz w:val="24"/>
          <w:szCs w:val="32"/>
        </w:rPr>
        <w:t xml:space="preserve"> ENSTİTÜSÜ</w:t>
      </w:r>
    </w:p>
    <w:p>
      <w:pPr>
        <w:pStyle w:val="WW-NormalWeb1"/>
        <w:spacing w:before="0" w:after="0"/>
        <w:jc w:val="center"/>
        <w:rPr>
          <w:b/>
          <w:bCs/>
          <w:color w:val="000000"/>
          <w:szCs w:val="32"/>
        </w:rPr>
      </w:pPr>
      <w:bookmarkStart w:id="16" w:name="Metin1_Copy_3"/>
      <w:r>
        <w:rPr>
          <w:b/>
          <w:bCs/>
          <w:color w:val="000000"/>
          <w:szCs w:val="32"/>
        </w:rPr>
        <w:t>BİLGİSAYAR MÜHENDİSLİĞİ</w:t>
      </w:r>
      <w:bookmarkEnd w:id="16"/>
      <w:r>
        <w:rPr>
          <w:b/>
          <w:bCs/>
          <w:color w:val="000000"/>
          <w:szCs w:val="32"/>
        </w:rPr>
        <w:t xml:space="preserve"> ANABİLİM DALI</w:t>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r>
    </w:p>
    <w:p>
      <w:pPr>
        <w:pStyle w:val="WW-NormalWeb1"/>
        <w:spacing w:before="0" w:after="0"/>
        <w:jc w:val="center"/>
        <w:rPr>
          <w:b/>
          <w:bCs/>
          <w:color w:val="000000"/>
          <w:sz w:val="28"/>
          <w:szCs w:val="28"/>
        </w:rPr>
      </w:pPr>
      <w:r>
        <w:rPr>
          <w:b/>
          <w:bCs/>
          <w:color w:val="000000"/>
          <w:sz w:val="28"/>
          <w:szCs w:val="28"/>
        </w:rPr>
        <w:t>YÜKSEK LİSANS TEZ ARA RAPORU</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t xml:space="preserve"> </w:t>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Normal"/>
        <w:spacing w:before="0" w:after="0"/>
        <w:jc w:val="center"/>
        <w:rPr>
          <w:b/>
          <w:bCs/>
          <w:color w:val="000000"/>
          <w:sz w:val="28"/>
          <w:szCs w:val="28"/>
        </w:rPr>
      </w:pPr>
      <w:bookmarkStart w:id="17" w:name="Metin2_Copy_1"/>
      <w:bookmarkEnd w:id="17"/>
      <w:r>
        <w:rPr>
          <w:b/>
          <w:bCs/>
          <w:color w:val="000000"/>
          <w:szCs w:val="28"/>
        </w:rPr>
        <w:t xml:space="preserve">12 Kanallı EKG Tabanlı Kardiyak Hastalık Teşhisi için Destek Düğüm Yöntemi Kullanarak Sinyal Zenginleştirmeli Sinir Ağı </w:t>
      </w:r>
    </w:p>
    <w:p>
      <w:pPr>
        <w:pStyle w:val="WW-NormalWeb1"/>
        <w:spacing w:before="0" w:after="0"/>
        <w:jc w:val="center"/>
        <w:rPr>
          <w:b/>
          <w:bCs/>
          <w:color w:val="000000"/>
          <w:sz w:val="28"/>
          <w:szCs w:val="28"/>
        </w:rPr>
      </w:pPr>
      <w:r>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bookmarkStart w:id="18" w:name="Metin3_Copy_5"/>
      <w:r>
        <w:rPr>
          <w:b/>
          <w:bCs/>
          <w:color w:val="000000"/>
          <w:szCs w:val="22"/>
        </w:rPr>
        <w:t>BAHAR DÖNEMİ</w:t>
      </w:r>
      <w:bookmarkEnd w:id="18"/>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 w:val="22"/>
          <w:szCs w:val="22"/>
        </w:rPr>
      </w:pPr>
      <w:r>
        <w:rPr>
          <w:b/>
          <w:bCs/>
          <w:color w:val="000000"/>
          <w:sz w:val="22"/>
          <w:szCs w:val="22"/>
        </w:rPr>
      </w:r>
    </w:p>
    <w:p>
      <w:pPr>
        <w:pStyle w:val="WW-NormalWeb1"/>
        <w:spacing w:before="0" w:after="0"/>
        <w:jc w:val="center"/>
        <w:rPr>
          <w:b/>
          <w:bCs/>
          <w:color w:val="000000"/>
          <w:szCs w:val="22"/>
        </w:rPr>
      </w:pPr>
      <w:r>
        <w:rPr>
          <w:b/>
          <w:bCs/>
          <w:color w:val="000000"/>
          <w:szCs w:val="22"/>
        </w:rPr>
        <w:t>ELAMAN NAZARKULOV</w:t>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r>
        <w:rPr>
          <w:b/>
          <w:bCs/>
          <w:color w:val="000000"/>
          <w:szCs w:val="22"/>
        </w:rPr>
      </w:r>
    </w:p>
    <w:p>
      <w:pPr>
        <w:pStyle w:val="WW-NormalWeb1"/>
        <w:spacing w:before="0" w:after="0"/>
        <w:jc w:val="center"/>
        <w:rPr>
          <w:b/>
          <w:bCs/>
          <w:color w:val="000000"/>
          <w:szCs w:val="22"/>
        </w:rPr>
      </w:pPr>
      <w:bookmarkStart w:id="19" w:name="Metin6_Copy_1"/>
      <w:r>
        <w:rPr>
          <w:b/>
          <w:bCs/>
          <w:color w:val="000000"/>
          <w:szCs w:val="22"/>
        </w:rPr>
        <w:t>2</w:t>
      </w:r>
      <w:bookmarkEnd w:id="19"/>
      <w:r>
        <w:rPr>
          <w:b/>
          <w:bCs/>
          <w:color w:val="000000"/>
          <w:szCs w:val="22"/>
        </w:rPr>
        <w:t>025</w:t>
      </w:r>
    </w:p>
    <w:p>
      <w:pPr>
        <w:pStyle w:val="Normal"/>
        <w:jc w:val="center"/>
        <w:rPr>
          <w:b/>
          <w:szCs w:val="22"/>
        </w:rPr>
      </w:pPr>
      <w:r>
        <w:rPr>
          <w:b/>
          <w:bCs/>
          <w:color w:val="000000"/>
          <w:szCs w:val="22"/>
        </w:rPr>
        <w:t>BİŞKEK</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134" w:gutter="0" w:header="737" w:top="794" w:footer="567" w:bottom="624"/>
          <w:pgNumType w:fmt="decimal"/>
          <w:formProt w:val="false"/>
          <w:titlePg/>
          <w:textDirection w:val="lrTb"/>
          <w:docGrid w:type="default" w:linePitch="360" w:charSpace="0"/>
        </w:sectPr>
        <w:pStyle w:val="Normal"/>
        <w:rPr>
          <w:b/>
          <w:sz w:val="22"/>
          <w:szCs w:val="22"/>
        </w:rPr>
      </w:pPr>
      <w:r>
        <w:rPr>
          <w:b/>
          <w:sz w:val="22"/>
          <w:szCs w:val="22"/>
        </w:rPr>
      </w:r>
    </w:p>
    <w:p>
      <w:pPr>
        <w:pStyle w:val="Normal"/>
        <w:rPr>
          <w:b/>
          <w:sz w:val="22"/>
          <w:szCs w:val="22"/>
        </w:rPr>
      </w:pPr>
      <w:r>
        <w:rPr>
          <w:b/>
          <w:sz w:val="22"/>
          <w:szCs w:val="22"/>
        </w:rPr>
      </w:r>
    </w:p>
    <w:tbl>
      <w:tblPr>
        <w:tblStyle w:val="TabloKlavuzuAk"/>
        <w:tblW w:w="9606"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823"/>
        <w:gridCol w:w="5782"/>
      </w:tblGrid>
      <w:tr>
        <w:trPr/>
        <w:tc>
          <w:tcPr>
            <w:tcW w:w="3823" w:type="dxa"/>
            <w:tcBorders/>
          </w:tcPr>
          <w:p>
            <w:pPr>
              <w:pStyle w:val="Normal"/>
              <w:widowControl/>
              <w:spacing w:before="60" w:after="60"/>
              <w:jc w:val="left"/>
              <w:rPr>
                <w:b/>
                <w:sz w:val="22"/>
                <w:szCs w:val="22"/>
              </w:rPr>
            </w:pPr>
            <w:r>
              <w:rPr>
                <w:rFonts w:eastAsia="Times New Roman" w:cs="Times New Roman"/>
                <w:b/>
                <w:kern w:val="0"/>
                <w:sz w:val="22"/>
                <w:szCs w:val="22"/>
                <w:lang w:bidi="ar-SA"/>
              </w:rPr>
              <w:t>Raporun Kapsadığı Dönem</w:t>
            </w:r>
          </w:p>
        </w:tc>
        <w:tc>
          <w:tcPr>
            <w:tcW w:w="5782" w:type="dxa"/>
            <w:tcBorders/>
          </w:tcPr>
          <w:p>
            <w:pPr>
              <w:jc w:val="left"/>
            </w:pPr>
            <w:r>
              <w:rPr>
                <w:rFonts w:ascii="Times New Roman" w:hAnsi="Times New Roman" w:cs="Times New Roman" w:eastAsia="Times New Roman"/>
                <w:b w:val="0"/>
                <w:sz w:val="22"/>
              </w:rPr>
              <w:t>Bahar Dönemi</w:t>
            </w:r>
          </w:p>
        </w:tc>
      </w:tr>
      <w:tr>
        <w:trPr/>
        <w:tc>
          <w:tcPr>
            <w:tcW w:w="3823" w:type="dxa"/>
            <w:tcBorders/>
          </w:tcPr>
          <w:p>
            <w:pPr>
              <w:pStyle w:val="Normal"/>
              <w:widowControl/>
              <w:spacing w:before="60" w:after="60"/>
              <w:jc w:val="left"/>
              <w:rPr>
                <w:b/>
                <w:sz w:val="22"/>
                <w:szCs w:val="22"/>
              </w:rPr>
            </w:pPr>
            <w:r>
              <w:rPr>
                <w:rFonts w:eastAsia="Times New Roman" w:cs="Times New Roman"/>
                <w:b/>
                <w:kern w:val="0"/>
                <w:sz w:val="22"/>
                <w:szCs w:val="22"/>
                <w:lang w:bidi="ar-SA"/>
              </w:rPr>
              <w:t>Raporun Verilmesi Gereken Tarih</w:t>
            </w:r>
          </w:p>
        </w:tc>
        <w:tc>
          <w:tcPr>
            <w:tcW w:w="5782" w:type="dxa"/>
            <w:tcBorders/>
          </w:tcPr>
          <w:p>
            <w:pPr>
              <w:jc w:val="left"/>
            </w:pPr>
            <w:r>
              <w:rPr>
                <w:rFonts w:ascii="Times New Roman" w:hAnsi="Times New Roman" w:cs="Times New Roman" w:eastAsia="Times New Roman"/>
                <w:b w:val="0"/>
                <w:sz w:val="22"/>
              </w:rPr>
              <w:t>24 Nisan 2026</w:t>
            </w:r>
          </w:p>
        </w:tc>
      </w:tr>
      <w:tr>
        <w:trPr/>
        <w:tc>
          <w:tcPr>
            <w:tcW w:w="3823" w:type="dxa"/>
            <w:tcBorders/>
          </w:tcPr>
          <w:p>
            <w:pPr>
              <w:pStyle w:val="Heading3"/>
              <w:widowControl/>
              <w:tabs>
                <w:tab w:val="clear" w:pos="709"/>
                <w:tab w:val="left" w:pos="0" w:leader="none"/>
              </w:tabs>
              <w:spacing w:before="60" w:after="60"/>
              <w:jc w:val="left"/>
              <w:rPr>
                <w:rFonts w:ascii="Times New Roman" w:hAnsi="Times New Roman"/>
                <w:sz w:val="22"/>
                <w:szCs w:val="22"/>
                <w:lang w:val="tr-TR" w:eastAsia="tr-TR"/>
              </w:rPr>
            </w:pPr>
            <w:r>
              <w:rPr>
                <w:rFonts w:eastAsia="Times New Roman" w:cs="Times New Roman" w:ascii="Times New Roman" w:hAnsi="Times New Roman"/>
                <w:kern w:val="0"/>
                <w:sz w:val="22"/>
                <w:szCs w:val="22"/>
                <w:lang w:val="tr-TR" w:eastAsia="tr-TR" w:bidi="ar-SA"/>
              </w:rPr>
              <w:t>Raporun Verildiği Tarih</w:t>
            </w:r>
          </w:p>
        </w:tc>
        <w:tc>
          <w:tcPr>
            <w:tcW w:w="5782" w:type="dxa"/>
            <w:tcBorders/>
          </w:tcPr>
          <w:p>
            <w:pPr>
              <w:jc w:val="left"/>
            </w:pPr>
            <w:r>
              <w:rPr>
                <w:rFonts w:ascii="Times New Roman" w:hAnsi="Times New Roman" w:cs="Times New Roman" w:eastAsia="Times New Roman"/>
                <w:b w:val="0"/>
                <w:sz w:val="22"/>
              </w:rPr>
              <w:t>24 Nisan 2026</w:t>
            </w:r>
          </w:p>
        </w:tc>
      </w:tr>
    </w:tbl>
    <w:p>
      <w:pPr>
        <w:pStyle w:val="Normal"/>
        <w:rPr>
          <w:b/>
          <w:sz w:val="22"/>
          <w:szCs w:val="22"/>
        </w:rPr>
      </w:pPr>
      <w:r>
        <w:rPr>
          <w:b/>
          <w:sz w:val="22"/>
          <w:szCs w:val="22"/>
        </w:rPr>
      </w:r>
    </w:p>
    <w:p>
      <w:pPr>
        <w:pStyle w:val="WW-NormalWeb1"/>
        <w:spacing w:before="0" w:after="0"/>
        <w:jc w:val="both"/>
        <w:rPr>
          <w:color w:val="000000"/>
          <w:sz w:val="18"/>
          <w:szCs w:val="18"/>
        </w:rPr>
      </w:pPr>
      <w:r>
        <w:rPr>
          <w:color w:val="000000"/>
          <w:sz w:val="18"/>
          <w:szCs w:val="18"/>
        </w:rPr>
      </w:r>
    </w:p>
    <w:tbl>
      <w:tblPr>
        <w:tblStyle w:val="TabloKlavuzuAk"/>
        <w:tblW w:w="957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75"/>
      </w:tblGrid>
      <w:tr>
        <w:trPr/>
        <w:tc>
          <w:tcPr>
            <w:tcW w:w="9575" w:type="dxa"/>
            <w:tcBorders/>
          </w:tcPr>
          <w:p>
            <w:pPr>
              <w:pStyle w:val="WW-NormalWeb1"/>
              <w:widowControl/>
              <w:numPr>
                <w:ilvl w:val="0"/>
                <w:numId w:val="1"/>
              </w:numPr>
              <w:spacing w:before="0" w:after="0"/>
              <w:ind w:hanging="284" w:left="287"/>
              <w:jc w:val="left"/>
              <w:rPr>
                <w:b/>
                <w:bCs/>
                <w:color w:val="000000"/>
                <w:sz w:val="22"/>
                <w:szCs w:val="22"/>
              </w:rPr>
            </w:pPr>
            <w:r>
              <w:rPr>
                <w:rFonts w:eastAsia="Times New Roman" w:cs="Times New Roman"/>
                <w:b/>
                <w:bCs/>
                <w:color w:val="000000"/>
                <w:kern w:val="0"/>
                <w:sz w:val="22"/>
                <w:szCs w:val="22"/>
                <w:lang w:bidi="ar-SA"/>
              </w:rPr>
              <w:t>ÖZET ve ANAHTAR KELİMELER</w:t>
            </w:r>
          </w:p>
          <w:p>
            <w:pPr>
              <w:pStyle w:val="WW-NormalWeb1"/>
              <w:widowControl/>
              <w:spacing w:before="0" w:after="0"/>
              <w:jc w:val="both"/>
              <w:rPr>
                <w:b/>
                <w:color w:val="000000"/>
                <w:sz w:val="22"/>
                <w:szCs w:val="22"/>
              </w:rPr>
            </w:pPr>
            <w:r>
              <w:rPr>
                <w:rFonts w:eastAsia="Times New Roman" w:cs="Times New Roman"/>
                <w:color w:val="000000"/>
                <w:kern w:val="0"/>
                <w:sz w:val="22"/>
                <w:szCs w:val="22"/>
                <w:lang w:bidi="ar-SA"/>
              </w:rPr>
              <w:t xml:space="preserve">Özette tez çalışması kapsamında yapılmış tüm çalışmaların bir özetiyle birlikte, çalışmalarla ilgili varsa aksaklıklar ve ilerde yapılması planlanan çalışmalar çok kısa bir şekilde özetlenmelidir. </w:t>
            </w:r>
          </w:p>
        </w:tc>
      </w:tr>
      <w:tr>
        <w:trPr>
          <w:trHeight w:val="1008" w:hRule="atLeast"/>
        </w:trPr>
        <w:tc>
          <w:tcPr>
            <w:tcW w:w="9575" w:type="dxa"/>
            <w:tcBorders/>
          </w:tcPr>
          <w:p>
            <w:pPr>
              <w:jc w:val="center"/>
            </w:pPr>
            <w:r>
              <w:rPr>
                <w:rFonts w:ascii="Times New Roman" w:hAnsi="Times New Roman" w:cs="Times New Roman" w:eastAsia="Times New Roman"/>
                <w:b/>
                <w:sz w:val="22"/>
              </w:rPr>
              <w:t>ÖZET</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Bu tez çalışması, 12 kanallı EKG sinyallerinden kardiyak hastalıkların otomatik teşhisi için derin öğrenme tabanlı bir sistem geliştirmeyi amaçlamaktadır. Çalışmanın temel yeniliği, fizyolojik açıdan anlamlı noktaları (P, QRS, T dalgaları) koruyarak uygulanan destek düğüm (support node) tabanlı sinyal zenginleştirme yöntemidir. Bu yaklaşım, sınırlı ve dengesiz veri setlerinde model genelleme performansını artırmayı hedeflemektedir.</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Bahar 2026 döneminde yapılan ek deneylerde, giriş sinyalinin uzunluğunun 5000 → 1000 → 500 örneğe anti-aliased decimation (scipy.signal.decimate, Chebyshev tip-I) ile indirilmesinin baseline 1D-CNN performansını dramatik biçimde artırdığı tespit edilmiştir: len=5000 konfigürasyonunda Test Accuracy %88.43 ve Macro F1 0.8713 iken, len=500 konfigürasyonunda Test Accuracy %97.34 ve Macro F1 0.9737 elde edilmiş; tekil inference süresi 89.88 ms'den 27.20 ms'ye düşmüştür. DataLoader paralelleştirme (num_workers=4) testinde ise Test Accuracy %97.38 ve Macro F1 0.9744'e ulaşılmıştır. Bu bulgu, v2 raporundaki %94.8 hedefinin attention / LSTM / focal loss bileşenleri uygulanmadan, sadece baseline + decimation konfigürasyonu ile aşılabildiğini göstermektedir.</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PTB-XL, MIT-BIH ve Chapman-Shaoxing veri setleri kullanılarak toplam 67.037 adet 12-kanal EKG kaydı toplanmış, ön işleme sonrası 62.543 kaliteli kayıt elde edilmiştir. Elde edilen sonuçlar, önerilen decimation stratejisinin çoklu-etiket kardiyak hastalık teşhisinde etkili olduğunu ve kalan iyileştirme vektörleri (attention, focal loss, adaptive threshold) için sağlam bir yeni referans sağladığını göstermektedir.</w:t>
            </w:r>
          </w:p>
          <w:p>
            <w:r>
              <w:rPr>
                <w:rFonts w:ascii="Times New Roman" w:hAnsi="Times New Roman" w:cs="Times New Roman" w:eastAsia="Times New Roman"/>
                <w:b w:val="0"/>
                <w:sz w:val="22"/>
              </w:rPr>
            </w:r>
          </w:p>
        </w:tc>
      </w:tr>
      <w:tr>
        <w:trPr>
          <w:trHeight w:val="517" w:hRule="atLeast"/>
        </w:trPr>
        <w:tc>
          <w:tcPr>
            <w:tcW w:w="9575" w:type="dxa"/>
            <w:tcBorders/>
          </w:tcPr>
          <w:p>
            <w:pPr>
              <w:jc w:val="both"/>
            </w:pPr>
            <w:r>
              <w:rPr>
                <w:rFonts w:ascii="Times New Roman" w:hAnsi="Times New Roman" w:cs="Times New Roman" w:eastAsia="Times New Roman"/>
                <w:b w:val="0"/>
                <w:sz w:val="22"/>
              </w:rPr>
              <w:t>Anahtar Kelimeler: EKG analizi, derin öğrenme, kardiyak hastalık teşhisi, sinyal zenginleştirme, destek düğüm yöntemi, 1D-CNN, anti-aliased decimation, aritmia tespiti</w:t>
            </w:r>
          </w:p>
        </w:tc>
      </w:tr>
    </w:tbl>
    <w:p>
      <w:pPr>
        <w:sectPr>
          <w:headerReference w:type="default" r:id="rId9"/>
          <w:headerReference w:type="first" r:id="rId10"/>
          <w:footerReference w:type="default" r:id="rId11"/>
          <w:footerReference w:type="first" r:id="rId12"/>
          <w:type w:val="nextPage"/>
          <w:pgSz w:w="11906" w:h="16838"/>
          <w:pgMar w:left="1418" w:right="1134" w:gutter="0" w:header="709" w:top="766" w:footer="709" w:bottom="766"/>
          <w:pgNumType w:fmt="decimal"/>
          <w:formProt w:val="false"/>
          <w:textDirection w:val="lrTb"/>
          <w:docGrid w:type="default" w:linePitch="360" w:charSpace="0"/>
        </w:sectPr>
      </w:pPr>
    </w:p>
    <w:tbl>
      <w:tblPr>
        <w:tblStyle w:val="TabloKlavuzuAk"/>
        <w:tblW w:w="9344"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44"/>
      </w:tblGrid>
      <w:tr>
        <w:trPr/>
        <w:tc>
          <w:tcPr>
            <w:tcW w:w="9344" w:type="dxa"/>
            <w:tcBorders/>
          </w:tcPr>
          <w:p>
            <w:pPr>
              <w:pStyle w:val="Normal"/>
              <w:widowControl/>
              <w:spacing w:before="0" w:after="0"/>
              <w:jc w:val="left"/>
              <w:rPr>
                <w:b/>
                <w:bCs/>
                <w:color w:val="000000"/>
                <w:sz w:val="22"/>
                <w:szCs w:val="22"/>
              </w:rPr>
            </w:pPr>
            <w:r>
              <w:rPr>
                <w:rFonts w:eastAsia="Times New Roman" w:cs="Times New Roman"/>
                <w:b/>
                <w:bCs/>
                <w:color w:val="000000"/>
                <w:kern w:val="0"/>
                <w:sz w:val="22"/>
                <w:szCs w:val="22"/>
                <w:lang w:bidi="ar-SA"/>
              </w:rPr>
              <w:t xml:space="preserve">2. RAPOR DÖNEMİNE AİT GELİŞMELER ve ELDE EDİLEN BULGULAR </w:t>
            </w:r>
          </w:p>
          <w:p>
            <w:pPr>
              <w:pStyle w:val="Normal"/>
              <w:widowControl/>
              <w:spacing w:before="0" w:after="0"/>
              <w:jc w:val="left"/>
              <w:rPr>
                <w:i/>
                <w:i/>
                <w:sz w:val="22"/>
                <w:szCs w:val="22"/>
              </w:rPr>
            </w:pPr>
            <w:r>
              <w:rPr>
                <w:rFonts w:eastAsia="Times New Roman" w:cs="Times New Roman"/>
                <w:i/>
                <w:color w:val="000000"/>
                <w:kern w:val="0"/>
                <w:sz w:val="22"/>
                <w:szCs w:val="22"/>
                <w:lang w:bidi="ar-SA"/>
              </w:rPr>
              <w:t>Bu ara rapor döneminde sağlanan gelişmeler ve elde edilen bulgular kısaca açıklanmalıdır.</w:t>
            </w:r>
          </w:p>
        </w:tc>
      </w:tr>
      <w:tr>
        <w:trPr/>
        <w:tc>
          <w:tcPr>
            <w:tcW w:w="9344" w:type="dxa"/>
            <w:tcBorders/>
          </w:tcPr>
          <w:p>
            <w:pPr>
              <w:jc w:val="left"/>
            </w:pPr>
            <w:r>
              <w:rPr>
                <w:rFonts w:ascii="Times New Roman" w:hAnsi="Times New Roman" w:cs="Times New Roman" w:eastAsia="Times New Roman"/>
                <w:b/>
                <w:sz w:val="22"/>
              </w:rPr>
              <w:t>2.1 Veri Toplama ve Ön İşleme</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Çalışmada üç ana veri seti kullanılmıştır: PTB-XL (21.837 kayıt), Chapman-Shaoxing (45.152 kayıt) ve MIT-BIH Arrhythmia (48 kayıt). Tüm sinyaller 500 Hz'e standardize edilmiş, 0.5-150 Hz Butterworth 4. derece band-pass + 50 Hz notch + 0.5 Hz HP baseline-wander giderimi uygulanmıştır. Düşük kaliteli kayıtlar (%6.7) elenmiş, 62.543 kaliteli kayıt korunmuştur.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2.2 Girdi Sinyal Uzunluğu Deneyleri (Bahar 2026)</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Bahar dönemi, v3 raporundaki kök-sebep analizi üzerine kurulu dört ayrı baseline koşusuyla geçmiştir. Aşağıdaki tablo üç ana konfigürasyonun ve ek DataLoader paralelleştirme deneyinin sonuçlarını özetlemektedir.</w:t>
            </w:r>
          </w:p>
          <w:p>
            <w:pPr>
              <w:jc w:val="both"/>
            </w:pPr>
            <w:r>
              <w:rPr>
                <w:rFonts w:ascii="Times New Roman" w:hAnsi="Times New Roman" w:cs="Times New Roman" w:eastAsia="Times New Roman"/>
                <w:b w:val="0"/>
                <w:sz w:val="22"/>
              </w:rPr>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2.3 Sınıf Bazlı Kök-Sebep Analizi</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len=5000 baseline'ında 78 sınıftan 11'inde F1 &lt; 0.60 tespit edilmişti (en kritik: Left Ventricular Hypertrophy F1=0.022). len=500 decimation deneyinde bu sınıfların büyük çoğunluğu F1 &gt; 0.98'e çıkmış; Atrioventricular block 0.324 → 0.984; ECG: atrial fibrillation 0.436 → ≥0.95'e ulaşmıştır. Kök sebep: 5000 örnek uzunluğunda CNN'in receptive field ve parametre verimliliği QRS morfolojisini yakalamak için optimal değildir; anti-aliased decimation bu sorunu doğrudan çözmüştür.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2.4 Destek Düğüm Yöntemi ile Sinyal Zenginleştirme</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Destek düğüm yöntemi, EKG'nin kritik fizyolojik noktaları (P, QRS, T) arasına cubic spline interpolasyon ile yeni düğümler ekleyerek fizyolojik olarak tutarlı sentetik sinyaller üretmektedir. Bu dönem elde edilen önemli bulgu: destek düğüm yönteminin niyeti (5000 örnek 1D-CNN için fazla çeşitlilik gerektiren bir temsildir) doğrulanmış; ancak CNN için spesifik implementasyonu yerine temporal sırayı koruyan anti-aliased decimation'ın daha verimli olduğu ampirik olarak görülmüştür.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2.5 Performans Sonuçları (v2 Hedeflerle Karşılaştırma)</w:t>
            </w:r>
          </w:p>
          <w:p>
            <w:r>
              <w:rPr>
                <w:rFonts w:ascii="Times New Roman" w:hAnsi="Times New Roman" w:cs="Times New Roman" w:eastAsia="Times New Roman"/>
                <w:b w:val="0"/>
                <w:sz w:val="22"/>
              </w:rPr>
            </w:r>
          </w:p>
          <w:p>
            <w:pPr>
              <w:jc w:val="both"/>
            </w:pPr>
            <w:r>
              <w:rPr>
                <w:rFonts w:ascii="Times New Roman" w:hAnsi="Times New Roman" w:cs="Times New Roman" w:eastAsia="Times New Roman"/>
                <w:b w:val="0"/>
                <w:sz w:val="22"/>
              </w:rPr>
              <w:t>- v2 raporunda hedeflenen: Accuracy %94.8, F1 0.936, AUC 0.981.</w:t>
            </w:r>
          </w:p>
          <w:p>
            <w:pPr>
              <w:jc w:val="both"/>
            </w:pPr>
            <w:r>
              <w:rPr>
                <w:rFonts w:ascii="Times New Roman" w:hAnsi="Times New Roman" w:cs="Times New Roman" w:eastAsia="Times New Roman"/>
                <w:b w:val="0"/>
                <w:sz w:val="22"/>
              </w:rPr>
              <w:t>- v4 baseline + decimate-500: Accuracy %97.34, Macro F1 0.9737.</w:t>
            </w:r>
          </w:p>
          <w:p>
            <w:pPr>
              <w:jc w:val="both"/>
            </w:pPr>
            <w:r>
              <w:rPr>
                <w:rFonts w:ascii="Times New Roman" w:hAnsi="Times New Roman" w:cs="Times New Roman" w:eastAsia="Times New Roman"/>
                <w:b w:val="0"/>
                <w:sz w:val="22"/>
              </w:rPr>
              <w:t>- len=500 + 4 workers: Accuracy %97.38, Macro F1 0.9744.</w:t>
            </w:r>
          </w:p>
          <w:p>
            <w:pPr>
              <w:jc w:val="both"/>
            </w:pPr>
            <w:r>
              <w:rPr>
                <w:rFonts w:ascii="Times New Roman" w:hAnsi="Times New Roman" w:cs="Times New Roman" w:eastAsia="Times New Roman"/>
                <w:b w:val="0"/>
                <w:sz w:val="22"/>
              </w:rPr>
              <w:t>- Sonuç: v2 hedefi, tam model bileşenleri (attention, LSTM, focal loss, adaptive threshold) eklenmeden aşılmış; ek marj bu bileşenlerde korunmaktadır.</w:t>
            </w:r>
          </w:p>
          <w:p>
            <w:r>
              <w:rPr>
                <w:rFonts w:ascii="Times New Roman" w:hAnsi="Times New Roman" w:cs="Times New Roman" w:eastAsia="Times New Roman"/>
                <w:b w:val="0"/>
                <w:sz w:val="22"/>
              </w:rPr>
            </w:r>
          </w:p>
          <w:p>
            <w:pPr>
              <w:jc w:val="left"/>
            </w:pPr>
            <w:r>
              <w:rPr>
                <w:rFonts w:ascii="Times New Roman" w:hAnsi="Times New Roman" w:cs="Times New Roman" w:eastAsia="Times New Roman"/>
                <w:b/>
                <w:sz w:val="22"/>
              </w:rPr>
              <w:t>Tablo 1: Üç girdi uzunluğu ve DataLoader paralelleştirme deneyinin karşılaştırmalı sonuçları.</w:t>
            </w:r>
          </w:p>
          <w:p>
            <w:pPr>
              <w:jc w:val="left"/>
            </w:pPr>
            <w:r>
              <w:rPr>
                <w:rFonts w:ascii="Courier New" w:hAnsi="Courier New"/>
                <w:sz w:val="20"/>
              </w:rPr>
              <w:t>Konfigürasyon    |  Test Acc  |  Macro F1  |  Inference  |  Confidence</w:t>
            </w:r>
          </w:p>
          <w:p>
            <w:pPr>
              <w:jc w:val="left"/>
            </w:pPr>
            <w:r>
              <w:rPr>
                <w:rFonts w:ascii="Courier New" w:hAnsi="Courier New"/>
                <w:sz w:val="20"/>
              </w:rPr>
              <w:t>len=5000         |   88.43%   |   0.8713   |   89.88 ms  |   12.89%</w:t>
            </w:r>
          </w:p>
          <w:p>
            <w:pPr>
              <w:jc w:val="left"/>
            </w:pPr>
            <w:r>
              <w:rPr>
                <w:rFonts w:ascii="Courier New" w:hAnsi="Courier New"/>
                <w:sz w:val="20"/>
              </w:rPr>
              <w:t>len=1000         |   97.22%   |   0.9716   |   26.14 ms  |   68.88%</w:t>
            </w:r>
          </w:p>
          <w:p>
            <w:pPr>
              <w:jc w:val="left"/>
            </w:pPr>
            <w:r>
              <w:rPr>
                <w:rFonts w:ascii="Courier New" w:hAnsi="Courier New"/>
                <w:sz w:val="20"/>
              </w:rPr>
              <w:t>len=500          |   97.34%   |   0.9737   |   27.20 ms  |   76.23%</w:t>
            </w:r>
          </w:p>
          <w:p>
            <w:pPr>
              <w:jc w:val="left"/>
            </w:pPr>
            <w:r>
              <w:rPr>
                <w:rFonts w:ascii="Courier New" w:hAnsi="Courier New"/>
                <w:sz w:val="20"/>
              </w:rPr>
              <w:t>len=500 + 4 wrk  |   97.38%   |   0.9744   |   43.50 ms  |   69.59%</w:t>
            </w:r>
          </w:p>
          <w:p>
            <w:r>
              <w:rPr>
                <w:rFonts w:ascii="Times New Roman" w:hAnsi="Times New Roman" w:cs="Times New Roman" w:eastAsia="Times New Roman"/>
                <w:b w:val="0"/>
                <w:sz w:val="22"/>
              </w:rPr>
            </w:r>
          </w:p>
          <w:p>
            <w:pPr>
              <w:jc w:val="center"/>
            </w:pPr>
            <w:r>
              <w:drawing>
                <wp:inline xmlns:a="http://schemas.openxmlformats.org/drawingml/2006/main" xmlns:pic="http://schemas.openxmlformats.org/drawingml/2006/picture">
                  <wp:extent cx="5040000" cy="1613864"/>
                  <wp:docPr id="9" name="Picture 9"/>
                  <wp:cNvGraphicFramePr>
                    <a:graphicFrameLocks noChangeAspect="1"/>
                  </wp:cNvGraphicFramePr>
                  <a:graphic>
                    <a:graphicData uri="http://schemas.openxmlformats.org/drawingml/2006/picture">
                      <pic:pic>
                        <pic:nvPicPr>
                          <pic:cNvPr id="0" name="Figure_seq_length_comparison.png"/>
                          <pic:cNvPicPr/>
                        </pic:nvPicPr>
                        <pic:blipFill>
                          <a:blip r:embed="rId28"/>
                          <a:stretch>
                            <a:fillRect/>
                          </a:stretch>
                        </pic:blipFill>
                        <pic:spPr>
                          <a:xfrm>
                            <a:off x="0" y="0"/>
                            <a:ext cx="5040000" cy="1613864"/>
                          </a:xfrm>
                          <a:prstGeom prst="rect"/>
                        </pic:spPr>
                      </pic:pic>
                    </a:graphicData>
                  </a:graphic>
                </wp:inline>
              </w:drawing>
            </w:r>
          </w:p>
          <w:p>
            <w:pPr>
              <w:jc w:val="center"/>
            </w:pPr>
            <w:r>
              <w:rPr>
                <w:rFonts w:ascii="Times New Roman" w:hAnsi="Times New Roman" w:cs="Times New Roman" w:eastAsia="Times New Roman"/>
                <w:b w:val="0"/>
                <w:i/>
                <w:sz w:val="20"/>
              </w:rPr>
              <w:t>Şekil 1: Giriş sinyal uzunluğunun baseline 1D-CNN performansına etkisi</w:t>
            </w:r>
          </w:p>
          <w:p>
            <w:r>
              <w:rPr>
                <w:rFonts w:ascii="Times New Roman" w:hAnsi="Times New Roman" w:cs="Times New Roman" w:eastAsia="Times New Roman"/>
                <w:b w:val="0"/>
                <w:sz w:val="22"/>
              </w:rPr>
            </w:r>
          </w:p>
          <w:p>
            <w:pPr>
              <w:jc w:val="center"/>
            </w:pPr>
            <w:r>
              <w:drawing>
                <wp:inline xmlns:a="http://schemas.openxmlformats.org/drawingml/2006/main" xmlns:pic="http://schemas.openxmlformats.org/drawingml/2006/picture">
                  <wp:extent cx="5040000" cy="3360000"/>
                  <wp:docPr id="10" name="Picture 10"/>
                  <wp:cNvGraphicFramePr>
                    <a:graphicFrameLocks noChangeAspect="1"/>
                  </wp:cNvGraphicFramePr>
                  <a:graphic>
                    <a:graphicData uri="http://schemas.openxmlformats.org/drawingml/2006/picture">
                      <pic:pic>
                        <pic:nvPicPr>
                          <pic:cNvPr id="0" name="Figure_1.png"/>
                          <pic:cNvPicPr/>
                        </pic:nvPicPr>
                        <pic:blipFill>
                          <a:blip r:embed="rId29"/>
                          <a:stretch>
                            <a:fillRect/>
                          </a:stretch>
                        </pic:blipFill>
                        <pic:spPr>
                          <a:xfrm>
                            <a:off x="0" y="0"/>
                            <a:ext cx="5040000" cy="3360000"/>
                          </a:xfrm>
                          <a:prstGeom prst="rect"/>
                        </pic:spPr>
                      </pic:pic>
                    </a:graphicData>
                  </a:graphic>
                </wp:inline>
              </w:drawing>
            </w:r>
          </w:p>
          <w:p>
            <w:pPr>
              <w:jc w:val="center"/>
            </w:pPr>
            <w:r>
              <w:rPr>
                <w:rFonts w:ascii="Times New Roman" w:hAnsi="Times New Roman" w:cs="Times New Roman" w:eastAsia="Times New Roman"/>
                <w:b w:val="0"/>
                <w:i/>
                <w:sz w:val="20"/>
              </w:rPr>
              <w:t>Şekil 2: len=5000 baseline training history</w:t>
            </w:r>
          </w:p>
          <w:p>
            <w:r>
              <w:rPr>
                <w:rFonts w:ascii="Times New Roman" w:hAnsi="Times New Roman" w:cs="Times New Roman" w:eastAsia="Times New Roman"/>
                <w:b w:val="0"/>
                <w:sz w:val="22"/>
              </w:rPr>
            </w:r>
          </w:p>
          <w:p>
            <w:pPr>
              <w:jc w:val="center"/>
            </w:pPr>
            <w:r>
              <w:drawing>
                <wp:inline xmlns:a="http://schemas.openxmlformats.org/drawingml/2006/main" xmlns:pic="http://schemas.openxmlformats.org/drawingml/2006/picture">
                  <wp:extent cx="5040000" cy="8372093"/>
                  <wp:docPr id="11" name="Picture 11"/>
                  <wp:cNvGraphicFramePr>
                    <a:graphicFrameLocks noChangeAspect="1"/>
                  </wp:cNvGraphicFramePr>
                  <a:graphic>
                    <a:graphicData uri="http://schemas.openxmlformats.org/drawingml/2006/picture">
                      <pic:pic>
                        <pic:nvPicPr>
                          <pic:cNvPr id="0" name="Figure_1000.png"/>
                          <pic:cNvPicPr/>
                        </pic:nvPicPr>
                        <pic:blipFill>
                          <a:blip r:embed="rId30"/>
                          <a:stretch>
                            <a:fillRect/>
                          </a:stretch>
                        </pic:blipFill>
                        <pic:spPr>
                          <a:xfrm>
                            <a:off x="0" y="0"/>
                            <a:ext cx="5040000" cy="8372093"/>
                          </a:xfrm>
                          <a:prstGeom prst="rect"/>
                        </pic:spPr>
                      </pic:pic>
                    </a:graphicData>
                  </a:graphic>
                </wp:inline>
              </w:drawing>
            </w:r>
          </w:p>
          <w:p>
            <w:pPr>
              <w:jc w:val="center"/>
            </w:pPr>
            <w:r>
              <w:rPr>
                <w:rFonts w:ascii="Times New Roman" w:hAnsi="Times New Roman" w:cs="Times New Roman" w:eastAsia="Times New Roman"/>
                <w:b w:val="0"/>
                <w:i/>
                <w:sz w:val="20"/>
              </w:rPr>
              <w:t>Şekil 3: len=1000 training history</w:t>
            </w:r>
          </w:p>
          <w:p>
            <w:r>
              <w:rPr>
                <w:rFonts w:ascii="Times New Roman" w:hAnsi="Times New Roman" w:cs="Times New Roman" w:eastAsia="Times New Roman"/>
                <w:b w:val="0"/>
                <w:sz w:val="22"/>
              </w:rPr>
            </w:r>
          </w:p>
          <w:p>
            <w:pPr>
              <w:jc w:val="center"/>
            </w:pPr>
            <w:r>
              <w:drawing>
                <wp:inline xmlns:a="http://schemas.openxmlformats.org/drawingml/2006/main" xmlns:pic="http://schemas.openxmlformats.org/drawingml/2006/picture">
                  <wp:extent cx="5040000" cy="2526713"/>
                  <wp:docPr id="12" name="Picture 12"/>
                  <wp:cNvGraphicFramePr>
                    <a:graphicFrameLocks noChangeAspect="1"/>
                  </wp:cNvGraphicFramePr>
                  <a:graphic>
                    <a:graphicData uri="http://schemas.openxmlformats.org/drawingml/2006/picture">
                      <pic:pic>
                        <pic:nvPicPr>
                          <pic:cNvPr id="0" name="Figure_1_500.png"/>
                          <pic:cNvPicPr/>
                        </pic:nvPicPr>
                        <pic:blipFill>
                          <a:blip r:embed="rId31"/>
                          <a:stretch>
                            <a:fillRect/>
                          </a:stretch>
                        </pic:blipFill>
                        <pic:spPr>
                          <a:xfrm>
                            <a:off x="0" y="0"/>
                            <a:ext cx="5040000" cy="2526713"/>
                          </a:xfrm>
                          <a:prstGeom prst="rect"/>
                        </pic:spPr>
                      </pic:pic>
                    </a:graphicData>
                  </a:graphic>
                </wp:inline>
              </w:drawing>
            </w:r>
          </w:p>
          <w:p>
            <w:pPr>
              <w:jc w:val="center"/>
            </w:pPr>
            <w:r>
              <w:rPr>
                <w:rFonts w:ascii="Times New Roman" w:hAnsi="Times New Roman" w:cs="Times New Roman" w:eastAsia="Times New Roman"/>
                <w:b w:val="0"/>
                <w:i/>
                <w:sz w:val="20"/>
              </w:rPr>
              <w:t>Şekil 4: len=500 training history</w:t>
            </w:r>
          </w:p>
          <w:p>
            <w:r>
              <w:rPr>
                <w:rFonts w:ascii="Times New Roman" w:hAnsi="Times New Roman" w:cs="Times New Roman" w:eastAsia="Times New Roman"/>
                <w:b w:val="0"/>
                <w:sz w:val="22"/>
              </w:rPr>
            </w:r>
          </w:p>
          <w:p>
            <w:pPr>
              <w:jc w:val="center"/>
            </w:pPr>
            <w:r>
              <w:drawing>
                <wp:inline xmlns:a="http://schemas.openxmlformats.org/drawingml/2006/main" xmlns:pic="http://schemas.openxmlformats.org/drawingml/2006/picture">
                  <wp:extent cx="5040000" cy="3360000"/>
                  <wp:docPr id="13" name="Picture 13"/>
                  <wp:cNvGraphicFramePr>
                    <a:graphicFrameLocks noChangeAspect="1"/>
                  </wp:cNvGraphicFramePr>
                  <a:graphic>
                    <a:graphicData uri="http://schemas.openxmlformats.org/drawingml/2006/picture">
                      <pic:pic>
                        <pic:nvPicPr>
                          <pic:cNvPr id="0" name="Figure_500_4_worker.png"/>
                          <pic:cNvPicPr/>
                        </pic:nvPicPr>
                        <pic:blipFill>
                          <a:blip r:embed="rId32"/>
                          <a:stretch>
                            <a:fillRect/>
                          </a:stretch>
                        </pic:blipFill>
                        <pic:spPr>
                          <a:xfrm>
                            <a:off x="0" y="0"/>
                            <a:ext cx="5040000" cy="3360000"/>
                          </a:xfrm>
                          <a:prstGeom prst="rect"/>
                        </pic:spPr>
                      </pic:pic>
                    </a:graphicData>
                  </a:graphic>
                </wp:inline>
              </w:drawing>
            </w:r>
          </w:p>
          <w:p>
            <w:pPr>
              <w:jc w:val="center"/>
            </w:pPr>
            <w:r>
              <w:rPr>
                <w:rFonts w:ascii="Times New Roman" w:hAnsi="Times New Roman" w:cs="Times New Roman" w:eastAsia="Times New Roman"/>
                <w:b w:val="0"/>
                <w:i/>
                <w:sz w:val="20"/>
              </w:rPr>
              <w:t>Şekil 5: len=500 + 4 DataLoader workers training history</w:t>
            </w:r>
          </w:p>
          <w:p>
            <w:r>
              <w:rPr>
                <w:rFonts w:ascii="Times New Roman" w:hAnsi="Times New Roman" w:cs="Times New Roman" w:eastAsia="Times New Roman"/>
                <w:b w:val="0"/>
                <w:sz w:val="22"/>
              </w:rPr>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3. AMAÇ</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Tez konusu önerisinde verilen amaçlar ve erişilmek istenen sonuçlara göre bu ara rapor döneminde amaçlara ulaşmada değişiklik var mı? Varsa nedenleri açık olarak yazılmalıdır.</w:t>
            </w:r>
          </w:p>
        </w:tc>
      </w:tr>
      <w:tr>
        <w:trPr/>
        <w:tc>
          <w:tcPr>
            <w:tcW w:w="9344" w:type="dxa"/>
            <w:tcBorders/>
          </w:tcPr>
          <w:p>
            <w:pPr>
              <w:jc w:val="both"/>
            </w:pPr>
            <w:r>
              <w:rPr>
                <w:rFonts w:ascii="Times New Roman" w:hAnsi="Times New Roman" w:cs="Times New Roman" w:eastAsia="Times New Roman"/>
                <w:b w:val="0"/>
                <w:sz w:val="22"/>
              </w:rPr>
              <w:t>Tez önerisinde belirlenen temel amaç, 12 kanallı EKG sinyallerinden kardiyak hastalıkların otomatik ve yüksek doğrulukla teşhis edilmesini sağlayan bir derin öğrenme sistemi geliştirmektir.</w:t>
            </w:r>
          </w:p>
          <w:p>
            <w:pPr>
              <w:jc w:val="both"/>
            </w:pPr>
            <w:r>
              <w:rPr>
                <w:rFonts w:ascii="Times New Roman" w:hAnsi="Times New Roman" w:cs="Times New Roman" w:eastAsia="Times New Roman"/>
                <w:b w:val="0"/>
                <w:sz w:val="22"/>
              </w:rPr>
              <w:t>Bu hedef doğrultusunda aşağıdaki spesifik amaçlar belirlenmiştir:</w:t>
            </w:r>
          </w:p>
          <w:p>
            <w:pPr>
              <w:jc w:val="both"/>
            </w:pPr>
            <w:r>
              <w:rPr>
                <w:rFonts w:ascii="Times New Roman" w:hAnsi="Times New Roman" w:cs="Times New Roman" w:eastAsia="Times New Roman"/>
                <w:b w:val="0"/>
                <w:sz w:val="22"/>
              </w:rPr>
              <w:t>- Yüksek Doğruluklu Teşhis: En az %90 doğruluk — Bahar 2026 sonunda %97.34 ile aşılmıştır.</w:t>
            </w:r>
          </w:p>
          <w:p>
            <w:pPr>
              <w:jc w:val="both"/>
            </w:pPr>
            <w:r>
              <w:rPr>
                <w:rFonts w:ascii="Times New Roman" w:hAnsi="Times New Roman" w:cs="Times New Roman" w:eastAsia="Times New Roman"/>
                <w:b w:val="0"/>
                <w:sz w:val="22"/>
              </w:rPr>
              <w:t>- Çoklu Hastalık Tespiti: 78 sınıflı multi-label çıktı ile sağlanmaktadır.</w:t>
            </w:r>
          </w:p>
          <w:p>
            <w:pPr>
              <w:jc w:val="both"/>
            </w:pPr>
            <w:r>
              <w:rPr>
                <w:rFonts w:ascii="Times New Roman" w:hAnsi="Times New Roman" w:cs="Times New Roman" w:eastAsia="Times New Roman"/>
                <w:b w:val="0"/>
                <w:sz w:val="22"/>
              </w:rPr>
              <w:t>- Sınırlı Veri ile Performans: Destek düğüm augmentation + anti-aliased decimation kombinasyonu.</w:t>
            </w:r>
          </w:p>
          <w:p>
            <w:pPr>
              <w:jc w:val="both"/>
            </w:pPr>
            <w:r>
              <w:rPr>
                <w:rFonts w:ascii="Times New Roman" w:hAnsi="Times New Roman" w:cs="Times New Roman" w:eastAsia="Times New Roman"/>
                <w:b w:val="0"/>
                <w:sz w:val="22"/>
              </w:rPr>
              <w:t>- Gerçek-Zamanlı İşleme: Klinik kullanıma uygun (&lt; 1 saniye) — len=500 ile 27.20 ms'de sağlandı.</w:t>
            </w:r>
          </w:p>
          <w:p>
            <w:pPr>
              <w:jc w:val="both"/>
            </w:pPr>
            <w:r>
              <w:rPr>
                <w:rFonts w:ascii="Times New Roman" w:hAnsi="Times New Roman" w:cs="Times New Roman" w:eastAsia="Times New Roman"/>
                <w:b w:val="0"/>
                <w:sz w:val="22"/>
              </w:rPr>
              <w:t>- Açıklanabilir Yapay Zeka: attention, GradCAM ve SHAP sonraki döneme planlanmıştır.</w:t>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4. KONU ve KAPSAM</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Tez konusu önerisinde verilen çalışmanın kapsamı planlandığı şekilde ve öneriye uygun mu? Ara rapor döneminde elde edilen verilere göre çalışma kapsamı amaca ulaşmak için yeterli mi?</w:t>
            </w:r>
          </w:p>
        </w:tc>
      </w:tr>
      <w:tr>
        <w:trPr/>
        <w:tc>
          <w:tcPr>
            <w:tcW w:w="9344" w:type="dxa"/>
            <w:tcBorders/>
          </w:tcPr>
          <w:p>
            <w:pPr>
              <w:jc w:val="both"/>
            </w:pPr>
            <w:r>
              <w:rPr>
                <w:rFonts w:ascii="Times New Roman" w:hAnsi="Times New Roman" w:cs="Times New Roman" w:eastAsia="Times New Roman"/>
                <w:b w:val="0"/>
                <w:sz w:val="22"/>
              </w:rPr>
              <w:t>Tez konusu önerisinde belirlenen çalışmanın kapsamı, planlandığı şekilde ve öneriye uygun olarak ilerlemektedir.</w:t>
            </w:r>
          </w:p>
          <w:p>
            <w:pPr>
              <w:jc w:val="both"/>
            </w:pPr>
            <w:r>
              <w:rPr>
                <w:rFonts w:ascii="Times New Roman" w:hAnsi="Times New Roman" w:cs="Times New Roman" w:eastAsia="Times New Roman"/>
                <w:b w:val="0"/>
                <w:sz w:val="22"/>
              </w:rPr>
              <w:t>Ara Rapora Kadar Gerçekleştirilen:</w:t>
            </w:r>
          </w:p>
          <w:p>
            <w:pPr>
              <w:jc w:val="both"/>
            </w:pPr>
            <w:r>
              <w:rPr>
                <w:rFonts w:ascii="Times New Roman" w:hAnsi="Times New Roman" w:cs="Times New Roman" w:eastAsia="Times New Roman"/>
                <w:b w:val="0"/>
                <w:sz w:val="22"/>
              </w:rPr>
              <w:t>- PTB-XL, Chapman-Shaoxing ve MIT-BIH veri setleri toplandı.</w:t>
            </w:r>
          </w:p>
          <w:p>
            <w:pPr>
              <w:jc w:val="both"/>
            </w:pPr>
            <w:r>
              <w:rPr>
                <w:rFonts w:ascii="Times New Roman" w:hAnsi="Times New Roman" w:cs="Times New Roman" w:eastAsia="Times New Roman"/>
                <w:b w:val="0"/>
                <w:sz w:val="22"/>
              </w:rPr>
              <w:t>- EKG sinyal ön işleme pipeline'ı oluşturuldu (anti-aliased decimation dahil).</w:t>
            </w:r>
          </w:p>
          <w:p>
            <w:pPr>
              <w:jc w:val="both"/>
            </w:pPr>
            <w:r>
              <w:rPr>
                <w:rFonts w:ascii="Times New Roman" w:hAnsi="Times New Roman" w:cs="Times New Roman" w:eastAsia="Times New Roman"/>
                <w:b w:val="0"/>
                <w:sz w:val="22"/>
              </w:rPr>
              <w:t>- 1D-CNN baseline üç farklı girdi uzunluğunda (5000/1000/500) eğitildi.</w:t>
            </w:r>
          </w:p>
          <w:p>
            <w:pPr>
              <w:jc w:val="both"/>
            </w:pPr>
            <w:r>
              <w:rPr>
                <w:rFonts w:ascii="Times New Roman" w:hAnsi="Times New Roman" w:cs="Times New Roman" w:eastAsia="Times New Roman"/>
                <w:b w:val="0"/>
                <w:sz w:val="22"/>
              </w:rPr>
              <w:t>- Destek düğüm yöntemi augmentation teknikleri implement edildi.</w:t>
            </w:r>
          </w:p>
          <w:p>
            <w:pPr>
              <w:jc w:val="both"/>
            </w:pPr>
            <w:r>
              <w:rPr>
                <w:rFonts w:ascii="Times New Roman" w:hAnsi="Times New Roman" w:cs="Times New Roman" w:eastAsia="Times New Roman"/>
                <w:b w:val="0"/>
                <w:sz w:val="22"/>
              </w:rPr>
              <w:t>- Baseline ve augmented modellerin karşılaştırmalı analizi tamamlandı.</w:t>
            </w:r>
          </w:p>
          <w:p>
            <w:pPr>
              <w:jc w:val="both"/>
            </w:pPr>
            <w:r>
              <w:rPr>
                <w:rFonts w:ascii="Times New Roman" w:hAnsi="Times New Roman" w:cs="Times New Roman" w:eastAsia="Times New Roman"/>
                <w:b w:val="0"/>
                <w:sz w:val="22"/>
              </w:rPr>
              <w:t>Bahar döneminde kapsama eklenen alt-başlıklar:</w:t>
            </w:r>
          </w:p>
          <w:p>
            <w:pPr>
              <w:jc w:val="both"/>
            </w:pPr>
            <w:r>
              <w:rPr>
                <w:rFonts w:ascii="Times New Roman" w:hAnsi="Times New Roman" w:cs="Times New Roman" w:eastAsia="Times New Roman"/>
                <w:b w:val="0"/>
                <w:sz w:val="22"/>
              </w:rPr>
              <w:t>- Girdi uzunluğu parametre taraması (5000/1000/500) ve anti-aliased decimation stratejisi.</w:t>
            </w:r>
          </w:p>
          <w:p>
            <w:pPr>
              <w:jc w:val="both"/>
            </w:pPr>
            <w:r>
              <w:rPr>
                <w:rFonts w:ascii="Times New Roman" w:hAnsi="Times New Roman" w:cs="Times New Roman" w:eastAsia="Times New Roman"/>
                <w:b w:val="0"/>
                <w:sz w:val="22"/>
              </w:rPr>
              <w:t>- DataLoader paralelleştirmesi ile eğitim süresi optimizasyonu.</w:t>
            </w:r>
          </w:p>
          <w:p>
            <w:pPr>
              <w:jc w:val="both"/>
            </w:pPr>
            <w:r>
              <w:rPr>
                <w:rFonts w:ascii="Times New Roman" w:hAnsi="Times New Roman" w:cs="Times New Roman" w:eastAsia="Times New Roman"/>
                <w:b w:val="0"/>
                <w:sz w:val="22"/>
              </w:rPr>
              <w:t>- Etiket dublesi haritası (78 → ~55 hedef sınıf uzayı) — uygulama bir sonraki döneme.</w:t>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kern w:val="0"/>
                <w:lang w:bidi="ar-SA"/>
              </w:rPr>
            </w:r>
          </w:p>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5. LİTERATÜR ÖZETİ</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 xml:space="preserve">Tez çalışmasında gelinen aşamaya göre kullanılan ve kullanılacak olan ulusal ve uluslararası literatürün, yapılmakta olan araştırma konusunun literatürdeki hangi boşluğu doldurduğu ortaya koymalıdır. Kaynaklar </w:t>
            </w:r>
            <w:hyperlink r:id="rId17">
              <w:r>
                <w:rPr>
                  <w:rStyle w:val="Hyperlink"/>
                  <w:rFonts w:eastAsia="Times New Roman" w:cs="Times New Roman"/>
                  <w:i/>
                  <w:color w:val="auto"/>
                  <w:kern w:val="0"/>
                  <w:sz w:val="22"/>
                  <w:szCs w:val="22"/>
                  <w:u w:val="none"/>
                  <w:lang w:bidi="ar-SA"/>
                </w:rPr>
                <w:t>KTMU</w:t>
              </w:r>
            </w:hyperlink>
            <w:r>
              <w:rPr>
                <w:rFonts w:eastAsia="Times New Roman" w:cs="Times New Roman"/>
                <w:i/>
                <w:color w:val="000000"/>
                <w:kern w:val="0"/>
                <w:sz w:val="22"/>
                <w:szCs w:val="22"/>
                <w:lang w:bidi="ar-SA"/>
              </w:rPr>
              <w:t xml:space="preserve"> SBE Tez Yazım ve Basım Yönergesindeki açıklamalara uygun bir şekilde sırası ile cümle sonlarında veya içinde parantez içinde yazarın soyadı ve yayın yılı ile belirtilip, Kaynakça kısmında açıklamalara uygun olarak sıralanmalıdır. Literatür Özetinde ve diğer kısımlarda atıf yapılmamış bir kaynak Kaynakça kısmında verilmemelidir.  </w:t>
            </w:r>
          </w:p>
        </w:tc>
      </w:tr>
      <w:tr>
        <w:trPr/>
        <w:tc>
          <w:tcPr>
            <w:tcW w:w="9344" w:type="dxa"/>
            <w:tcBorders/>
          </w:tcPr>
          <w:p>
            <w:pPr>
              <w:jc w:val="both"/>
            </w:pPr>
            <w:r>
              <w:rPr>
                <w:rFonts w:ascii="Times New Roman" w:hAnsi="Times New Roman" w:cs="Times New Roman" w:eastAsia="Times New Roman"/>
                <w:b w:val="0"/>
                <w:sz w:val="22"/>
              </w:rPr>
              <w:t>Kardiyak hastalıkların EKG tabanlı otomatik teşhisi, son yıllarda derin öğrenme ile hız kazanmıştır [1]. Rajpurkar vd. (2017) [2] ve Hannun vd. (2019) [3] kardiyolog-düzeyi performansı göstermiştir. Strodthoff vd. (2020) [12] PTB-XL üzerinde 100 Hz (1000 örnek / 10 s) konfigürasyonu ile makro-AUC 0.925 bildirerek yüksek örnekleme frekansının mutlak gerekli olmadığını göstermiştir — Bahar 2026 deneyleri bu bulguyu doğrulamaktadır.</w:t>
            </w:r>
          </w:p>
          <w:p>
            <w:pPr>
              <w:jc w:val="both"/>
            </w:pPr>
            <w:r>
              <w:rPr>
                <w:rFonts w:ascii="Times New Roman" w:hAnsi="Times New Roman" w:cs="Times New Roman" w:eastAsia="Times New Roman"/>
                <w:b w:val="0"/>
                <w:sz w:val="22"/>
              </w:rPr>
              <w:t>Veri zenginleştirme: Iwana ve Uchida (2021) [4] zaman serisi augmentation analizi sunmuş; Wang vd. (2020) [5] GAN tabanlı augmentation kullanmıştır. Chen vd. (2021) [6] fizyolojik sinyallerde adaptive support-node yaklaşımı geliştirmiş; Xu vd. (2022) [7] P, QRS ve T dalgalarının kritik noktalarına odaklanan support-guided augmentation önermiştir.</w:t>
            </w:r>
          </w:p>
          <w:p>
            <w:pPr>
              <w:jc w:val="both"/>
            </w:pPr>
            <w:r>
              <w:rPr>
                <w:rFonts w:ascii="Times New Roman" w:hAnsi="Times New Roman" w:cs="Times New Roman" w:eastAsia="Times New Roman"/>
                <w:b w:val="0"/>
                <w:sz w:val="22"/>
              </w:rPr>
              <w:t>Hibrit mimariler: Oh vd. (2018) [8] 1D-CNN + LSTM ile %94.8 doğruluk; Natarajan vd. (2020) [10] wide&amp;deep transformer ile 12-lead EKG sınıflandırması. Veri setleri: Wagner vd. (2020) [18] PTB-XL, Moody ve Mark (1983) [19] MIT-BIH, Zheng vd. (2020) [20] Chapman-Shaoxing.</w:t>
            </w:r>
          </w:p>
          <w:p>
            <w:pPr>
              <w:jc w:val="both"/>
            </w:pPr>
            <w:r>
              <w:rPr>
                <w:rFonts w:ascii="Times New Roman" w:hAnsi="Times New Roman" w:cs="Times New Roman" w:eastAsia="Times New Roman"/>
                <w:b w:val="0"/>
                <w:sz w:val="22"/>
              </w:rPr>
              <w:t>Bu tez çalışması literatürdeki dört boşluğu hedeflemektedir: (i) fizyolojik olarak anlamlı augmentation, (ii) hibrit mimarilerin attention ile optimizasyonu, (iii) çoklu-etiket performans, (iv) açıklanabilirlik. Bahar 2026 bulgusu: girdi-uzunluğu seçimi de en az augmentation kadar önemli bir tasarım parametresidir.</w:t>
            </w:r>
          </w:p>
        </w:tc>
      </w:tr>
      <w:tr>
        <w:trPr/>
        <w:tc>
          <w:tcPr>
            <w:tcW w:w="9344" w:type="dxa"/>
            <w:tcBorders/>
          </w:tcPr>
          <w:p>
            <w:pPr>
              <w:pStyle w:val="WW-NormalWeb1"/>
              <w:widowControl/>
              <w:spacing w:before="0" w:after="0"/>
              <w:jc w:val="both"/>
              <w:rPr>
                <w:b/>
                <w:bCs/>
                <w:color w:val="000000"/>
                <w:sz w:val="22"/>
                <w:szCs w:val="22"/>
              </w:rPr>
            </w:pPr>
            <w:r>
              <w:rPr>
                <w:rFonts w:eastAsia="Times New Roman" w:cs="Times New Roman"/>
                <w:b/>
                <w:bCs/>
                <w:color w:val="000000"/>
                <w:kern w:val="0"/>
                <w:sz w:val="22"/>
                <w:szCs w:val="22"/>
                <w:lang w:bidi="ar-SA"/>
              </w:rPr>
              <w:t>6. YÖNTEM</w:t>
            </w:r>
          </w:p>
          <w:p>
            <w:pPr>
              <w:pStyle w:val="WW-NormalWeb1"/>
              <w:widowControl/>
              <w:spacing w:before="0" w:after="0"/>
              <w:jc w:val="both"/>
              <w:rPr>
                <w:i/>
                <w:i/>
                <w:color w:val="000000"/>
                <w:sz w:val="22"/>
                <w:szCs w:val="22"/>
              </w:rPr>
            </w:pPr>
            <w:r>
              <w:rPr>
                <w:rFonts w:eastAsia="Times New Roman" w:cs="Times New Roman"/>
                <w:i/>
                <w:color w:val="000000"/>
                <w:kern w:val="0"/>
                <w:sz w:val="22"/>
                <w:szCs w:val="22"/>
                <w:lang w:bidi="ar-SA"/>
              </w:rPr>
              <w:t>Tezde takip edilen araştırmanın tasarımı/yaklaşımları ile uyumlu olarak incelenmek üzere seçilen parametreler/değişkenler sıralanmalı ve amaç ve kapsamla uyumlu olması da gereken bu parametreler/değişkenlerin incelenmesi için uygulanacak yöntem ile kullanılacak materyal/veriler net bir biçimde tanımlanmalıdır. Daha önce ve bu ara rapor döneminde yapılmış ölçümler (ya da derlenecek veriler), kurulan ilişkiler ayrıntılı biçimde anlatılmalıdır. Çalışma amaçlarına ulaşmada yöntemlerde bir değişiklik gerekiyorsa nedenleriyle birlikte açıklanmalıdır.</w:t>
            </w:r>
          </w:p>
        </w:tc>
      </w:tr>
      <w:tr>
        <w:trPr/>
        <w:tc>
          <w:tcPr>
            <w:tcW w:w="9344" w:type="dxa"/>
            <w:tcBorders/>
          </w:tcPr>
          <w:p>
            <w:pPr>
              <w:jc w:val="both"/>
            </w:pPr>
            <w:r>
              <w:rPr>
                <w:rFonts w:ascii="Times New Roman" w:hAnsi="Times New Roman" w:cs="Times New Roman" w:eastAsia="Times New Roman"/>
                <w:b w:val="0"/>
                <w:sz w:val="22"/>
              </w:rPr>
              <w:t>6.1. Araştırma Tasarımı — Çalışma, deneysel ve karşılaştırmalı analiz yaklaşımı ile tasarlanmıştır. Farklı derin öğrenme mimarileri, augmentation teknikleri ve girdi uzunluğu konfigürasyonları sistematik olarak karşılaştırılmıştır.</w:t>
            </w:r>
          </w:p>
          <w:p>
            <w:pPr>
              <w:jc w:val="both"/>
            </w:pPr>
            <w:r>
              <w:rPr>
                <w:rFonts w:ascii="Times New Roman" w:hAnsi="Times New Roman" w:cs="Times New Roman" w:eastAsia="Times New Roman"/>
                <w:b w:val="0"/>
                <w:sz w:val="22"/>
              </w:rPr>
              <w:t>6.2. Veri Setleri — PTB-XL, MIT-BIH, Chapman-Shaoxing. Bölme: Train 68%, Validation 12%, Test 20% (stratified). Bahar 2026 eksperimentlerinde Chapman-Shaoxing 45.152 kayıt odak olarak kullanılmıştır.</w:t>
            </w:r>
          </w:p>
          <w:p>
            <w:pPr>
              <w:jc w:val="both"/>
            </w:pPr>
            <w:r>
              <w:rPr>
                <w:rFonts w:ascii="Times New Roman" w:hAnsi="Times New Roman" w:cs="Times New Roman" w:eastAsia="Times New Roman"/>
                <w:b w:val="0"/>
                <w:sz w:val="22"/>
              </w:rPr>
              <w:t>6.3. Sinyal Ön İşleme — (1) Yeniden örnekleme 500 Hz, sinc interpolasyon; (2) 0.5-150 Hz BP + 50 Hz notch + 0.5 Hz HP; (3) Z-score + ±3σ clipping; (4) 10 saniyelik segmentasyon [12 kanal × 5000 numune]; (5) SQI &lt; 0.85 filtreleme; (6) YENİ: Anti-aliased decimation — scipy.signal.decimate(x, factor, ftype='iir', order=8). factor=5 → 5000/1000 veya factor=10 → 5000/500.</w:t>
            </w:r>
          </w:p>
          <w:p>
            <w:pPr>
              <w:jc w:val="both"/>
            </w:pPr>
            <w:r>
              <w:rPr>
                <w:rFonts w:ascii="Times New Roman" w:hAnsi="Times New Roman" w:cs="Times New Roman" w:eastAsia="Times New Roman"/>
                <w:b w:val="0"/>
                <w:sz w:val="22"/>
              </w:rPr>
              <w:t>6.4. Destek Düğüm Yöntemi — Pan-Tompkins ile R-peak, P ve T dalgası tespiti; cubic spline interpolasyon; fizyolojik constraint'ler. Sınıf başına 4500 örnek hedefi.</w:t>
            </w:r>
          </w:p>
          <w:p>
            <w:pPr>
              <w:jc w:val="both"/>
            </w:pPr>
            <w:r>
              <w:rPr>
                <w:rFonts w:ascii="Times New Roman" w:hAnsi="Times New Roman" w:cs="Times New Roman" w:eastAsia="Times New Roman"/>
                <w:b w:val="0"/>
                <w:sz w:val="22"/>
              </w:rPr>
              <w:t>6.5. Derin Öğrenme Model Mimarisi — Bahar 2026 eksperimentlerinde kullanılan: Baseline 1D-CNN (Model 1). 5 konvolüsyon + BatchNorm + ReLU + MaxPool + GlobalAvgPool + 2 Dense + Dropout 0.5. Parametre sayısı girdi uzunluğuna göre değişmektedir (len=5000: 3.72M). Attention + LSTM + focal loss bir sonraki dönem için planlanmıştır.</w:t>
            </w:r>
          </w:p>
          <w:p>
            <w:pPr>
              <w:jc w:val="both"/>
            </w:pPr>
            <w:r>
              <w:rPr>
                <w:rFonts w:ascii="Times New Roman" w:hAnsi="Times New Roman" w:cs="Times New Roman" w:eastAsia="Times New Roman"/>
                <w:b w:val="0"/>
                <w:sz w:val="22"/>
              </w:rPr>
              <w:t>6.6. Eğitim Konfigürasyonu — Adam (β1=0.9, β2=0.999), LR 1e-3, ReduceLROnPlateau (factor=0.5, patience=5), batch size 64, max 100 epoch, EarlyStopping (patience=10). Loss: BCE (multi-label), inverse-frequency class weights. Dropout 0.3-0.5, L2 λ=1e-4. Eğitim: NVIDIA RTX 5090, AMP (FP16).</w:t>
            </w:r>
          </w:p>
          <w:p>
            <w:pPr>
              <w:jc w:val="both"/>
            </w:pPr>
            <w:r>
              <w:rPr>
                <w:rFonts w:ascii="Times New Roman" w:hAnsi="Times New Roman" w:cs="Times New Roman" w:eastAsia="Times New Roman"/>
                <w:b w:val="0"/>
                <w:sz w:val="22"/>
              </w:rPr>
              <w:t>6.7. Değerlendirme Metrikleri — Accuracy, Precision, Recall, Specificity, F1-score, AUC-ROC, AUC-PR. Çoklu-etiket: Macro/Micro F1, Hamming loss. Ek olarak tekil test örneği üzerinde inference süresi ve softmax confidence ölçülmüştür.</w:t>
            </w:r>
          </w:p>
        </w:tc>
      </w:tr>
      <w:tr>
        <w:trPr/>
        <w:tc>
          <w:tcPr>
            <w:tcW w:w="9344" w:type="dxa"/>
            <w:tcBorders/>
          </w:tcPr>
          <w:p>
            <w:pPr>
              <w:pStyle w:val="WW-NormalWeb1"/>
              <w:widowControl/>
              <w:spacing w:before="0" w:after="0"/>
              <w:jc w:val="both"/>
              <w:rPr>
                <w:b/>
                <w:bCs/>
                <w:sz w:val="22"/>
                <w:szCs w:val="22"/>
              </w:rPr>
            </w:pPr>
            <w:r>
              <w:rPr>
                <w:rFonts w:eastAsia="Times New Roman" w:cs="Times New Roman"/>
                <w:b/>
                <w:bCs/>
                <w:kern w:val="0"/>
                <w:sz w:val="22"/>
                <w:szCs w:val="22"/>
                <w:lang w:bidi="ar-SA"/>
              </w:rPr>
              <w:t>7. ÇALIŞMA TAKVİMİ</w:t>
            </w:r>
          </w:p>
          <w:p>
            <w:pPr>
              <w:pStyle w:val="WW-NormalWeb1"/>
              <w:widowControl/>
              <w:spacing w:before="0" w:after="0"/>
              <w:jc w:val="both"/>
              <w:rPr>
                <w:b/>
                <w:bCs/>
                <w:i/>
                <w:i/>
                <w:sz w:val="22"/>
                <w:szCs w:val="22"/>
              </w:rPr>
            </w:pPr>
            <w:r>
              <w:rPr>
                <w:rFonts w:eastAsia="Times New Roman" w:cs="Times New Roman"/>
                <w:i/>
                <w:kern w:val="0"/>
                <w:sz w:val="22"/>
                <w:szCs w:val="22"/>
                <w:lang w:bidi="ar-SA"/>
              </w:rPr>
              <w:t xml:space="preserve">Tez çalışmalarının, tez önerisinde yer alan başlıca taslak plana (ana bölümler ve alt bölümler) göre önerilen zamanlamanın plana uygun gidip gitmediği, gitmediyse nedenleri ve çözümleri verilmelidir. </w:t>
            </w:r>
          </w:p>
        </w:tc>
      </w:tr>
      <w:tr>
        <w:trPr/>
        <w:tc>
          <w:tcPr>
            <w:tcW w:w="9344" w:type="dxa"/>
            <w:tcBorders/>
          </w:tcPr>
          <w:p>
            <w:pPr>
              <w:jc w:val="both"/>
            </w:pPr>
            <w:r>
              <w:rPr>
                <w:rFonts w:ascii="Times New Roman" w:hAnsi="Times New Roman" w:cs="Times New Roman" w:eastAsia="Times New Roman"/>
                <w:b w:val="0"/>
                <w:sz w:val="22"/>
              </w:rPr>
              <w:t>Tez çalışmaları 32 haftalık (8 aylık, 2 dönem) planlanmıştır. Güncel durum:</w:t>
            </w:r>
          </w:p>
          <w:p>
            <w:pPr>
              <w:jc w:val="both"/>
            </w:pPr>
            <w:r>
              <w:rPr>
                <w:rFonts w:ascii="Times New Roman" w:hAnsi="Times New Roman" w:cs="Times New Roman" w:eastAsia="Times New Roman"/>
                <w:b w:val="0"/>
                <w:sz w:val="22"/>
              </w:rPr>
              <w:t>DÖNEM 1 — Güz 2025 (Hafta 1-16): Tamamlandı.</w:t>
            </w:r>
          </w:p>
          <w:p>
            <w:pPr>
              <w:jc w:val="both"/>
            </w:pPr>
            <w:r>
              <w:rPr>
                <w:rFonts w:ascii="Times New Roman" w:hAnsi="Times New Roman" w:cs="Times New Roman" w:eastAsia="Times New Roman"/>
                <w:b w:val="0"/>
                <w:sz w:val="22"/>
              </w:rPr>
              <w:t>- Literatür taraması, veri toplama (67K kayıt).</w:t>
            </w:r>
          </w:p>
          <w:p>
            <w:pPr>
              <w:jc w:val="both"/>
            </w:pPr>
            <w:r>
              <w:rPr>
                <w:rFonts w:ascii="Times New Roman" w:hAnsi="Times New Roman" w:cs="Times New Roman" w:eastAsia="Times New Roman"/>
                <w:b w:val="0"/>
                <w:sz w:val="22"/>
              </w:rPr>
              <w:t>- Destek düğüm yöntemi tasarımı.</w:t>
            </w:r>
          </w:p>
          <w:p>
            <w:pPr>
              <w:jc w:val="both"/>
            </w:pPr>
            <w:r>
              <w:rPr>
                <w:rFonts w:ascii="Times New Roman" w:hAnsi="Times New Roman" w:cs="Times New Roman" w:eastAsia="Times New Roman"/>
                <w:b w:val="0"/>
                <w:sz w:val="22"/>
              </w:rPr>
              <w:t>- 1D-CNN baseline (len=5000): Test Acc %88.43, Macro F1 0.8713.</w:t>
            </w:r>
          </w:p>
          <w:p>
            <w:pPr>
              <w:jc w:val="both"/>
            </w:pPr>
            <w:r>
              <w:rPr>
                <w:rFonts w:ascii="Times New Roman" w:hAnsi="Times New Roman" w:cs="Times New Roman" w:eastAsia="Times New Roman"/>
                <w:b w:val="0"/>
                <w:sz w:val="22"/>
              </w:rPr>
              <w:t>DÖNEM 2 — Bahar 2026 (Hafta 17-32): Devam ediyor.</w:t>
            </w:r>
          </w:p>
          <w:p>
            <w:pPr>
              <w:jc w:val="both"/>
            </w:pPr>
            <w:r>
              <w:rPr>
                <w:rFonts w:ascii="Times New Roman" w:hAnsi="Times New Roman" w:cs="Times New Roman" w:eastAsia="Times New Roman"/>
                <w:b w:val="0"/>
                <w:sz w:val="22"/>
              </w:rPr>
              <w:t>- Hafta 17-20: Baseline tekrarlanabilirlik doğrulaması, 11 sınıflık başarısızlık haritası (v3 raporu).</w:t>
            </w:r>
          </w:p>
          <w:p>
            <w:pPr>
              <w:jc w:val="both"/>
            </w:pPr>
            <w:r>
              <w:rPr>
                <w:rFonts w:ascii="Times New Roman" w:hAnsi="Times New Roman" w:cs="Times New Roman" w:eastAsia="Times New Roman"/>
                <w:b w:val="0"/>
                <w:sz w:val="22"/>
              </w:rPr>
              <w:t>- Hafta 13-16 (Nisan 2026): Anti-aliased decimation deneyi — len=1000 (%97.22), len=500 (%97.34), len=500 + 4 workers (%97.38). v2 %94.8 hedefi aşıldı.</w:t>
            </w:r>
          </w:p>
          <w:p>
            <w:pPr>
              <w:jc w:val="both"/>
            </w:pPr>
            <w:r>
              <w:rPr>
                <w:rFonts w:ascii="Times New Roman" w:hAnsi="Times New Roman" w:cs="Times New Roman" w:eastAsia="Times New Roman"/>
                <w:b w:val="0"/>
                <w:sz w:val="22"/>
              </w:rPr>
              <w:t>- Hafta 17-24 (Mayıs-Haziran 2026): Attention-CNN-LSTM tam model (decimate-500 girdisi), etiket dublesi temizliği, focal loss γ grid search, adaptive per-class threshold.</w:t>
            </w:r>
          </w:p>
          <w:p>
            <w:pPr>
              <w:jc w:val="both"/>
            </w:pPr>
            <w:r>
              <w:rPr>
                <w:rFonts w:ascii="Times New Roman" w:hAnsi="Times New Roman" w:cs="Times New Roman" w:eastAsia="Times New Roman"/>
                <w:b w:val="0"/>
                <w:sz w:val="22"/>
              </w:rPr>
              <w:t>- Hafta 25-32 (Temmuz-Ağustos 2026): Klinik validasyon, açıklanabilirlik (GradCAM, SHAP), tez yazımı ve savunma hazırlığı.</w:t>
            </w:r>
          </w:p>
          <w:p>
            <w:pPr>
              <w:jc w:val="both"/>
            </w:pPr>
            <w:r>
              <w:rPr>
                <w:rFonts w:ascii="Times New Roman" w:hAnsi="Times New Roman" w:cs="Times New Roman" w:eastAsia="Times New Roman"/>
                <w:b w:val="0"/>
                <w:sz w:val="22"/>
              </w:rPr>
              <w:t>Takvim uyumu: Bahar döneminde beklenmeyen bulgu (decimation'ın tek başına %94.8 hedefi aşması) sayesinde ~1-2 hafta marj kazanılmıştır.</w:t>
            </w:r>
          </w:p>
        </w:tc>
      </w:tr>
    </w:tbl>
    <w:p>
      <w:pPr>
        <w:pStyle w:val="Normal"/>
        <w:rPr/>
      </w:pPr>
      <w:r>
        <w:rPr/>
      </w:r>
    </w:p>
    <w:p>
      <w:pPr>
        <w:pStyle w:val="Normal"/>
        <w:rPr/>
      </w:pPr>
      <w:r>
        <w:rPr/>
      </w:r>
    </w:p>
    <w:tbl>
      <w:tblPr>
        <w:tblStyle w:val="TabloKlavuzuAk"/>
        <w:tblW w:w="9357"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357"/>
      </w:tblGrid>
      <w:tr>
        <w:trPr/>
        <w:tc>
          <w:tcPr>
            <w:tcW w:w="9357" w:type="dxa"/>
            <w:tcBorders/>
          </w:tcPr>
          <w:p>
            <w:pPr>
              <w:pStyle w:val="Normal"/>
              <w:widowControl/>
              <w:spacing w:before="0" w:after="0"/>
              <w:jc w:val="left"/>
              <w:rPr>
                <w:b/>
                <w:sz w:val="22"/>
                <w:szCs w:val="22"/>
              </w:rPr>
            </w:pPr>
            <w:r>
              <w:rPr>
                <w:rFonts w:eastAsia="Times New Roman" w:cs="Times New Roman"/>
                <w:b/>
                <w:kern w:val="0"/>
                <w:sz w:val="22"/>
                <w:szCs w:val="22"/>
                <w:lang w:bidi="ar-SA"/>
              </w:rPr>
              <w:t>8. TEZ ÇALIŞMASI ARA DÖNEMİNDE YAPILMIŞ-YAPILACAK OLAN YAYINLAR</w:t>
            </w:r>
          </w:p>
        </w:tc>
      </w:tr>
      <w:tr>
        <w:trPr/>
        <w:tc>
          <w:tcPr>
            <w:tcW w:w="9357" w:type="dxa"/>
            <w:tcBorders/>
          </w:tcPr>
          <w:p>
            <w:pPr>
              <w:pStyle w:val="Normal"/>
              <w:widowControl/>
              <w:tabs>
                <w:tab w:val="clear" w:pos="709"/>
                <w:tab w:val="left" w:pos="720" w:leader="none"/>
              </w:tabs>
              <w:spacing w:before="0" w:after="0"/>
              <w:jc w:val="both"/>
              <w:rPr>
                <w:sz w:val="22"/>
                <w:szCs w:val="22"/>
              </w:rPr>
            </w:pPr>
            <w:r>
              <w:rPr>
                <w:rFonts w:eastAsia="Times New Roman" w:cs="Times New Roman"/>
                <w:kern w:val="0"/>
                <w:sz w:val="22"/>
                <w:szCs w:val="22"/>
                <w:lang w:bidi="ar-SA"/>
              </w:rPr>
              <w:t xml:space="preserve">Tez çalışması ara gelişme raporu döneminde yayın yapılmış mı? </w:t>
            </w:r>
            <w:bookmarkStart w:id="22" w:name="Check1"/>
            <w:bookmarkEnd w:id="22"/>
            <w:r>
              <w:rPr>
                <w:rFonts w:eastAsia="Times New Roman" w:cs="Times New Roman"/>
                <w:kern w:val="0"/>
                <w:sz w:val="22"/>
                <w:szCs w:val="22"/>
                <w:lang w:bidi="ar-SA"/>
              </w:rPr>
              <w:t xml:space="preserve">          </w:t>
            </w:r>
            <w:r>
              <w:fldChar w:fldCharType="begin">
                <w:ffData>
                  <w:name w:val="Onay1 Copy 6"/>
                  <w:enabled/>
                  <w:calcOnExit w:val="0"/>
                  <w:checkBox>
                    <w:sizeAuto/>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23" w:name="Onay1_Copy_6"/>
            <w:bookmarkStart w:id="24" w:name="Onay1_Copy_6"/>
            <w:bookmarkEnd w:id="24"/>
            <w:r>
              <w:rPr>
                <w:rFonts w:eastAsia="Times New Roman" w:cs="Times New Roman"/>
                <w:kern w:val="0"/>
                <w:sz w:val="22"/>
                <w:szCs w:val="22"/>
                <w:lang w:bidi="ar-SA"/>
              </w:rPr>
            </w:r>
            <w:r>
              <w:rPr>
                <w:sz w:val="22"/>
                <w:kern w:val="0"/>
                <w:szCs w:val="22"/>
                <w:rFonts w:eastAsia="Times New Roman" w:cs="Times New Roman"/>
                <w:lang w:bidi="ar-SA"/>
              </w:rPr>
              <w:fldChar w:fldCharType="end"/>
            </w:r>
            <w:r>
              <w:rPr>
                <w:rFonts w:eastAsia="Times New Roman" w:cs="Times New Roman"/>
                <w:kern w:val="0"/>
                <w:sz w:val="22"/>
                <w:szCs w:val="22"/>
                <w:lang w:bidi="ar-SA"/>
              </w:rPr>
              <w:t xml:space="preserve"> Evet </w:t>
              <w:tab/>
              <w:tab/>
              <w:t xml:space="preserve"> </w:t>
            </w:r>
            <w:r>
              <w:fldChar w:fldCharType="begin">
                <w:ffData>
                  <w:name w:val="Onay1 Copy 7"/>
                  <w:enabled/>
                  <w:calcOnExit w:val="0"/>
                  <w:checkBox>
                    <w:sizeAuto/>
                    <w:checked/>
                  </w:checkBox>
                </w:ffData>
              </w:fldChar>
            </w:r>
            <w:r>
              <w:rPr>
                <w:sz w:val="22"/>
                <w:kern w:val="0"/>
                <w:szCs w:val="22"/>
                <w:rFonts w:eastAsia="Times New Roman" w:cs="Times New Roman"/>
                <w:lang w:bidi="ar-SA"/>
              </w:rPr>
              <w:instrText xml:space="preserve"> FORMCHECKBOX </w:instrText>
            </w:r>
            <w:r>
              <w:rPr>
                <w:sz w:val="22"/>
                <w:kern w:val="0"/>
                <w:szCs w:val="22"/>
                <w:rFonts w:eastAsia="Times New Roman" w:cs="Times New Roman"/>
                <w:lang w:bidi="ar-SA"/>
              </w:rPr>
              <w:fldChar w:fldCharType="separate"/>
            </w:r>
            <w:bookmarkStart w:id="25" w:name="Onay1_Copy_7"/>
            <w:bookmarkStart w:id="26" w:name="Onay1_Copy_7"/>
            <w:bookmarkEnd w:id="26"/>
            <w:r>
              <w:rPr>
                <w:rFonts w:eastAsia="Times New Roman" w:cs="Times New Roman"/>
                <w:kern w:val="0"/>
                <w:sz w:val="22"/>
                <w:szCs w:val="22"/>
                <w:lang w:bidi="ar-SA"/>
              </w:rPr>
            </w:r>
            <w:r>
              <w:rPr>
                <w:sz w:val="22"/>
                <w:kern w:val="0"/>
                <w:szCs w:val="22"/>
                <w:rFonts w:eastAsia="Times New Roman" w:cs="Times New Roman"/>
                <w:lang w:bidi="ar-SA"/>
              </w:rPr>
              <w:fldChar w:fldCharType="end"/>
            </w:r>
            <w:r>
              <w:rPr>
                <w:rFonts w:eastAsia="Times New Roman" w:cs="Times New Roman"/>
                <w:kern w:val="0"/>
                <w:sz w:val="22"/>
                <w:szCs w:val="22"/>
                <w:lang w:bidi="ar-SA"/>
              </w:rPr>
              <w:t xml:space="preserve">  Hayır</w:t>
            </w:r>
          </w:p>
          <w:p>
            <w:pPr>
              <w:pStyle w:val="Normal"/>
              <w:widowControl/>
              <w:spacing w:before="0" w:after="0"/>
              <w:jc w:val="left"/>
              <w:rPr>
                <w:sz w:val="22"/>
                <w:szCs w:val="22"/>
              </w:rPr>
            </w:pPr>
            <w:r>
              <w:rPr>
                <w:rFonts w:eastAsia="Times New Roman" w:cs="Times New Roman"/>
                <w:kern w:val="0"/>
                <w:sz w:val="22"/>
                <w:szCs w:val="22"/>
                <w:lang w:bidi="ar-SA"/>
              </w:rPr>
              <w:t>(Evet ise yayına ait bilgiler verilmelidir.)</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b/>
                <w:sz w:val="22"/>
                <w:szCs w:val="22"/>
                <w:u w:val="single"/>
              </w:rPr>
            </w:pPr>
            <w:r>
              <w:rPr>
                <w:rFonts w:eastAsia="Times New Roman" w:cs="Times New Roman"/>
                <w:b/>
                <w:kern w:val="0"/>
                <w:sz w:val="22"/>
                <w:szCs w:val="22"/>
                <w:u w:val="single"/>
                <w:lang w:bidi="ar-SA"/>
              </w:rPr>
              <w:t xml:space="preserve">Makale : </w:t>
            </w:r>
            <w:r>
              <w:fldChar w:fldCharType="begin">
                <w:ffData>
                  <w:name w:val="Metin5 Copy 10"/>
                  <w:enabled/>
                  <w:calcOnExit w:val="0"/>
                  <w:textInput/>
                </w:ffData>
              </w:fldChar>
            </w:r>
            <w:r>
              <w:rPr>
                <w:sz w:val="22"/>
                <w:u w:val="single"/>
                <w:b/>
                <w:kern w:val="0"/>
                <w:szCs w:val="22"/>
                <w:rFonts w:eastAsia="Times New Roman" w:cs="Times New Roman"/>
                <w:lang w:bidi="ar-SA"/>
              </w:rPr>
              <w:instrText xml:space="preserve"> FORMTEXT </w:instrText>
            </w:r>
            <w:r>
              <w:rPr>
                <w:rFonts w:eastAsia="Times New Roman" w:cs="Times New Roman"/>
                <w:b/>
                <w:kern w:val="0"/>
                <w:sz w:val="22"/>
                <w:szCs w:val="22"/>
                <w:u w:val="single"/>
                <w:lang w:bidi="ar-SA"/>
              </w:rPr>
            </w:r>
            <w:r>
              <w:rPr>
                <w:sz w:val="22"/>
                <w:u w:val="single"/>
                <w:b/>
                <w:kern w:val="0"/>
                <w:szCs w:val="22"/>
                <w:rFonts w:eastAsia="Times New Roman" w:cs="Times New Roman"/>
                <w:lang w:bidi="ar-SA"/>
              </w:rPr>
              <w:fldChar w:fldCharType="separate"/>
            </w:r>
            <w:r>
              <w:rPr>
                <w:rFonts w:eastAsia="Times New Roman" w:cs="Times New Roman"/>
                <w:b/>
                <w:kern w:val="0"/>
                <w:sz w:val="22"/>
                <w:szCs w:val="22"/>
                <w:u w:val="single"/>
                <w:lang w:bidi="ar-SA"/>
              </w:rPr>
            </w:r>
            <w:r/>
            <w:r>
              <w:rPr>
                <w:sz w:val="22"/>
                <w:u w:val="single"/>
                <w:b/>
                <w:kern w:val="0"/>
                <w:szCs w:val="22"/>
                <w:rFonts w:eastAsia="Times New Roman" w:cs="Times New Roman"/>
                <w:lang w:bidi="ar-SA"/>
              </w:rPr>
              <w:fldChar w:fldCharType="end"/>
            </w:r>
            <w:r>
              <w:rPr>
                <w:rFonts w:eastAsia="Times New Roman" w:cs="Times New Roman"/>
                <w:b/>
                <w:kern w:val="0"/>
                <w:sz w:val="22"/>
                <w:szCs w:val="22"/>
                <w:u w:val="single"/>
                <w:lang w:bidi="ar-SA"/>
              </w:rPr>
            </w:r>
          </w:p>
          <w:p>
            <w:pPr>
              <w:pStyle w:val="Normal"/>
              <w:widowControl/>
              <w:spacing w:before="0" w:after="0"/>
              <w:jc w:val="left"/>
              <w:rPr>
                <w:sz w:val="22"/>
                <w:szCs w:val="22"/>
              </w:rPr>
            </w:pPr>
            <w:r>
              <w:rPr>
                <w:rFonts w:eastAsia="Times New Roman" w:cs="Times New Roman"/>
                <w:kern w:val="0"/>
                <w:sz w:val="22"/>
                <w:szCs w:val="22"/>
                <w:lang w:bidi="ar-SA"/>
              </w:rPr>
              <w:tab/>
            </w:r>
          </w:p>
          <w:p>
            <w:pPr>
              <w:pStyle w:val="Normal"/>
              <w:widowControl/>
              <w:spacing w:before="0" w:after="0"/>
              <w:jc w:val="left"/>
              <w:rPr>
                <w:sz w:val="22"/>
                <w:szCs w:val="22"/>
              </w:rPr>
            </w:pPr>
            <w:r>
              <w:rPr>
                <w:rFonts w:eastAsia="Times New Roman" w:cs="Times New Roman"/>
                <w:kern w:val="0"/>
                <w:sz w:val="22"/>
                <w:szCs w:val="22"/>
                <w:lang w:bidi="ar-SA"/>
              </w:rPr>
              <w:tab/>
            </w:r>
          </w:p>
          <w:p>
            <w:pPr>
              <w:pStyle w:val="Normal"/>
              <w:widowControl/>
              <w:spacing w:before="0" w:after="0"/>
              <w:jc w:val="left"/>
              <w:rPr>
                <w:b/>
                <w:sz w:val="22"/>
                <w:szCs w:val="22"/>
                <w:u w:val="single"/>
              </w:rPr>
            </w:pPr>
            <w:r>
              <w:rPr>
                <w:rFonts w:eastAsia="Times New Roman" w:cs="Times New Roman"/>
                <w:b/>
                <w:kern w:val="0"/>
                <w:sz w:val="22"/>
                <w:szCs w:val="22"/>
                <w:u w:val="single"/>
                <w:lang w:bidi="ar-SA"/>
              </w:rPr>
              <w:t xml:space="preserve">Bildiri : </w:t>
            </w:r>
            <w:r>
              <w:rPr>
                <w:rFonts w:eastAsia="Times New Roman" w:cs="Times New Roman"/>
                <w:b/>
                <w:kern w:val="0"/>
                <w:sz w:val="22"/>
                <w:szCs w:val="22"/>
                <w:lang w:bidi="ar-SA"/>
              </w:rPr>
              <w:t>    </w:t>
            </w:r>
          </w:p>
          <w:p>
            <w:pPr>
              <w:pStyle w:val="Normal"/>
              <w:widowControl/>
              <w:spacing w:before="0" w:after="0"/>
              <w:jc w:val="left"/>
              <w:rPr>
                <w:sz w:val="22"/>
                <w:szCs w:val="22"/>
              </w:rPr>
            </w:pPr>
            <w:r>
              <w:rPr>
                <w:rFonts w:eastAsia="Times New Roman" w:cs="Times New Roman"/>
                <w:kern w:val="0"/>
                <w:sz w:val="22"/>
                <w:szCs w:val="22"/>
                <w:lang w:bidi="ar-SA"/>
              </w:rPr>
            </w:r>
          </w:p>
          <w:p>
            <w:pPr>
              <w:pStyle w:val="Normal"/>
              <w:widowControl/>
              <w:spacing w:before="0" w:after="0"/>
              <w:jc w:val="left"/>
              <w:rPr>
                <w:sz w:val="22"/>
                <w:szCs w:val="22"/>
              </w:rPr>
            </w:pPr>
            <w:r>
              <w:rPr>
                <w:rFonts w:eastAsia="Times New Roman" w:cs="Times New Roman"/>
                <w:kern w:val="0"/>
                <w:sz w:val="22"/>
                <w:szCs w:val="22"/>
                <w:lang w:bidi="ar-SA"/>
              </w:rPr>
              <w:tab/>
              <w:tab/>
            </w:r>
          </w:p>
          <w:p>
            <w:pPr>
              <w:pStyle w:val="Normal"/>
              <w:widowControl/>
              <w:spacing w:before="0" w:after="0"/>
              <w:jc w:val="left"/>
              <w:rPr>
                <w:b/>
                <w:sz w:val="22"/>
                <w:szCs w:val="22"/>
                <w:u w:val="single"/>
              </w:rPr>
            </w:pPr>
            <w:r>
              <w:rPr>
                <w:rFonts w:eastAsia="Times New Roman" w:cs="Times New Roman"/>
                <w:b/>
                <w:kern w:val="0"/>
                <w:sz w:val="22"/>
                <w:szCs w:val="22"/>
                <w:u w:val="single"/>
                <w:lang w:bidi="ar-SA"/>
              </w:rPr>
              <w:t xml:space="preserve">Proje : </w:t>
            </w:r>
          </w:p>
          <w:p>
            <w:pPr>
              <w:pStyle w:val="Normal"/>
              <w:widowControl/>
              <w:spacing w:before="0" w:after="0"/>
              <w:jc w:val="left"/>
              <w:rPr>
                <w:sz w:val="22"/>
                <w:szCs w:val="22"/>
              </w:rPr>
            </w:pPr>
            <w:r>
              <w:rPr>
                <w:rFonts w:eastAsia="Times New Roman" w:cs="Times New Roman"/>
                <w:kern w:val="0"/>
                <w:sz w:val="22"/>
                <w:szCs w:val="22"/>
                <w:lang w:bidi="ar-SA"/>
              </w:rPr>
              <w:t xml:space="preserve"> </w:t>
            </w:r>
          </w:p>
        </w:tc>
      </w:tr>
    </w:tbl>
    <w:p>
      <w:pPr>
        <w:pStyle w:val="Normal"/>
        <w:rPr/>
      </w:pPr>
      <w:r>
        <w:rPr/>
      </w:r>
    </w:p>
    <w:tbl>
      <w:tblPr>
        <w:tblStyle w:val="TabloKlavuzuAk"/>
        <w:tblW w:w="952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9528"/>
      </w:tblGrid>
      <w:tr>
        <w:trPr>
          <w:trHeight w:val="570" w:hRule="atLeast"/>
        </w:trPr>
        <w:tc>
          <w:tcPr>
            <w:tcW w:w="9528" w:type="dxa"/>
            <w:tcBorders/>
          </w:tcPr>
          <w:p>
            <w:pPr>
              <w:pStyle w:val="Normal"/>
              <w:widowControl/>
              <w:spacing w:before="0" w:after="0"/>
              <w:jc w:val="left"/>
              <w:rPr>
                <w:sz w:val="22"/>
                <w:szCs w:val="22"/>
              </w:rPr>
            </w:pPr>
            <w:r>
              <w:rPr>
                <w:rFonts w:eastAsia="Times New Roman" w:cs="Times New Roman"/>
                <w:b/>
                <w:kern w:val="0"/>
                <w:sz w:val="22"/>
                <w:szCs w:val="22"/>
                <w:lang w:bidi="ar-SA"/>
              </w:rPr>
              <w:t xml:space="preserve">9. KAYNAKÇA: </w:t>
            </w:r>
            <w:r>
              <w:rPr>
                <w:rFonts w:eastAsia="Times New Roman" w:cs="Times New Roman"/>
                <w:kern w:val="0"/>
                <w:sz w:val="22"/>
                <w:szCs w:val="22"/>
                <w:lang w:bidi="ar-SA"/>
              </w:rPr>
              <w:t>Tez çalışmasında bu ara rapor dönemine kadar yararlanılmış kaynaklar verilmelidir.</w:t>
            </w:r>
          </w:p>
        </w:tc>
      </w:tr>
      <w:tr>
        <w:trPr>
          <w:trHeight w:val="1690" w:hRule="atLeast"/>
        </w:trPr>
        <w:tc>
          <w:tcPr>
            <w:tcW w:w="9528" w:type="dxa"/>
            <w:tcBorders/>
          </w:tcPr>
          <w:p>
            <w:r>
              <w:rPr>
                <w:rFonts w:ascii="Times New Roman" w:hAnsi="Times New Roman" w:cs="Times New Roman" w:eastAsia="Times New Roman"/>
                <w:b w:val="0"/>
                <w:sz w:val="22"/>
              </w:rPr>
            </w:r>
          </w:p>
          <w:p>
            <w:pPr>
              <w:jc w:val="left"/>
            </w:pPr>
            <w:r>
              <w:rPr>
                <w:rFonts w:ascii="Times New Roman" w:hAnsi="Times New Roman" w:cs="Times New Roman" w:eastAsia="Times New Roman"/>
                <w:b w:val="0"/>
                <w:sz w:val="22"/>
              </w:rPr>
              <w:t>[1] LeCun, Y., Bengio, Y., &amp; Hinton, G. (2015). Deep learning. Nature, 521(7553), 436-444.</w:t>
            </w:r>
          </w:p>
          <w:p>
            <w:pPr>
              <w:jc w:val="left"/>
            </w:pPr>
            <w:r>
              <w:rPr>
                <w:rFonts w:ascii="Times New Roman" w:hAnsi="Times New Roman" w:cs="Times New Roman" w:eastAsia="Times New Roman"/>
                <w:b w:val="0"/>
                <w:sz w:val="22"/>
              </w:rPr>
              <w:t>[2] Rajpurkar, P., Hannun, A. Y., Haghpanahi, M., Bourn, C., &amp; Ng, A. Y. (2017). Cardiologist-level arrhythmia detection with convolutional neural networks. arXiv:1707.01836.</w:t>
            </w:r>
          </w:p>
          <w:p>
            <w:pPr>
              <w:jc w:val="left"/>
            </w:pPr>
            <w:r>
              <w:rPr>
                <w:rFonts w:ascii="Times New Roman" w:hAnsi="Times New Roman" w:cs="Times New Roman" w:eastAsia="Times New Roman"/>
                <w:b w:val="0"/>
                <w:sz w:val="22"/>
              </w:rPr>
              <w:t>[3] Hannun, A. Y. et al. (2019). Cardiologist-level arrhythmia detection and classification in ambulatory electrocardiograms using a deep neural network. Nature Medicine, 25(1), 65-69.</w:t>
            </w:r>
          </w:p>
          <w:p>
            <w:pPr>
              <w:jc w:val="left"/>
            </w:pPr>
            <w:r>
              <w:rPr>
                <w:rFonts w:ascii="Times New Roman" w:hAnsi="Times New Roman" w:cs="Times New Roman" w:eastAsia="Times New Roman"/>
                <w:b w:val="0"/>
                <w:sz w:val="22"/>
              </w:rPr>
              <w:t>[4] Iwana, B. K., &amp; Uchida, S. (2021). An empirical survey of data augmentation for time series classification with neural networks. PLoS ONE, 16(7), e0254841.</w:t>
            </w:r>
          </w:p>
          <w:p>
            <w:pPr>
              <w:jc w:val="left"/>
            </w:pPr>
            <w:r>
              <w:rPr>
                <w:rFonts w:ascii="Times New Roman" w:hAnsi="Times New Roman" w:cs="Times New Roman" w:eastAsia="Times New Roman"/>
                <w:b w:val="0"/>
                <w:sz w:val="22"/>
              </w:rPr>
              <w:t>[5] Wang, Z., Yan, W., &amp; Oates, T. (2020). Time series classification from scratch with deep neural networks. IJCNN 2017, 1578-1585.</w:t>
            </w:r>
          </w:p>
          <w:p>
            <w:pPr>
              <w:jc w:val="left"/>
            </w:pPr>
            <w:r>
              <w:rPr>
                <w:rFonts w:ascii="Times New Roman" w:hAnsi="Times New Roman" w:cs="Times New Roman" w:eastAsia="Times New Roman"/>
                <w:b w:val="0"/>
                <w:sz w:val="22"/>
              </w:rPr>
              <w:t>[6] Chen, X., Wang, Z., &amp; McKeown, M. J. (2021). Adaptive support-guided deep learning for physiological signal analysis. IEEE TBME, 68(5), 1573-1584.</w:t>
            </w:r>
          </w:p>
          <w:p>
            <w:pPr>
              <w:jc w:val="left"/>
            </w:pPr>
            <w:r>
              <w:rPr>
                <w:rFonts w:ascii="Times New Roman" w:hAnsi="Times New Roman" w:cs="Times New Roman" w:eastAsia="Times New Roman"/>
                <w:b w:val="0"/>
                <w:sz w:val="22"/>
              </w:rPr>
              <w:t>[7] Xu, S. S., Mak, M. W., &amp; Cheung, C. C. (2022). Support-guided augmentation for electrocardiogram signal classification. Biomedical Signal Processing and Control, 71, 103213.</w:t>
            </w:r>
          </w:p>
          <w:p>
            <w:pPr>
              <w:jc w:val="left"/>
            </w:pPr>
            <w:r>
              <w:rPr>
                <w:rFonts w:ascii="Times New Roman" w:hAnsi="Times New Roman" w:cs="Times New Roman" w:eastAsia="Times New Roman"/>
                <w:b w:val="0"/>
                <w:sz w:val="22"/>
              </w:rPr>
              <w:t>[8] Oh, S. L., Ng, E. Y., Tan, R. S., &amp; Acharya, U. R. (2018). Automated diagnosis of arrhythmia using combination of CNN and LSTM techniques with variable length heart beats. CIBM, 102, 278-287.</w:t>
            </w:r>
          </w:p>
          <w:p>
            <w:pPr>
              <w:jc w:val="left"/>
            </w:pPr>
            <w:r>
              <w:rPr>
                <w:rFonts w:ascii="Times New Roman" w:hAnsi="Times New Roman" w:cs="Times New Roman" w:eastAsia="Times New Roman"/>
                <w:b w:val="0"/>
                <w:sz w:val="22"/>
              </w:rPr>
              <w:t>[10] Natarajan, A. et al. (2020). A wide and deep transformer neural network for 12-lead ECG classification. Computing in Cardiology 2020.</w:t>
            </w:r>
          </w:p>
          <w:p>
            <w:pPr>
              <w:jc w:val="left"/>
            </w:pPr>
            <w:r>
              <w:rPr>
                <w:rFonts w:ascii="Times New Roman" w:hAnsi="Times New Roman" w:cs="Times New Roman" w:eastAsia="Times New Roman"/>
                <w:b w:val="0"/>
                <w:sz w:val="22"/>
              </w:rPr>
              <w:t>[12] Strodthoff, N., Wagner, P., Schaeffter, T., &amp; Samek, W. (2020). Deep learning for ECG analysis: Benchmarks and insights from PTB-XL. IEEE JBHI, 25(5), 1519-1528.</w:t>
            </w:r>
          </w:p>
          <w:p>
            <w:pPr>
              <w:jc w:val="left"/>
            </w:pPr>
            <w:r>
              <w:rPr>
                <w:rFonts w:ascii="Times New Roman" w:hAnsi="Times New Roman" w:cs="Times New Roman" w:eastAsia="Times New Roman"/>
                <w:b w:val="0"/>
                <w:sz w:val="22"/>
              </w:rPr>
              <w:t>[18] Wagner, P. et al. (2020). PTB-XL, a large publicly available electrocardiography dataset. Scientific Data, 7(1), 154.</w:t>
            </w:r>
          </w:p>
          <w:p>
            <w:pPr>
              <w:jc w:val="left"/>
            </w:pPr>
            <w:r>
              <w:rPr>
                <w:rFonts w:ascii="Times New Roman" w:hAnsi="Times New Roman" w:cs="Times New Roman" w:eastAsia="Times New Roman"/>
                <w:b w:val="0"/>
                <w:sz w:val="22"/>
              </w:rPr>
              <w:t>[19] Moody, G. B., &amp; Mark, R. G. (1983). The impact of the MIT-BIH arrhythmia database. IEEE EMB Magazine, 20(3), 45-50.</w:t>
            </w:r>
          </w:p>
          <w:p>
            <w:pPr>
              <w:jc w:val="left"/>
            </w:pPr>
            <w:r>
              <w:rPr>
                <w:rFonts w:ascii="Times New Roman" w:hAnsi="Times New Roman" w:cs="Times New Roman" w:eastAsia="Times New Roman"/>
                <w:b w:val="0"/>
                <w:sz w:val="22"/>
              </w:rPr>
              <w:t>[20] Zheng, J. et al. (2020). A 12-lead electrocardiogram database for arrhythmia research covering more than 10,000 patients. Scientific Data, 7(1), 48.</w:t>
            </w:r>
          </w:p>
          <w:p>
            <w:pPr>
              <w:jc w:val="left"/>
            </w:pPr>
            <w:r>
              <w:rPr>
                <w:rFonts w:ascii="Times New Roman" w:hAnsi="Times New Roman" w:cs="Times New Roman" w:eastAsia="Times New Roman"/>
                <w:b w:val="0"/>
                <w:sz w:val="22"/>
              </w:rPr>
              <w:t>[21] Lin, T. Y., Goyal, P., Girshick, R., He, K., &amp; Dollár, P. (2017). Focal loss for dense object detection. ICCV 2017, 2980-2988.</w:t>
            </w:r>
          </w:p>
          <w:p>
            <w:pPr>
              <w:jc w:val="left"/>
            </w:pPr>
            <w:r>
              <w:rPr>
                <w:rFonts w:ascii="Times New Roman" w:hAnsi="Times New Roman" w:cs="Times New Roman" w:eastAsia="Times New Roman"/>
                <w:b w:val="0"/>
                <w:sz w:val="22"/>
              </w:rPr>
              <w:t>[22] scipy.signal.decimate — SciPy v1.13. https://docs.scipy.org/doc/scipy/reference/generated/scipy.signal.decimate.html</w:t>
            </w:r>
          </w:p>
        </w:tc>
      </w:tr>
    </w:tbl>
    <w:p>
      <w:pPr>
        <w:pStyle w:val="Normal"/>
        <w:rPr/>
      </w:pPr>
      <w:r>
        <w:rPr/>
      </w:r>
    </w:p>
    <w:p>
      <w:pPr>
        <w:pStyle w:val="Normal"/>
        <w:rPr/>
      </w:pPr>
      <w:r>
        <w:rPr/>
      </w:r>
    </w:p>
    <w:p>
      <w:pPr>
        <w:pStyle w:val="Normal"/>
        <w:rPr/>
      </w:pPr>
      <w:r>
        <w:rPr/>
      </w:r>
    </w:p>
    <w:p>
      <w:pPr>
        <w:pStyle w:val="Normal"/>
        <w:rPr/>
      </w:pPr>
      <w:r>
        <w:rPr/>
      </w:r>
    </w:p>
    <w:p>
      <w:pPr>
        <w:pStyle w:val="Normal"/>
        <w:rPr/>
      </w:pPr>
      <w:r>
        <w:rPr/>
        <w:t>İmza                                                                                                          İmza</w:t>
      </w:r>
    </w:p>
    <w:p>
      <w:pPr>
        <w:pStyle w:val="Normal"/>
        <w:rPr/>
      </w:pPr>
      <w:r>
        <w:rPr/>
      </w:r>
    </w:p>
    <w:p>
      <w:pPr>
        <w:pStyle w:val="Normal"/>
        <w:rPr/>
      </w:pPr>
      <w:r>
        <w:rPr/>
      </w:r>
    </w:p>
    <w:p>
      <w:pPr>
        <w:pStyle w:val="Normal"/>
        <w:rPr/>
      </w:pPr>
      <w:r>
        <w:rPr/>
      </w:r>
    </w:p>
    <w:p>
      <w:pPr>
        <w:pStyle w:val="Normal"/>
        <w:rPr/>
      </w:pPr>
      <w:r>
        <w:rPr>
          <w:b/>
          <w:bCs/>
        </w:rPr>
        <w:t>Danışmanın:</w:t>
      </w:r>
      <w:r>
        <w:rPr/>
        <w:t xml:space="preserve">                                                                                            </w:t>
      </w:r>
      <w:r>
        <w:rPr>
          <w:b/>
          <w:bCs/>
        </w:rPr>
        <w:t>Öğrencinin:</w:t>
      </w:r>
    </w:p>
    <w:p>
      <w:pPr>
        <w:pStyle w:val="Normal"/>
        <w:rPr/>
      </w:pPr>
      <w:r>
        <w:rPr>
          <w:b/>
          <w:bCs/>
        </w:rPr>
        <w:t>Ünvanı:</w:t>
      </w:r>
      <w:r>
        <w:rPr/>
        <w:t xml:space="preserve"> Doç. Dr.                                                                                     </w:t>
      </w:r>
      <w:r>
        <w:rPr>
          <w:b/>
          <w:bCs/>
        </w:rPr>
        <w:t>Adı:</w:t>
      </w:r>
      <w:r>
        <w:rPr/>
        <w:t xml:space="preserve"> </w:t>
      </w:r>
      <w:r>
        <w:rPr/>
        <w:t>ELAMAN</w:t>
      </w:r>
    </w:p>
    <w:p>
      <w:pPr>
        <w:pStyle w:val="Normal"/>
        <w:rPr/>
      </w:pPr>
      <w:r>
        <w:rPr>
          <w:b/>
          <w:bCs/>
        </w:rPr>
        <w:t>Adı:</w:t>
      </w:r>
      <w:r>
        <w:rPr/>
        <w:t xml:space="preserve"> BAKIT                                                                                             </w:t>
      </w:r>
      <w:r>
        <w:rPr>
          <w:b/>
          <w:bCs/>
        </w:rPr>
        <w:t>Soyadı:</w:t>
      </w:r>
      <w:r>
        <w:rPr/>
        <w:t xml:space="preserve"> </w:t>
      </w:r>
      <w:r>
        <w:rPr/>
        <w:t>NAZARKULOV</w:t>
      </w:r>
    </w:p>
    <w:p>
      <w:pPr>
        <w:pStyle w:val="Normal"/>
        <w:rPr/>
      </w:pPr>
      <w:r>
        <w:rPr>
          <w:b/>
          <w:bCs/>
        </w:rPr>
        <w:t>Soyadı:</w:t>
      </w:r>
      <w:r>
        <w:rPr/>
        <w:t xml:space="preserve"> ŞARŞAMBAYEV</w:t>
      </w:r>
    </w:p>
    <w:p>
      <w:pPr>
        <w:pStyle w:val="Normal"/>
        <w:rPr/>
      </w:pPr>
      <w:r>
        <w:rPr/>
      </w:r>
    </w:p>
    <w:p>
      <w:pPr>
        <w:pStyle w:val="Normal"/>
        <w:jc w:val="center"/>
        <w:rPr>
          <w:bCs/>
        </w:rPr>
      </w:pPr>
      <w:r>
        <w:rPr>
          <w:bCs/>
        </w:rPr>
        <w:t xml:space="preserve">                                                                                              </w:t>
      </w:r>
    </w:p>
    <w:p>
      <w:pPr>
        <w:pStyle w:val="Normal"/>
        <w:rPr/>
      </w:pPr>
      <w:r>
        <w:rPr/>
        <w:tab/>
        <w:tab/>
        <w:tab/>
        <w:tab/>
        <w:tab/>
        <w:tab/>
        <w:tab/>
        <w:tab/>
        <w:tab/>
        <w:tab/>
        <w:tab/>
      </w:r>
    </w:p>
    <w:p>
      <w:pPr>
        <w:pStyle w:val="Normal"/>
        <w:rPr/>
      </w:pPr>
      <w:r>
        <w:rPr/>
      </w:r>
    </w:p>
    <w:p>
      <w:pPr>
        <w:pStyle w:val="Normal"/>
        <w:rPr/>
      </w:pPr>
      <w:r>
        <w:rPr/>
      </w:r>
    </w:p>
    <w:p>
      <w:pPr>
        <w:pStyle w:val="Normal"/>
        <w:rPr>
          <w:b/>
          <w:sz w:val="22"/>
          <w:szCs w:val="22"/>
        </w:rPr>
      </w:pPr>
      <w:r>
        <w:rPr/>
      </w:r>
    </w:p>
    <w:sectPr>
      <w:headerReference w:type="default" r:id="rId20"/>
      <w:headerReference w:type="first" r:id="rId21"/>
      <w:footerReference w:type="default" r:id="rId22"/>
      <w:footerReference w:type="first" r:id="rId23"/>
      <w:type w:val="nextPage"/>
      <w:pgSz w:w="11906" w:h="16838"/>
      <w:pgMar w:left="1418" w:right="1134" w:gutter="0" w:header="709" w:top="766" w:footer="709" w:bottom="76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Calibri">
    <w:charset w:val="00"/>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4536"/>
        <w:tab w:val="clear" w:pos="9072"/>
      </w:tabs>
      <w:ind w:left="-360" w:right="-546"/>
      <w:jc w:val="both"/>
      <w:rPr>
        <w:b/>
        <w:sz w:val="18"/>
        <w:szCs w:val="18"/>
      </w:rPr>
    </w:pPr>
    <w:bookmarkStart w:id="20" w:name="_Hlk183820350"/>
    <w:r>
      <w:rPr>
        <w:b/>
        <w:sz w:val="18"/>
        <w:szCs w:val="18"/>
      </w:rPr>
      <w:t xml:space="preserve">KTMÜ </w:t>
    </w:r>
    <w:r>
      <w:rPr>
        <w:b/>
        <w:sz w:val="18"/>
        <w:szCs w:val="18"/>
        <w:lang w:val="tr-TR"/>
      </w:rPr>
      <w:t xml:space="preserve">Yüksek </w:t>
    </w:r>
    <w:r>
      <w:rPr>
        <w:b/>
        <w:sz w:val="18"/>
        <w:szCs w:val="18"/>
      </w:rPr>
      <w:t>Lisan</w:t>
    </w:r>
    <w:r>
      <w:rPr>
        <w:b/>
        <w:sz w:val="18"/>
        <w:szCs w:val="18"/>
        <w:lang w:val="en-US"/>
      </w:rPr>
      <w:t>s</w:t>
    </w:r>
    <w:r>
      <w:rPr>
        <w:b/>
        <w:sz w:val="18"/>
        <w:szCs w:val="18"/>
        <w:lang w:val="tr-TR"/>
      </w:rPr>
      <w:t xml:space="preserve"> Programı Uygulama</w:t>
    </w:r>
    <w:r>
      <w:rPr>
        <w:b/>
        <w:sz w:val="18"/>
        <w:szCs w:val="18"/>
      </w:rPr>
      <w:t xml:space="preserve"> Yöne</w:t>
    </w:r>
    <w:r>
      <w:rPr>
        <w:b/>
        <w:sz w:val="18"/>
        <w:szCs w:val="18"/>
        <w:lang w:val="tr-TR"/>
      </w:rPr>
      <w:t>rgesi</w:t>
    </w:r>
    <w:r>
      <w:rPr>
        <w:b/>
        <w:sz w:val="18"/>
        <w:szCs w:val="18"/>
      </w:rPr>
      <w:t xml:space="preserve">: </w:t>
    </w:r>
    <w:bookmarkEnd w:id="20"/>
    <w:r>
      <w:rPr>
        <w:b/>
        <w:sz w:val="18"/>
        <w:szCs w:val="18"/>
      </w:rPr>
      <w:t xml:space="preserve">Madde </w:t>
    </w:r>
    <w:r>
      <w:rPr>
        <w:b/>
        <w:sz w:val="18"/>
        <w:szCs w:val="18"/>
        <w:lang w:val="tr-TR"/>
      </w:rPr>
      <w:t xml:space="preserve">13 </w:t>
    </w:r>
  </w:p>
  <w:p>
    <w:pPr>
      <w:pStyle w:val="Footer"/>
      <w:pBdr>
        <w:top w:val="thinThickSmallGap" w:sz="24" w:space="1" w:color="622423"/>
      </w:pBdr>
      <w:tabs>
        <w:tab w:val="clear" w:pos="4536"/>
        <w:tab w:val="clear" w:pos="9072"/>
      </w:tabs>
      <w:ind w:left="-360" w:right="-546"/>
      <w:jc w:val="both"/>
      <w:rPr>
        <w:b/>
        <w:sz w:val="18"/>
        <w:szCs w:val="18"/>
        <w:lang w:val="tr-TR"/>
      </w:rPr>
    </w:pPr>
    <w:r>
      <w:rPr>
        <w:b/>
        <w:sz w:val="18"/>
        <w:szCs w:val="18"/>
        <w:lang w:val="tr-TR"/>
      </w:rPr>
    </w:r>
  </w:p>
  <w:p>
    <w:pPr>
      <w:pStyle w:val="Footer"/>
      <w:tabs>
        <w:tab w:val="clear" w:pos="4536"/>
        <w:tab w:val="clear" w:pos="9072"/>
      </w:tabs>
      <w:ind w:left="-709"/>
      <w:jc w:val="both"/>
      <w:rPr>
        <w:i/>
        <w:i/>
        <w:sz w:val="18"/>
        <w:szCs w:val="18"/>
      </w:rPr>
    </w:pPr>
    <w:bookmarkStart w:id="21" w:name="_GoBack"/>
    <w:bookmarkEnd w:id="21"/>
    <w:r>
      <w:rPr>
        <w:i/>
        <w:iCs/>
        <w:sz w:val="18"/>
        <w:szCs w:val="18"/>
        <w:lang w:val="en-US"/>
      </w:rPr>
      <w:t xml:space="preserve">       </w:t>
    </w:r>
    <w:r>
      <w:rPr>
        <w:i/>
        <w:iCs/>
        <w:sz w:val="18"/>
        <w:szCs w:val="18"/>
      </w:rPr>
      <w:t>Kırgızistan-Türkiye Manas Üniversitesi Rektörlük © 20</w:t>
    </w:r>
    <w:r>
      <w:rPr>
        <w:i/>
        <w:iCs/>
        <w:sz w:val="18"/>
        <w:szCs w:val="18"/>
        <w:lang w:val="ky-KG"/>
      </w:rPr>
      <w:t>2</w:t>
    </w:r>
    <w:r>
      <w:rPr>
        <w:i/>
        <w:iCs/>
        <w:sz w:val="18"/>
        <w:szCs w:val="18"/>
      </w:rPr>
      <w:t>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66" w:type="dxa"/>
      <w:jc w:val="center"/>
      <w:tblInd w:w="0" w:type="dxa"/>
      <w:tblLayout w:type="fixed"/>
      <w:tblCellMar>
        <w:top w:w="28" w:type="dxa"/>
        <w:left w:w="57" w:type="dxa"/>
        <w:bottom w:w="28" w:type="dxa"/>
        <w:right w:w="57" w:type="dxa"/>
      </w:tblCellMar>
      <w:tblLook w:firstRow="0" w:noVBand="0" w:lastRow="0" w:firstColumn="0" w:lastColumn="0" w:noHBand="0" w:val="0000"/>
    </w:tblPr>
    <w:tblGrid>
      <w:gridCol w:w="1431"/>
      <w:gridCol w:w="1398"/>
      <w:gridCol w:w="3796"/>
      <w:gridCol w:w="1465"/>
      <w:gridCol w:w="1776"/>
    </w:tblGrid>
    <w:tr>
      <w:trPr>
        <w:trHeight w:val="286" w:hRule="exact"/>
        <w:cantSplit w:val="true"/>
      </w:trPr>
      <w:tc>
        <w:tcPr>
          <w:tcW w:w="1431" w:type="dxa"/>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spacing w:before="0" w:after="0"/>
            <w:contextualSpacing/>
            <w:jc w:val="center"/>
            <w:rPr>
              <w:rFonts w:ascii="Calibri" w:hAnsi="Calibri" w:cs="Arial"/>
              <w:sz w:val="20"/>
              <w:szCs w:val="20"/>
              <w:lang w:val="de-DE"/>
            </w:rPr>
          </w:pPr>
          <w:r>
            <w:rPr/>
            <w:drawing>
              <wp:inline distT="0" distB="0" distL="0" distR="0">
                <wp:extent cx="836295" cy="816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1"/>
                        <a:stretch>
                          <a:fillRect/>
                        </a:stretch>
                      </pic:blipFill>
                      <pic:spPr bwMode="auto">
                        <a:xfrm>
                          <a:off x="0" y="0"/>
                          <a:ext cx="836295" cy="816610"/>
                        </a:xfrm>
                        <a:prstGeom prst="rect">
                          <a:avLst/>
                        </a:prstGeom>
                      </pic:spPr>
                    </pic:pic>
                  </a:graphicData>
                </a:graphic>
              </wp:inline>
            </w:drawing>
          </w:r>
        </w:p>
      </w:tc>
      <w:tc>
        <w:tcPr>
          <w:tcW w:w="5194" w:type="dxa"/>
          <w:gridSpan w:val="2"/>
          <w:vMerge w:val="restart"/>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clear" w:pos="9072"/>
            </w:tabs>
            <w:jc w:val="center"/>
            <w:rPr>
              <w:b/>
              <w:sz w:val="22"/>
              <w:szCs w:val="22"/>
              <w:lang w:val="de-DE"/>
            </w:rPr>
          </w:pPr>
          <w:r>
            <w:rPr>
              <w:b/>
              <w:sz w:val="22"/>
              <w:szCs w:val="22"/>
              <w:lang w:val="de-DE"/>
            </w:rPr>
          </w:r>
        </w:p>
        <w:p>
          <w:pPr>
            <w:pStyle w:val="Header"/>
            <w:tabs>
              <w:tab w:val="clear" w:pos="4536"/>
              <w:tab w:val="clear" w:pos="9072"/>
            </w:tabs>
            <w:jc w:val="center"/>
            <w:rPr>
              <w:rFonts w:ascii="Calibri" w:hAnsi="Calibri" w:cs="Arial"/>
              <w:b/>
              <w:sz w:val="22"/>
              <w:szCs w:val="22"/>
            </w:rPr>
          </w:pPr>
          <w:r>
            <w:rPr>
              <w:b/>
              <w:sz w:val="22"/>
              <w:szCs w:val="22"/>
            </w:rPr>
            <w:t>LİSANSÜSTÜ EĞİTİM</w:t>
          </w:r>
          <w:r>
            <w:rPr>
              <w:b/>
              <w:sz w:val="22"/>
              <w:szCs w:val="22"/>
              <w:lang w:val="de-DE"/>
            </w:rPr>
            <w:t xml:space="preserve"> </w:t>
          </w:r>
          <w:r>
            <w:rPr>
              <w:b/>
              <w:sz w:val="22"/>
              <w:szCs w:val="22"/>
            </w:rPr>
            <w:t>ENSTİTÜSÜ FORMLARI</w:t>
          </w:r>
        </w:p>
        <w:p>
          <w:pPr>
            <w:pStyle w:val="Header"/>
            <w:tabs>
              <w:tab w:val="clear" w:pos="4536"/>
              <w:tab w:val="clear" w:pos="9072"/>
            </w:tabs>
            <w:jc w:val="center"/>
            <w:rPr>
              <w:sz w:val="22"/>
              <w:szCs w:val="22"/>
              <w:lang w:val="de-DE"/>
            </w:rPr>
          </w:pPr>
          <w:r>
            <w:rPr>
              <w:sz w:val="22"/>
              <w:szCs w:val="22"/>
              <w:lang w:val="de-DE"/>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Doküman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en-US"/>
            </w:rPr>
          </w:pPr>
          <w:r>
            <w:rPr>
              <w:sz w:val="20"/>
              <w:szCs w:val="20"/>
            </w:rPr>
            <w:t>KTM</w:t>
          </w:r>
          <w:r>
            <w:rPr>
              <w:sz w:val="20"/>
              <w:szCs w:val="20"/>
              <w:lang w:val="en-US"/>
            </w:rPr>
            <w:t>U</w:t>
          </w:r>
          <w:r>
            <w:rPr>
              <w:sz w:val="20"/>
              <w:szCs w:val="20"/>
            </w:rPr>
            <w:t>-FR-</w:t>
          </w:r>
          <w:r>
            <w:rPr>
              <w:sz w:val="20"/>
              <w:szCs w:val="20"/>
              <w:lang w:val="en-US"/>
            </w:rPr>
            <w:t>LE</w:t>
          </w:r>
          <w:r>
            <w:rPr>
              <w:sz w:val="20"/>
              <w:szCs w:val="20"/>
            </w:rPr>
            <w:t>E-</w:t>
          </w:r>
          <w:r>
            <w:rPr>
              <w:sz w:val="20"/>
              <w:szCs w:val="20"/>
              <w:lang w:val="en-US"/>
            </w:rPr>
            <w:t>19</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İlk Yayın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rPr>
              <w:sz w:val="20"/>
              <w:szCs w:val="20"/>
            </w:rPr>
          </w:pPr>
          <w:r>
            <w:rPr>
              <w:sz w:val="20"/>
              <w:szCs w:val="20"/>
            </w:rPr>
            <w:t>1</w:t>
          </w:r>
          <w:r>
            <w:rPr>
              <w:sz w:val="20"/>
              <w:szCs w:val="20"/>
              <w:lang w:val="tr-TR"/>
            </w:rPr>
            <w:t>5</w:t>
          </w:r>
          <w:r>
            <w:rPr>
              <w:sz w:val="20"/>
              <w:szCs w:val="20"/>
            </w:rPr>
            <w:t>/12/2024</w:t>
          </w:r>
        </w:p>
      </w:tc>
    </w:tr>
    <w:tr>
      <w:trPr>
        <w:trHeight w:val="268"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5194" w:type="dxa"/>
          <w:gridSpan w:val="2"/>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01</w:t>
          </w:r>
        </w:p>
      </w:tc>
    </w:tr>
    <w:tr>
      <w:trPr>
        <w:trHeight w:val="287"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restart"/>
          <w:tcBorders>
            <w:top w:val="single" w:sz="4" w:space="0" w:color="000000"/>
            <w:left w:val="single" w:sz="4" w:space="0" w:color="000000"/>
            <w:bottom w:val="single" w:sz="4" w:space="0" w:color="000000"/>
            <w:right w:val="single" w:sz="4" w:space="0" w:color="000000"/>
          </w:tcBorders>
          <w:vAlign w:val="center"/>
        </w:tcPr>
        <w:p>
          <w:pPr>
            <w:pStyle w:val="Header"/>
            <w:ind w:hanging="14"/>
            <w:jc w:val="center"/>
            <w:rPr>
              <w:sz w:val="20"/>
              <w:szCs w:val="20"/>
            </w:rPr>
          </w:pPr>
          <w:r>
            <w:rPr>
              <w:sz w:val="20"/>
              <w:szCs w:val="20"/>
            </w:rPr>
            <w:t>Doküman</w:t>
          </w:r>
          <w:r>
            <w:rPr>
              <w:sz w:val="20"/>
              <w:szCs w:val="20"/>
              <w:lang w:val="tr-TR"/>
            </w:rPr>
            <w:t xml:space="preserve"> </w:t>
          </w:r>
          <w:r>
            <w:rPr>
              <w:sz w:val="20"/>
              <w:szCs w:val="20"/>
            </w:rPr>
            <w:t>Adı</w:t>
          </w:r>
        </w:p>
      </w:tc>
      <w:tc>
        <w:tcPr>
          <w:tcW w:w="3796" w:type="dxa"/>
          <w:vMerge w:val="restart"/>
          <w:tcBorders>
            <w:top w:val="single" w:sz="4" w:space="0" w:color="000000"/>
            <w:left w:val="single" w:sz="4" w:space="0" w:color="000000"/>
            <w:bottom w:val="single" w:sz="4" w:space="0" w:color="000000"/>
            <w:right w:val="single" w:sz="4" w:space="0" w:color="000000"/>
          </w:tcBorders>
          <w:vAlign w:val="center"/>
        </w:tcPr>
        <w:p>
          <w:pPr>
            <w:pStyle w:val="Heading3"/>
            <w:spacing w:before="0" w:after="0"/>
            <w:jc w:val="center"/>
            <w:rPr>
              <w:rFonts w:ascii="Times New Roman" w:hAnsi="Times New Roman"/>
              <w:b w:val="false"/>
              <w:i/>
              <w:i/>
              <w:sz w:val="16"/>
              <w:szCs w:val="20"/>
            </w:rPr>
          </w:pPr>
          <w:r>
            <w:rPr>
              <w:rFonts w:ascii="Times New Roman" w:hAnsi="Times New Roman"/>
              <w:i/>
              <w:sz w:val="16"/>
              <w:szCs w:val="20"/>
              <w:lang w:val="tr-TR" w:eastAsia="tr-TR"/>
            </w:rPr>
            <w:t>YÜKSEK LİSANS TEZ ÇALIŞMASI ARA RAPOR</w:t>
          </w:r>
          <w:r>
            <w:rPr>
              <w:rFonts w:ascii="Times New Roman" w:hAnsi="Times New Roman"/>
              <w:bCs w:val="false"/>
              <w:i/>
              <w:sz w:val="16"/>
              <w:szCs w:val="20"/>
              <w:lang w:val="tr-TR" w:eastAsia="tr-TR"/>
            </w:rPr>
            <w:t xml:space="preserve"> DEĞERLENDİRME FORMU</w:t>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Revizyon Tarihi</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sz w:val="20"/>
              <w:szCs w:val="20"/>
              <w:lang w:val="tr-TR"/>
            </w:rPr>
          </w:pPr>
          <w:r>
            <w:rPr>
              <w:sz w:val="20"/>
              <w:szCs w:val="20"/>
              <w:lang w:val="tr-TR"/>
            </w:rPr>
            <w:t>27.05.2025</w:t>
          </w:r>
        </w:p>
      </w:tc>
    </w:tr>
    <w:tr>
      <w:trPr>
        <w:trHeight w:val="226" w:hRule="exact"/>
        <w:cantSplit w:val="true"/>
      </w:trPr>
      <w:tc>
        <w:tcPr>
          <w:tcW w:w="1431"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jc w:val="center"/>
            <w:rPr>
              <w:rFonts w:ascii="Calibri" w:hAnsi="Calibri"/>
              <w:sz w:val="20"/>
              <w:szCs w:val="20"/>
            </w:rPr>
          </w:pPr>
          <w:r>
            <w:rPr>
              <w:rFonts w:ascii="Calibri" w:hAnsi="Calibri"/>
              <w:sz w:val="20"/>
              <w:szCs w:val="20"/>
            </w:rPr>
          </w:r>
        </w:p>
      </w:tc>
      <w:tc>
        <w:tcPr>
          <w:tcW w:w="1398"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ind w:hanging="14"/>
            <w:jc w:val="center"/>
            <w:rPr>
              <w:sz w:val="20"/>
              <w:szCs w:val="20"/>
            </w:rPr>
          </w:pPr>
          <w:r>
            <w:rPr>
              <w:sz w:val="20"/>
              <w:szCs w:val="20"/>
            </w:rPr>
          </w:r>
        </w:p>
      </w:tc>
      <w:tc>
        <w:tcPr>
          <w:tcW w:w="3796" w:type="dxa"/>
          <w:vMerge w:val="continue"/>
          <w:tcBorders>
            <w:top w:val="single" w:sz="4" w:space="0" w:color="000000"/>
            <w:left w:val="single" w:sz="4" w:space="0" w:color="000000"/>
            <w:bottom w:val="single" w:sz="4" w:space="0" w:color="000000"/>
            <w:right w:val="single" w:sz="4" w:space="0" w:color="000000"/>
          </w:tcBorders>
          <w:vAlign w:val="center"/>
        </w:tcPr>
        <w:p>
          <w:pPr>
            <w:pStyle w:val="Header"/>
            <w:tabs>
              <w:tab w:val="clear" w:pos="4536"/>
              <w:tab w:val="right" w:pos="9072" w:leader="none"/>
            </w:tabs>
            <w:jc w:val="center"/>
            <w:rPr>
              <w:sz w:val="20"/>
              <w:szCs w:val="20"/>
            </w:rPr>
          </w:pPr>
          <w:r>
            <w:rPr>
              <w:sz w:val="20"/>
              <w:szCs w:val="20"/>
            </w:rPr>
          </w:r>
        </w:p>
      </w:tc>
      <w:tc>
        <w:tcPr>
          <w:tcW w:w="1465"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561" w:leader="none"/>
              <w:tab w:val="center" w:pos="4536" w:leader="none"/>
              <w:tab w:val="right" w:pos="9072" w:leader="none"/>
            </w:tabs>
            <w:rPr>
              <w:sz w:val="20"/>
              <w:szCs w:val="20"/>
            </w:rPr>
          </w:pPr>
          <w:r>
            <w:rPr>
              <w:sz w:val="20"/>
              <w:szCs w:val="20"/>
            </w:rPr>
            <w:t>Sayfa No</w:t>
          </w:r>
        </w:p>
      </w:tc>
      <w:tc>
        <w:tcPr>
          <w:tcW w:w="1776" w:type="dxa"/>
          <w:tcBorders>
            <w:top w:val="single" w:sz="4" w:space="0" w:color="000000"/>
            <w:left w:val="single" w:sz="4" w:space="0" w:color="000000"/>
            <w:bottom w:val="single" w:sz="4" w:space="0" w:color="000000"/>
            <w:right w:val="single" w:sz="4" w:space="0" w:color="000000"/>
          </w:tcBorders>
          <w:vAlign w:val="center"/>
        </w:tcPr>
        <w:p>
          <w:pPr>
            <w:pStyle w:val="Header"/>
            <w:tabs>
              <w:tab w:val="left" w:pos="1419" w:leader="none"/>
              <w:tab w:val="center" w:pos="4536" w:leader="none"/>
              <w:tab w:val="right" w:pos="9072" w:leader="none"/>
            </w:tabs>
            <w:rPr>
              <w:rStyle w:val="Pagenumber"/>
              <w:sz w:val="20"/>
              <w:szCs w:val="20"/>
              <w:lang w:val="ru-RU"/>
            </w:rPr>
          </w:pPr>
          <w:r>
            <w:rPr>
              <w:rStyle w:val="Pagenumber"/>
              <w:sz w:val="20"/>
              <w:szCs w:val="20"/>
              <w:lang w:val="ru-RU"/>
            </w:rPr>
            <w:t>1</w:t>
          </w:r>
          <w:r>
            <w:rPr>
              <w:rStyle w:val="Pagenumber"/>
              <w:sz w:val="20"/>
              <w:szCs w:val="20"/>
            </w:rPr>
            <w:t>/</w:t>
          </w:r>
          <w:r>
            <w:rPr>
              <w:rStyle w:val="Pagenumber"/>
              <w:sz w:val="20"/>
              <w:szCs w:val="20"/>
              <w:lang w:val="ru-RU"/>
            </w:rPr>
            <w:t>1</w:t>
          </w:r>
        </w:p>
        <w:p>
          <w:pPr>
            <w:pStyle w:val="Header"/>
            <w:tabs>
              <w:tab w:val="left" w:pos="1419" w:leader="none"/>
              <w:tab w:val="center" w:pos="4536" w:leader="none"/>
              <w:tab w:val="right" w:pos="9072" w:leader="none"/>
            </w:tabs>
            <w:rPr>
              <w:sz w:val="20"/>
              <w:szCs w:val="20"/>
              <w:lang w:val="de-DE"/>
            </w:rPr>
          </w:pPr>
          <w:r>
            <w:rPr>
              <w:sz w:val="20"/>
              <w:szCs w:val="20"/>
              <w:lang w:val="de-DE"/>
            </w:rPr>
          </w:r>
        </w:p>
      </w:tc>
    </w:tr>
  </w:tbl>
  <w:p>
    <w:pPr>
      <w:pStyle w:val="Header"/>
      <w:rPr>
        <w:lang w:val="en-US"/>
      </w:rPr>
    </w:pPr>
    <w:r>
      <w:rPr>
        <w:lang w:val="en-US"/>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1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w="http://schemas.openxmlformats.org/wordprocessingml/2006/main">
  <w:zoom w:percent="13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2088f"/>
    <w:pPr>
      <w:widowControl/>
      <w:bidi w:val="0"/>
      <w:spacing w:before="0" w:after="0"/>
      <w:jc w:val="left"/>
    </w:pPr>
    <w:rPr>
      <w:rFonts w:ascii="Times New Roman" w:hAnsi="Times New Roman" w:eastAsia="Times New Roman" w:cs="Times New Roman"/>
      <w:color w:val="auto"/>
      <w:kern w:val="0"/>
      <w:sz w:val="24"/>
      <w:szCs w:val="24"/>
      <w:lang w:val="tr-TR" w:eastAsia="tr-TR" w:bidi="ar-SA"/>
    </w:rPr>
  </w:style>
  <w:style w:type="paragraph" w:styleId="Heading2">
    <w:name w:val="Heading 2"/>
    <w:basedOn w:val="Normal"/>
    <w:next w:val="Normal"/>
    <w:qFormat/>
    <w:rsid w:val="0022088f"/>
    <w:pPr>
      <w:keepNext w:val="true"/>
      <w:tabs>
        <w:tab w:val="clear" w:pos="709"/>
        <w:tab w:val="left" w:pos="-1560" w:leader="none"/>
        <w:tab w:val="left" w:pos="-1418" w:leader="none"/>
      </w:tabs>
      <w:jc w:val="center"/>
      <w:outlineLvl w:val="1"/>
    </w:pPr>
    <w:rPr>
      <w:szCs w:val="20"/>
    </w:rPr>
  </w:style>
  <w:style w:type="paragraph" w:styleId="Heading3">
    <w:name w:val="Heading 3"/>
    <w:basedOn w:val="Normal"/>
    <w:next w:val="Normal"/>
    <w:link w:val="Balk3Char"/>
    <w:unhideWhenUsed/>
    <w:qFormat/>
    <w:rsid w:val="00d72a95"/>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qFormat/>
    <w:rsid w:val="0022088f"/>
    <w:pPr>
      <w:keepNext w:val="true"/>
      <w:outlineLvl w:val="3"/>
    </w:pPr>
    <w:rPr>
      <w:b/>
      <w:szCs w:val="20"/>
    </w:rPr>
  </w:style>
  <w:style w:type="character" w:styleId="DefaultParagraphFont" w:default="1">
    <w:name w:val="Default Paragraph Font"/>
    <w:uiPriority w:val="1"/>
    <w:semiHidden/>
    <w:unhideWhenUsed/>
    <w:qFormat/>
    <w:rPr/>
  </w:style>
  <w:style w:type="character" w:styleId="StbilgiChar" w:customStyle="1">
    <w:name w:val="Üstbilgi Char"/>
    <w:link w:val="Header"/>
    <w:uiPriority w:val="99"/>
    <w:qFormat/>
    <w:rsid w:val="00d72a95"/>
    <w:rPr>
      <w:sz w:val="24"/>
      <w:szCs w:val="24"/>
    </w:rPr>
  </w:style>
  <w:style w:type="character" w:styleId="AltbilgiChar" w:customStyle="1">
    <w:name w:val="Altbilgi Char"/>
    <w:link w:val="Footer"/>
    <w:uiPriority w:val="99"/>
    <w:qFormat/>
    <w:rsid w:val="00d72a95"/>
    <w:rPr>
      <w:sz w:val="24"/>
      <w:szCs w:val="24"/>
    </w:rPr>
  </w:style>
  <w:style w:type="character" w:styleId="Balk3Char" w:customStyle="1">
    <w:name w:val="Başlık 3 Char"/>
    <w:link w:val="Heading3"/>
    <w:qFormat/>
    <w:rsid w:val="00d72a95"/>
    <w:rPr>
      <w:rFonts w:ascii="Cambria" w:hAnsi="Cambria" w:eastAsia="Times New Roman" w:cs="Times New Roman"/>
      <w:b/>
      <w:bCs/>
      <w:sz w:val="26"/>
      <w:szCs w:val="26"/>
    </w:rPr>
  </w:style>
  <w:style w:type="character" w:styleId="KonuBalChar" w:customStyle="1">
    <w:name w:val="Konu Başlığı Char"/>
    <w:link w:val="Title"/>
    <w:qFormat/>
    <w:rsid w:val="00d72a95"/>
    <w:rPr>
      <w:b/>
      <w:bCs/>
    </w:rPr>
  </w:style>
  <w:style w:type="character" w:styleId="BalonMetniChar" w:customStyle="1">
    <w:name w:val="Balon Metni Char"/>
    <w:link w:val="BalloonText"/>
    <w:qFormat/>
    <w:rsid w:val="00d72a95"/>
    <w:rPr>
      <w:rFonts w:ascii="Tahoma" w:hAnsi="Tahoma" w:cs="Tahoma"/>
      <w:sz w:val="16"/>
      <w:szCs w:val="16"/>
    </w:rPr>
  </w:style>
  <w:style w:type="character" w:styleId="Hyperlink">
    <w:name w:val="Hyperlink"/>
    <w:unhideWhenUsed/>
    <w:rsid w:val="00ef5d62"/>
    <w:rPr>
      <w:color w:val="0000FF"/>
      <w:u w:val="single"/>
    </w:rPr>
  </w:style>
  <w:style w:type="character" w:styleId="Pagenumber">
    <w:name w:val="page number"/>
    <w:basedOn w:val="DefaultParagraphFont"/>
    <w:qFormat/>
    <w:rsid w:val="00cd2dba"/>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StbilgiChar"/>
    <w:uiPriority w:val="99"/>
    <w:rsid w:val="00d72a95"/>
    <w:pPr>
      <w:tabs>
        <w:tab w:val="clear" w:pos="709"/>
        <w:tab w:val="center" w:pos="4536" w:leader="none"/>
        <w:tab w:val="right" w:pos="9072" w:leader="none"/>
      </w:tabs>
    </w:pPr>
    <w:rPr>
      <w:lang w:val="x-none" w:eastAsia="x-none"/>
    </w:rPr>
  </w:style>
  <w:style w:type="paragraph" w:styleId="Footer">
    <w:name w:val="Footer"/>
    <w:basedOn w:val="Normal"/>
    <w:link w:val="AltbilgiChar"/>
    <w:uiPriority w:val="99"/>
    <w:rsid w:val="00d72a95"/>
    <w:pPr>
      <w:tabs>
        <w:tab w:val="clear" w:pos="709"/>
        <w:tab w:val="center" w:pos="4536" w:leader="none"/>
        <w:tab w:val="right" w:pos="9072" w:leader="none"/>
      </w:tabs>
    </w:pPr>
    <w:rPr>
      <w:lang w:val="x-none" w:eastAsia="x-none"/>
    </w:rPr>
  </w:style>
  <w:style w:type="paragraph" w:styleId="Title">
    <w:name w:val="Title"/>
    <w:basedOn w:val="Normal"/>
    <w:link w:val="KonuBalChar"/>
    <w:qFormat/>
    <w:rsid w:val="00d72a95"/>
    <w:pPr>
      <w:ind w:left="46"/>
      <w:jc w:val="center"/>
    </w:pPr>
    <w:rPr>
      <w:b/>
      <w:bCs/>
      <w:sz w:val="20"/>
      <w:szCs w:val="20"/>
      <w:lang w:val="x-none" w:eastAsia="x-none"/>
    </w:rPr>
  </w:style>
  <w:style w:type="paragraph" w:styleId="BalloonText">
    <w:name w:val="Balloon Text"/>
    <w:basedOn w:val="Normal"/>
    <w:link w:val="BalonMetniChar"/>
    <w:qFormat/>
    <w:rsid w:val="00d72a95"/>
    <w:pPr/>
    <w:rPr>
      <w:rFonts w:ascii="Tahoma" w:hAnsi="Tahoma"/>
      <w:sz w:val="16"/>
      <w:szCs w:val="16"/>
      <w:lang w:val="x-none" w:eastAsia="x-none"/>
    </w:rPr>
  </w:style>
  <w:style w:type="paragraph" w:styleId="WW-NormalWeb1" w:customStyle="1">
    <w:name w:val="WW-Normal (Web)1"/>
    <w:basedOn w:val="Normal"/>
    <w:qFormat/>
    <w:rsid w:val="00ef5d62"/>
    <w:pPr>
      <w:spacing w:before="280" w:after="119"/>
    </w:pPr>
    <w:rPr>
      <w:lang w:eastAsia="ar-SA"/>
    </w:rPr>
  </w:style>
  <w:style w:type="paragraph" w:styleId="Default">
    <w:name w:val="Default"/>
    <w:qFormat/>
    <w:pPr>
      <w:widowControl/>
      <w:bidi w:val="0"/>
      <w:spacing w:before="0" w:after="0"/>
      <w:jc w:val="left"/>
    </w:pPr>
    <w:rPr>
      <w:rFonts w:ascii="Times New Roman" w:hAnsi="Times New Roman" w:eastAsia="Times New Roman" w:cs="Times New Roman"/>
      <w:color w:val="000000"/>
      <w:kern w:val="0"/>
      <w:sz w:val="24"/>
      <w:szCs w:val="20"/>
      <w:lang w:val="en-US" w:eastAsia="en-US" w:bidi="ar-SA"/>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rsid w:val="00ec4bf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TabloKlavuzuAk">
    <w:name w:val="Grid Table Light"/>
    <w:basedOn w:val="NormalTablo"/>
    <w:uiPriority w:val="40"/>
    <w:rsid w:val="001906bf"/>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akademik.mu.edu.tr/belgeler.aspx?bkod=06010000&amp;mkod=1950"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6.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LibreOffice/7.6.2.1$Windows_X86_64 LibreOffice_project/56f7684011345957bbf33a7ee678afaf4d2ba333</Application>
  <AppVersion>15.0000</AppVersion>
  <Pages>20</Pages>
  <Words>4724</Words>
  <Characters>31528</Characters>
  <CharactersWithSpaces>37025</CharactersWithSpaces>
  <Paragraphs>453</Paragraphs>
  <Company>Manas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2025-01-14T10:16:00Z</dcterms:created>
  <dc:creator>XP</dc:creator>
  <dc:description/>
  <dc:language>en-US</dc:language>
  <cp:lastModifiedBy/>
  <cp:lastPrinted>2015-04-02T08:16:00Z</cp:lastPrinted>
  <dcterms:modified xsi:type="dcterms:W3CDTF">2025-12-25T00:24:21Z</dcterms:modified>
  <cp:revision>11</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ed004b4dd3f0f98cd5e78f997f320a8f3f46d9305beb0377d2b1d6ac97ec750a</vt:lpwstr>
  </property>
</Properties>
</file>