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120"/>
        <w:jc w:val="center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 xml:space="preserve">Current and Pending Support:  </w:t>
      </w:r>
      <w:bookmarkStart w:id="0" w:name="_GoBack"/>
      <w:bookmarkEnd w:id="0"/>
      <w:r>
        <w:rPr>
          <w:b/>
          <w:color w:val="002060"/>
          <w:sz w:val="28"/>
          <w:szCs w:val="28"/>
        </w:rPr>
        <w:t>Jonathan Asaadi</w:t>
      </w:r>
    </w:p>
    <w:tbl>
      <w:tblPr>
        <w:tblW w:w="9360" w:type="dxa"/>
        <w:jc w:val="left"/>
        <w:tblInd w:w="-8" w:type="dxa"/>
        <w:tblBorders>
          <w:top w:val="single" w:sz="6" w:space="0" w:color="00000A"/>
          <w:left w:val="single" w:sz="6" w:space="0" w:color="00000A"/>
          <w:bottom w:val="single" w:sz="6" w:space="0" w:color="00000A"/>
          <w:insideH w:val="single" w:sz="6" w:space="0" w:color="00000A"/>
          <w:right w:val="single" w:sz="6" w:space="0" w:color="00000A"/>
          <w:insideV w:val="single" w:sz="6" w:space="0" w:color="00000A"/>
        </w:tblBorders>
        <w:tblCellMar>
          <w:top w:w="0" w:type="dxa"/>
          <w:left w:w="99" w:type="dxa"/>
          <w:bottom w:w="0" w:type="dxa"/>
          <w:right w:w="108" w:type="dxa"/>
        </w:tblCellMar>
      </w:tblPr>
      <w:tblGrid>
        <w:gridCol w:w="9360"/>
      </w:tblGrid>
      <w:tr>
        <w:trPr>
          <w:tblHeader w:val="true"/>
          <w:cantSplit w:val="false"/>
        </w:trPr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Current and Pending Support</w:t>
            </w:r>
          </w:p>
        </w:tc>
      </w:tr>
      <w:tr>
        <w:trPr>
          <w:cantSplit w:val="false"/>
        </w:trPr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9" w:type="dxa"/>
            </w:tcMar>
            <w:vAlign w:val="center"/>
          </w:tcPr>
          <w:p>
            <w:pPr>
              <w:pStyle w:val="Normal"/>
              <w:spacing w:before="0" w:after="0"/>
              <w:rPr>
                <w:sz w:val="22"/>
                <w:szCs w:val="22"/>
              </w:rPr>
            </w:pPr>
            <w:bookmarkStart w:id="1" w:name="__DdeLink__241_1266654823"/>
            <w:r>
              <w:rPr>
                <w:b/>
                <w:sz w:val="22"/>
                <w:szCs w:val="22"/>
              </w:rPr>
              <w:t>Support</w:t>
            </w:r>
            <w:r>
              <w:rPr>
                <w:sz w:val="22"/>
                <w:szCs w:val="22"/>
              </w:rPr>
              <w:t xml:space="preserve">: </w:t>
              <w:tab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2" w:name="__Fieldmark__15_1266654823"/>
            <w:bookmarkStart w:id="3" w:name="__Fieldmark__28_752073747"/>
            <w:bookmarkStart w:id="4" w:name="__Fieldmark__15_1266654823"/>
            <w:bookmarkStart w:id="5" w:name="__Fieldmark__15_1266654823"/>
            <w:bookmarkEnd w:id="3"/>
            <w:bookmarkEnd w:id="5"/>
            <w:r>
              <w:rPr>
                <w:sz w:val="22"/>
                <w:szCs w:val="22"/>
              </w:rPr>
            </w:r>
            <w:r>
              <w:fldChar w:fldCharType="end"/>
            </w:r>
            <w:r>
              <w:rPr>
                <w:sz w:val="22"/>
                <w:szCs w:val="22"/>
              </w:rPr>
              <w:t xml:space="preserve"> Awarded</w:t>
              <w:tab/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6" w:name="__Fieldmark__25_1266654823"/>
            <w:bookmarkStart w:id="7" w:name="__Fieldmark__33_752073747"/>
            <w:bookmarkStart w:id="8" w:name="__Fieldmark__25_1266654823"/>
            <w:bookmarkStart w:id="9" w:name="__Fieldmark__25_1266654823"/>
            <w:bookmarkEnd w:id="7"/>
            <w:bookmarkEnd w:id="9"/>
            <w:r>
              <w:rPr>
                <w:sz w:val="22"/>
                <w:szCs w:val="22"/>
              </w:rPr>
            </w:r>
            <w:r>
              <w:fldChar w:fldCharType="end"/>
            </w:r>
            <w:bookmarkEnd w:id="1"/>
            <w:r>
              <w:rPr>
                <w:sz w:val="22"/>
                <w:szCs w:val="22"/>
              </w:rPr>
              <w:t xml:space="preserve"> Pending</w:t>
            </w:r>
          </w:p>
        </w:tc>
      </w:tr>
      <w:tr>
        <w:trPr>
          <w:cantSplit w:val="false"/>
        </w:trPr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9" w:type="dxa"/>
            </w:tcMar>
            <w:vAlign w:val="center"/>
          </w:tcPr>
          <w:p>
            <w:pPr>
              <w:pStyle w:val="Normal"/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Sponsor:  </w:t>
            </w:r>
            <w:r>
              <w:rPr>
                <w:sz w:val="22"/>
                <w:szCs w:val="22"/>
              </w:rPr>
              <w:t>NSF</w:t>
            </w:r>
            <w:r>
              <w:rPr>
                <w:b/>
                <w:sz w:val="22"/>
                <w:szCs w:val="22"/>
              </w:rPr>
              <w:t xml:space="preserve">                  Award/Identifying Number:  1654507</w:t>
            </w:r>
          </w:p>
        </w:tc>
      </w:tr>
      <w:tr>
        <w:trPr>
          <w:cantSplit w:val="false"/>
        </w:trPr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9" w:type="dxa"/>
            </w:tcMar>
            <w:vAlign w:val="center"/>
          </w:tcPr>
          <w:p>
            <w:pPr>
              <w:pStyle w:val="Normal"/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Title of the Proposal</w:t>
            </w:r>
            <w:r>
              <w:rPr>
                <w:sz w:val="22"/>
                <w:szCs w:val="22"/>
              </w:rPr>
              <w:t>: CAREER: A novel fully modular liquid argon neutrino detector for the Deep Underground Neutrino Experiment</w:t>
            </w:r>
          </w:p>
        </w:tc>
      </w:tr>
      <w:tr>
        <w:trPr>
          <w:cantSplit w:val="false"/>
        </w:trPr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 Award Amount for the Entire Award Period (including indirect costs)</w:t>
            </w:r>
            <w:r>
              <w:rPr>
                <w:sz w:val="22"/>
                <w:szCs w:val="22"/>
              </w:rPr>
              <w:t>: $1,114,875</w:t>
            </w:r>
          </w:p>
        </w:tc>
      </w:tr>
      <w:tr>
        <w:trPr>
          <w:cantSplit w:val="false"/>
        </w:trPr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Award Period</w:t>
            </w:r>
            <w:r>
              <w:rPr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2017 - 2021</w:t>
            </w:r>
          </w:p>
        </w:tc>
      </w:tr>
      <w:tr>
        <w:trPr>
          <w:cantSplit w:val="false"/>
        </w:trPr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Number of Person-months per year to be devoted to the project</w:t>
            </w:r>
            <w:r>
              <w:rPr>
                <w:sz w:val="22"/>
                <w:szCs w:val="22"/>
              </w:rPr>
              <w:t>: 2 months/year</w:t>
            </w:r>
          </w:p>
        </w:tc>
      </w:tr>
      <w:tr>
        <w:trPr>
          <w:trHeight w:val="301" w:hRule="atLeast"/>
          <w:cantSplit w:val="false"/>
        </w:trPr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spacing w:before="0" w:after="0"/>
              <w:rPr>
                <w:b w:val="false"/>
                <w:bCs w:val="false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Abstract:  </w:t>
            </w:r>
            <w:r>
              <w:rPr>
                <w:b w:val="false"/>
                <w:bCs w:val="false"/>
                <w:sz w:val="22"/>
                <w:szCs w:val="22"/>
              </w:rPr>
              <w:t>This proposal puts forward the development of a new modular liquid argon time projection chamber (LArTPC) neutrino detector to be used as a near detector for the Deep Underground Neutrino Experiment (DUNE). The ultimate goal of this project is to demonstrate the feasibility of constructing and operating identical but separate LArTPC modules in a common bath of liquid argon. Each module features a relatively short drift length and at a fully independent TPC with its own readout, light detection system, cryogenics, and services.</w:t>
            </w:r>
          </w:p>
        </w:tc>
      </w:tr>
    </w:tbl>
    <w:p>
      <w:pPr>
        <w:pStyle w:val="Normal"/>
        <w:spacing w:before="0" w:after="0"/>
        <w:rPr>
          <w:b/>
          <w:color w:val="002060"/>
          <w:sz w:val="16"/>
          <w:szCs w:val="16"/>
        </w:rPr>
      </w:pPr>
      <w:r>
        <w:rPr>
          <w:b/>
          <w:color w:val="002060"/>
          <w:sz w:val="16"/>
          <w:szCs w:val="16"/>
        </w:rPr>
      </w:r>
    </w:p>
    <w:p>
      <w:pPr>
        <w:pStyle w:val="Normal"/>
        <w:spacing w:before="0" w:after="0"/>
        <w:rPr>
          <w:b/>
          <w:color w:val="002060"/>
          <w:sz w:val="16"/>
          <w:szCs w:val="16"/>
        </w:rPr>
      </w:pPr>
      <w:r>
        <w:rPr>
          <w:b/>
          <w:color w:val="002060"/>
          <w:sz w:val="16"/>
          <w:szCs w:val="16"/>
        </w:rPr>
      </w:r>
    </w:p>
    <w:p>
      <w:pPr>
        <w:pStyle w:val="Normal"/>
        <w:spacing w:before="0" w:after="0"/>
        <w:rPr>
          <w:b/>
          <w:color w:val="002060"/>
          <w:sz w:val="16"/>
          <w:szCs w:val="16"/>
        </w:rPr>
      </w:pPr>
      <w:r>
        <w:rPr>
          <w:b/>
          <w:color w:val="002060"/>
          <w:sz w:val="16"/>
          <w:szCs w:val="16"/>
        </w:rPr>
      </w:r>
    </w:p>
    <w:tbl>
      <w:tblPr>
        <w:tblW w:w="9360" w:type="dxa"/>
        <w:jc w:val="left"/>
        <w:tblInd w:w="-16" w:type="dxa"/>
        <w:tblBorders>
          <w:top w:val="single" w:sz="6" w:space="0" w:color="00000A"/>
          <w:left w:val="single" w:sz="6" w:space="0" w:color="00000A"/>
          <w:bottom w:val="single" w:sz="6" w:space="0" w:color="00000A"/>
          <w:insideH w:val="single" w:sz="6" w:space="0" w:color="00000A"/>
          <w:right w:val="single" w:sz="6" w:space="0" w:color="00000A"/>
          <w:insideV w:val="single" w:sz="6" w:space="0" w:color="00000A"/>
        </w:tblBorders>
        <w:tblCellMar>
          <w:top w:w="0" w:type="dxa"/>
          <w:left w:w="91" w:type="dxa"/>
          <w:bottom w:w="0" w:type="dxa"/>
          <w:right w:w="108" w:type="dxa"/>
        </w:tblCellMar>
      </w:tblPr>
      <w:tblGrid>
        <w:gridCol w:w="9360"/>
      </w:tblGrid>
      <w:tr>
        <w:trPr>
          <w:tblHeader w:val="true"/>
          <w:cantSplit w:val="false"/>
        </w:trPr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1" w:type="dxa"/>
            </w:tcMar>
            <w:vAlign w:val="center"/>
          </w:tcPr>
          <w:p>
            <w:pPr>
              <w:pStyle w:val="Normal"/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Support</w:t>
            </w:r>
            <w:r>
              <w:rPr>
                <w:sz w:val="22"/>
                <w:szCs w:val="22"/>
              </w:rPr>
              <w:t xml:space="preserve">: </w:t>
              <w:tab/>
            </w:r>
            <w:r>
              <w:fldChar w:fldCharType="begin"/>
            </w:r>
            <w:r/>
            <w:r>
              <w:fldChar w:fldCharType="separate"/>
            </w:r>
            <w:bookmarkStart w:id="10" w:name="__Fieldmark__71_217104713"/>
            <w:bookmarkStart w:id="11" w:name="__Fieldmark__68_129150654"/>
            <w:bookmarkStart w:id="12" w:name="__Fieldmark__152_1266654823"/>
            <w:bookmarkEnd w:id="10"/>
            <w:bookmarkEnd w:id="11"/>
            <w:bookmarkEnd w:id="12"/>
            <w:r>
              <w:rPr>
                <w:sz w:val="22"/>
                <w:szCs w:val="22"/>
              </w:rPr>
              <w:t xml:space="preserve"> Awarded</w:t>
              <w:tab/>
            </w:r>
            <w:r>
              <w:fldChar w:fldCharType="end"/>
            </w:r>
            <w:r>
              <w:rPr>
                <w:rFonts w:ascii="Cabin" w:hAnsi="Cabin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 xml:space="preserve"> </w:t>
            </w:r>
            <w:r>
              <w:fldChar w:fldCharType="begin"/>
            </w:r>
            <w:r/>
            <w:r>
              <w:fldChar w:fldCharType="separate"/>
            </w:r>
            <w:bookmarkStart w:id="13" w:name="__Fieldmark__76_217104713"/>
            <w:bookmarkStart w:id="14" w:name="__Fieldmark__78_129150654"/>
            <w:bookmarkStart w:id="15" w:name="__Fieldmark__165_1266654823"/>
            <w:bookmarkEnd w:id="13"/>
            <w:bookmarkEnd w:id="14"/>
            <w:bookmarkEnd w:id="15"/>
            <w:r>
              <w:rPr>
                <w:sz w:val="22"/>
                <w:szCs w:val="22"/>
              </w:rPr>
              <w:t xml:space="preserve"> Pending </w:t>
            </w:r>
            <w:r>
              <w:fldChar w:fldCharType="end"/>
            </w:r>
          </w:p>
        </w:tc>
      </w:tr>
      <w:tr>
        <w:trPr>
          <w:cantSplit w:val="false"/>
        </w:trPr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1" w:type="dxa"/>
            </w:tcMar>
            <w:vAlign w:val="center"/>
          </w:tcPr>
          <w:p>
            <w:pPr>
              <w:pStyle w:val="Normal"/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Sponsor:  </w:t>
            </w:r>
            <w:r>
              <w:rPr>
                <w:b w:val="false"/>
                <w:bCs w:val="false"/>
                <w:sz w:val="22"/>
                <w:szCs w:val="22"/>
              </w:rPr>
              <w:t>DOE</w:t>
            </w:r>
            <w:r>
              <w:rPr>
                <w:b/>
                <w:sz w:val="22"/>
                <w:szCs w:val="22"/>
              </w:rPr>
              <w:t xml:space="preserve">                                     Award Number</w:t>
            </w:r>
            <w:r>
              <w:rPr>
                <w:sz w:val="22"/>
                <w:szCs w:val="22"/>
              </w:rPr>
              <w:t xml:space="preserve">: </w:t>
            </w:r>
          </w:p>
        </w:tc>
      </w:tr>
      <w:tr>
        <w:trPr>
          <w:cantSplit w:val="false"/>
        </w:trPr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spacing w:before="0" w:after="0"/>
              <w:rPr>
                <w:rFonts w:eastAsia="Calibri" w:cs="Calibri"/>
                <w:b w:val="false"/>
                <w:bCs w:val="false"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</w:rPr>
              <w:t xml:space="preserve">Title of the Funded Research Project: </w:t>
            </w:r>
            <w:r>
              <w:rPr>
                <w:rFonts w:eastAsia="Calibri" w:cs="Calibri"/>
                <w:b w:val="false"/>
                <w:bCs w:val="false"/>
                <w:sz w:val="22"/>
                <w:szCs w:val="22"/>
                <w:lang w:eastAsia="en-US"/>
              </w:rPr>
              <w:t>Research in Elementary Particle Phyiscs</w:t>
            </w:r>
          </w:p>
        </w:tc>
      </w:tr>
      <w:tr>
        <w:trPr>
          <w:cantSplit w:val="false"/>
        </w:trPr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spacing w:before="0" w:after="0"/>
              <w:rPr>
                <w:b w:val="false"/>
                <w:bCs w:val="false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Total Award Amount for the Entire Award Period (including indirect costs): </w:t>
            </w:r>
            <w:r>
              <w:rPr>
                <w:b w:val="false"/>
                <w:bCs w:val="false"/>
                <w:sz w:val="22"/>
                <w:szCs w:val="22"/>
              </w:rPr>
              <w:t>$?????</w:t>
            </w:r>
          </w:p>
        </w:tc>
      </w:tr>
      <w:tr>
        <w:trPr>
          <w:cantSplit w:val="false"/>
        </w:trPr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Award Period</w:t>
            </w:r>
            <w:r>
              <w:rPr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04</w:t>
            </w:r>
            <w:r>
              <w:rPr>
                <w:sz w:val="22"/>
                <w:szCs w:val="22"/>
              </w:rPr>
              <w:t xml:space="preserve">/01/17 - 03/31/20 </w:t>
            </w:r>
          </w:p>
        </w:tc>
      </w:tr>
      <w:tr>
        <w:trPr>
          <w:cantSplit w:val="false"/>
        </w:trPr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Number of Person-months per year to be devoted to the project by the PI</w:t>
            </w:r>
            <w:r>
              <w:rPr>
                <w:sz w:val="22"/>
                <w:szCs w:val="22"/>
              </w:rPr>
              <w:t>: 2.0</w:t>
            </w:r>
          </w:p>
        </w:tc>
      </w:tr>
      <w:tr>
        <w:trPr>
          <w:cantSplit w:val="false"/>
        </w:trPr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  <w:bCs/>
              </w:rPr>
              <w:t>Abstract:</w:t>
            </w:r>
            <w:r>
              <w:rPr/>
              <w:t xml:space="preserve"> 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bin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"/>
        <w:szCs w:val="22"/>
        <w:lang w:val="en-US" w:eastAsia="en-US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322a21"/>
    <w:pPr>
      <w:widowControl/>
      <w:suppressAutoHyphens w:val="true"/>
      <w:bidi w:val="0"/>
      <w:spacing w:lineRule="auto" w:line="240" w:before="0" w:after="200"/>
      <w:jc w:val="left"/>
    </w:pPr>
    <w:rPr>
      <w:rFonts w:ascii="Times New Roman" w:hAnsi="Times New Roman" w:eastAsia="MS PGothic" w:cs="Times New Roman"/>
      <w:color w:val="00000A"/>
      <w:sz w:val="24"/>
      <w:szCs w:val="24"/>
      <w:lang w:val="en-US" w:eastAsia="ja-JP" w:bidi="ar-SA"/>
    </w:rPr>
  </w:style>
  <w:style w:type="character" w:styleId="DefaultParagraphFont" w:default="1">
    <w:name w:val="Default Paragraph Font"/>
    <w:uiPriority w:val="1"/>
    <w:qFormat/>
    <w:unhideWhenUsed/>
    <w:rPr/>
  </w:style>
  <w:style w:type="character" w:styleId="HTMLPreformattedChar" w:customStyle="1">
    <w:name w:val="HTML Preformatted Char"/>
    <w:uiPriority w:val="99"/>
    <w:qFormat/>
    <w:link w:val="HTMLPreformatted"/>
    <w:rsid w:val="00e361d2"/>
    <w:basedOn w:val="DefaultParagraphFont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MS PGothic" w:cs="Times New Roman"/>
      <w:b w:val="false"/>
      <w:color w:val="00000A"/>
      <w:sz w:val="24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paragraph" w:styleId="Heading">
    <w:name w:val="Heading"/>
    <w:qFormat/>
    <w:basedOn w:val="Normal"/>
    <w:next w:val="TextBody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qFormat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qFormat/>
    <w:basedOn w:val="Normal"/>
    <w:pPr>
      <w:suppressLineNumbers/>
    </w:pPr>
    <w:rPr>
      <w:rFonts w:cs="FreeSans"/>
    </w:rPr>
  </w:style>
  <w:style w:type="paragraph" w:styleId="HTMLPreformatted">
    <w:name w:val="HTML Preformatted"/>
    <w:uiPriority w:val="99"/>
    <w:qFormat/>
    <w:unhideWhenUsed/>
    <w:link w:val="HTMLPreformattedChar"/>
    <w:rsid w:val="00e361d2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</w:pPr>
    <w:rPr>
      <w:rFonts w:ascii="Courier New" w:hAnsi="Courier New" w:eastAsia="Times New Roman" w:cs="Courier New"/>
      <w:sz w:val="20"/>
      <w:szCs w:val="20"/>
      <w:lang w:eastAsia="en-US"/>
    </w:rPr>
  </w:style>
  <w:style w:type="paragraph" w:styleId="ListParagraph">
    <w:name w:val="List Paragraph"/>
    <w:uiPriority w:val="34"/>
    <w:qFormat/>
    <w:rsid w:val="00951b60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qFormat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LibreOffice/5.1.4.2$Linux_X86_64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2016-09-05T22:52:00Z</dcterms:created>
  <dc:creator>Wund, Andrea</dc:creator>
  <dc:language>en-US</dc:language>
  <dcterms:modified xsi:type="dcterms:W3CDTF">2016-09-08T05:59:52Z</dcterms:modified>
  <cp:revision>7</cp:revision>
</cp:coreProperties>
</file>