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28"/>
        </w:rPr>
        <w:t>ALLENIOM UTILITIES — DER PROGRAM OFFICE</w:t>
      </w:r>
    </w:p>
    <w:p>
      <w:pPr>
        <w:spacing w:after="200"/>
        <w:pBdr>
          <w:bottom w:val="single" w:sz="12" w:space="1" w:color="1F3A5F"/>
        </w:pBdr>
      </w:pPr>
      <w:r>
        <w:rPr>
          <w:b w:val="0"/>
          <w:i w:val="0"/>
          <w:color w:val="555555"/>
          <w:sz w:val="18"/>
        </w:rPr>
        <w:t>Commissioning · 4200 Veldmere Boulevard, Halston, Alleron 01HA · (612) 555-0100 · alleniom.com</w:t>
      </w:r>
    </w:p>
    <w:p>
      <w:pPr>
        <w:spacing w:after="200"/>
      </w:pPr>
      <w:r>
        <w:rPr>
          <w:b w:val="0"/>
          <w:i w:val="0"/>
        </w:rPr>
        <w:t>07/14/2025</w:t>
      </w:r>
    </w:p>
    <w:p>
      <w:pPr>
        <w:spacing w:after="0"/>
      </w:pPr>
      <w:r>
        <w:rPr>
          <w:b w:val="0"/>
          <w:i w:val="0"/>
        </w:rPr>
        <w:t>Ms. Imogen Strathe</w:t>
      </w:r>
    </w:p>
    <w:p>
      <w:pPr>
        <w:spacing w:after="0"/>
      </w:pPr>
      <w:r>
        <w:rPr>
          <w:b w:val="0"/>
          <w:i w:val="0"/>
        </w:rPr>
        <w:t>Project Manager</w:t>
      </w:r>
    </w:p>
    <w:p>
      <w:pPr>
        <w:spacing w:after="0"/>
      </w:pPr>
      <w:r>
        <w:rPr>
          <w:b w:val="0"/>
          <w:i w:val="0"/>
        </w:rPr>
        <w:t>Halbray Community Solar LP</w:t>
      </w:r>
    </w:p>
    <w:p>
      <w:pPr>
        <w:spacing w:after="0"/>
      </w:pPr>
      <w:r>
        <w:rPr>
          <w:b w:val="0"/>
          <w:i w:val="0"/>
        </w:rPr>
        <w:t>6120 Halbray Road</w:t>
      </w:r>
    </w:p>
    <w:p>
      <w:pPr>
        <w:spacing w:after="0"/>
      </w:pPr>
      <w:r>
        <w:rPr>
          <w:b w:val="0"/>
          <w:i w:val="0"/>
        </w:rPr>
        <w:t>Kelloway Township, Alleron 07KT</w:t>
      </w:r>
    </w:p>
    <w:p>
      <w:pPr>
        <w:spacing w:after="80"/>
      </w:pPr>
    </w:p>
    <w:p>
      <w:pPr>
        <w:spacing w:after="160"/>
      </w:pPr>
      <w:r>
        <w:rPr>
          <w:b/>
        </w:rPr>
        <w:t xml:space="preserve">Re:  </w:t>
      </w:r>
      <w:r>
        <w:rPr>
          <w:b/>
        </w:rPr>
        <w:t>Pre-PTO backfeed request of 07/09/2025 — Halbray Field Solar Site 3 (PXA-2024-0002), feeder ALN-159, ISA-Halbray-Field-Site-3</w:t>
      </w:r>
    </w:p>
    <w:p>
      <w:r>
        <w:rPr>
          <w:b w:val="0"/>
          <w:i w:val="0"/>
        </w:rPr>
        <w:t>Dear Ms. Strathe:</w:t>
      </w:r>
    </w:p>
    <w:p>
      <w:r>
        <w:rPr>
          <w:b w:val="0"/>
          <w:i w:val="0"/>
        </w:rPr>
        <w:t>Thank you for your letter of 07/09/2025. It is the written request that the pre-PTO backfeed term of the ISA calls for, and it asks us to energize the site's step-up transformer and ac collection system from feeder ALN-159 on 07/29/2025 so that Tamsworth Electrical Constructors can run the inverters' pre-start checks on utility power.</w:t>
      </w:r>
    </w:p>
    <w:p>
      <w:pPr>
        <w:keepNext/>
        <w:spacing w:after="60" w:before="160"/>
      </w:pPr>
      <w:r>
        <w:rPr>
          <w:b/>
          <w:i w:val="0"/>
          <w:color w:val="1F3A5F"/>
          <w:sz w:val="22"/>
        </w:rPr>
        <w:t>Our answer</w:t>
      </w:r>
    </w:p>
    <w:p>
      <w:r>
        <w:rPr>
          <w:b/>
        </w:rPr>
        <w:t xml:space="preserve">As the record stands today, we cannot energize Site 3 on 07/29/2025, and we cannot confirm that date. </w:t>
      </w:r>
      <w:r>
        <w:rPr>
          <w:b w:val="0"/>
        </w:rPr>
        <w:t>Two things stand in the way:</w:t>
      </w:r>
    </w:p>
    <w:p>
      <w:pPr>
        <w:pStyle w:val="ListBullet"/>
        <w:spacing w:after="60"/>
      </w:pPr>
      <w:r>
        <w:rPr>
          <w:b/>
        </w:rPr>
        <w:t xml:space="preserve">No final approval from the Township. </w:t>
      </w:r>
      <w:r>
        <w:rPr>
          <w:b w:val="0"/>
        </w:rPr>
        <w:t>Kelloway Township permit EP-25-0418 forbids energizing the permitted work before final approval, and the final inspection is not until 07/24/2025.</w:t>
      </w:r>
    </w:p>
    <w:p>
      <w:pPr>
        <w:pStyle w:val="ListBullet"/>
        <w:spacing w:after="60"/>
      </w:pPr>
      <w:r>
        <w:rPr>
          <w:b/>
        </w:rPr>
        <w:t xml:space="preserve">Code nonconformities in the construction records. </w:t>
      </w:r>
      <w:r>
        <w:rPr>
          <w:b w:val="0"/>
        </w:rPr>
        <w:t>Tamsworth's schedules show five items that, as drawn, do not meet the National Electrical Code that the Township enforces. They need to be corrected before the 07/24/2025 inspection if final approval is to be issued in time.</w:t>
      </w:r>
    </w:p>
    <w:p>
      <w:r>
        <w:rPr>
          <w:b w:val="0"/>
          <w:i w:val="0"/>
        </w:rPr>
        <w:t>If both are cleared before 07/29/2025 as set out in section 3, we will confirm the date in writing, and Distribution Operations will do the switching under its own switching order, as the ISA provides.</w:t>
      </w:r>
    </w:p>
    <w:p>
      <w:pPr>
        <w:keepNext/>
        <w:spacing w:after="60" w:before="160"/>
      </w:pPr>
      <w:r>
        <w:rPr>
          <w:b/>
          <w:i w:val="0"/>
          <w:color w:val="1F3A5F"/>
          <w:sz w:val="22"/>
        </w:rPr>
        <w:t>1.  The permit condition</w:t>
      </w:r>
    </w:p>
    <w:p>
      <w:r>
        <w:rPr>
          <w:b w:val="0"/>
          <w:i w:val="0"/>
        </w:rPr>
        <w:t>The Township issued EP-25-0418 to Tamsworth Electrical Constructors Inc. on 05/12/2025 for the 2.3 MW ac system: the four inverter skids, the ac collection system, the 2,500 kVA step-up transformer and its 13.2 kV interconnection. The permit states: “No permitted work shall be energized before final approval.” A backfeed energizes exactly that work: T-1 through primary switch PSW-1, switchboard CSB-1, collection feeders C-1 to C-4, each skid's ac combiner panel, disconnect and inverter output circuits up to the disabled inverters, and, through the 30 A breaker in CSB-1, panelboard AUX-1 and the tracker controllers. The final inspection is booked for 07/24/2025, and our record has no final approval. The ISA allows us to energize at your written request, but it does not override the Township's condition. We will not energize until we have the Township's written final approval.</w:t>
      </w:r>
    </w:p>
    <w:p>
      <w:pPr>
        <w:keepNext/>
        <w:spacing w:after="60" w:before="160"/>
      </w:pPr>
      <w:r>
        <w:rPr>
          <w:b/>
          <w:i w:val="0"/>
          <w:color w:val="1F3A5F"/>
          <w:sz w:val="22"/>
        </w:rPr>
        <w:t>2.  Code items in the construction records</w:t>
      </w:r>
    </w:p>
    <w:p>
      <w:pPr>
        <w:spacing w:after="120"/>
      </w:pPr>
      <w:r>
        <w:rPr>
          <w:b w:val="0"/>
          <w:i w:val="0"/>
        </w:rPr>
        <w:t>We read Tamsworth's schedules against NFPA 70, National Electrical Code, 2023 edition, which the permit cites as adopted by Township Ordinance 2024-03. The schedules are drawings E-201 (equipment), E-202 (auxiliary power and controls), E-203 (tracker row wiring) and E-301 (inverter skids), all Rev B, dated 06/20/2025. We found no issue with the conductors and overcurrent devices of the collection feeders and inverter circuits, the equipment grounding conductors, or the equipment short-circuit ratings against the 31.4 kA available at CSB-1. As drawn, the five items below do not comply. The Township decides compliance. We raise these items because they are plain from the schedules and would stand between the inspection and final approval.</w:t>
      </w:r>
    </w:p>
    <w:tbl>
      <w:tblPr>
        <w:tblStyle w:val="TableGrid"/>
        <w:tblW w:type="dxa" w:w="9360"/>
        <w:jc w:val="center"/>
        <w:tblLayout w:type="fixed"/>
        <w:tblLook w:firstColumn="1" w:firstRow="1" w:lastColumn="0" w:lastRow="0" w:noHBand="0" w:noVBand="1" w:val="04A0"/>
        <w:tblCellMar>
          <w:top w:w="50" w:type="dxa"/>
          <w:left w:w="80" w:type="dxa"/>
          <w:bottom w:w="50" w:type="dxa"/>
          <w:right w:w="80" w:type="dxa"/>
        </w:tblCellMar>
        <w:tblLayout w:type="fixed"/>
      </w:tblPr>
      <w:tblGrid>
        <w:gridCol w:w="432"/>
        <w:gridCol w:w="2951"/>
        <w:gridCol w:w="3168"/>
        <w:gridCol w:w="2808"/>
      </w:tblGrid>
      <w:tr>
        <w:trPr>
          <w:tblHeader w:val="true"/>
        </w:trPr>
        <w:tc>
          <w:tcPr>
            <w:tcW w:type="dxa" w:w="432"/>
            <w:shd w:val="clear" w:color="auto" w:fill="D9E2F3"/>
          </w:tcPr>
          <w:p>
            <w:pPr>
              <w:spacing w:after="0" w:line="240" w:lineRule="auto"/>
            </w:pPr>
            <w:r/>
            <w:r>
              <w:rPr>
                <w:b/>
                <w:sz w:val="17"/>
              </w:rPr>
              <w:t>#</w:t>
            </w:r>
          </w:p>
        </w:tc>
        <w:tc>
          <w:tcPr>
            <w:tcW w:type="dxa" w:w="2952"/>
            <w:shd w:val="clear" w:color="auto" w:fill="D9E2F3"/>
          </w:tcPr>
          <w:p>
            <w:pPr>
              <w:spacing w:after="0" w:line="240" w:lineRule="auto"/>
            </w:pPr>
            <w:r/>
            <w:r>
              <w:rPr>
                <w:b/>
                <w:sz w:val="17"/>
              </w:rPr>
              <w:t>What the schedules show</w:t>
            </w:r>
          </w:p>
        </w:tc>
        <w:tc>
          <w:tcPr>
            <w:tcW w:type="dxa" w:w="3168"/>
            <w:shd w:val="clear" w:color="auto" w:fill="D9E2F3"/>
          </w:tcPr>
          <w:p>
            <w:pPr>
              <w:spacing w:after="0" w:line="240" w:lineRule="auto"/>
            </w:pPr>
            <w:r/>
            <w:r>
              <w:rPr>
                <w:b/>
                <w:sz w:val="17"/>
              </w:rPr>
              <w:t>NEC 2023 requirement</w:t>
            </w:r>
          </w:p>
        </w:tc>
        <w:tc>
          <w:tcPr>
            <w:tcW w:type="dxa" w:w="2808"/>
            <w:shd w:val="clear" w:color="auto" w:fill="D9E2F3"/>
          </w:tcPr>
          <w:p>
            <w:pPr>
              <w:spacing w:after="0" w:line="240" w:lineRule="auto"/>
            </w:pPr>
            <w:r/>
            <w:r>
              <w:rPr>
                <w:b/>
                <w:sz w:val="17"/>
              </w:rPr>
              <w:t>What has to be done</w:t>
            </w:r>
          </w:p>
        </w:tc>
      </w:tr>
      <w:tr>
        <w:trPr>
          <w:cantSplit w:val="true"/>
        </w:trPr>
        <w:tc>
          <w:tcPr>
            <w:tcW w:type="dxa" w:w="432"/>
          </w:tcPr>
          <w:p>
            <w:pPr>
              <w:spacing w:after="0" w:line="240" w:lineRule="auto"/>
            </w:pPr>
            <w:r/>
            <w:r>
              <w:rPr>
                <w:b w:val="0"/>
                <w:sz w:val="17"/>
              </w:rPr>
              <w:t>1</w:t>
            </w:r>
          </w:p>
        </w:tc>
        <w:tc>
          <w:tcPr>
            <w:tcW w:type="dxa" w:w="2952"/>
          </w:tcPr>
          <w:p>
            <w:pPr>
              <w:spacing w:after="0" w:line="240" w:lineRule="auto"/>
            </w:pPr>
            <w:r/>
            <w:r>
              <w:rPr>
                <w:b/>
                <w:sz w:val="17"/>
              </w:rPr>
              <w:t xml:space="preserve">E-202. </w:t>
            </w:r>
            <w:r>
              <w:rPr>
                <w:b w:val="0"/>
                <w:sz w:val="17"/>
              </w:rPr>
              <w:t>AUX-1 and tracker controllers TC-1 to TC-8 are outdoors at the array north edge. They are mounted on 1-5/8 in. steel strut with a green enamel finish.</w:t>
            </w:r>
          </w:p>
        </w:tc>
        <w:tc>
          <w:tcPr>
            <w:tcW w:type="dxa" w:w="3168"/>
          </w:tcPr>
          <w:p>
            <w:pPr>
              <w:spacing w:after="0" w:line="240" w:lineRule="auto"/>
            </w:pPr>
            <w:r/>
            <w:r>
              <w:rPr>
                <w:b/>
                <w:sz w:val="17"/>
              </w:rPr>
              <w:t xml:space="preserve">NEC 300.6(A)(1). </w:t>
            </w:r>
            <w:r>
              <w:rPr>
                <w:b w:val="0"/>
                <w:sz w:val="17"/>
              </w:rPr>
              <w:t>Ferrous supports and support hardware protected from corrosion solely by enamel shall not be used outdoors or in wet locations.</w:t>
            </w:r>
          </w:p>
        </w:tc>
        <w:tc>
          <w:tcPr>
            <w:tcW w:type="dxa" w:w="2808"/>
          </w:tcPr>
          <w:p>
            <w:pPr>
              <w:spacing w:after="0" w:line="240" w:lineRule="auto"/>
            </w:pPr>
            <w:r/>
            <w:r>
              <w:rPr>
                <w:b w:val="0"/>
                <w:sz w:val="17"/>
              </w:rPr>
              <w:t>Replace the strut and its hardware with supports protected for outdoor use, such as hot-dip galvanized or stainless steel.</w:t>
            </w:r>
          </w:p>
        </w:tc>
      </w:tr>
      <w:tr>
        <w:trPr>
          <w:cantSplit w:val="true"/>
        </w:trPr>
        <w:tc>
          <w:tcPr>
            <w:tcW w:type="dxa" w:w="432"/>
          </w:tcPr>
          <w:p>
            <w:pPr>
              <w:spacing w:after="0" w:line="240" w:lineRule="auto"/>
            </w:pPr>
            <w:r/>
            <w:r>
              <w:rPr>
                <w:b w:val="0"/>
                <w:sz w:val="17"/>
              </w:rPr>
              <w:t>2</w:t>
            </w:r>
          </w:p>
        </w:tc>
        <w:tc>
          <w:tcPr>
            <w:tcW w:type="dxa" w:w="2952"/>
          </w:tcPr>
          <w:p>
            <w:pPr>
              <w:spacing w:after="0" w:line="240" w:lineRule="auto"/>
            </w:pPr>
            <w:r/>
            <w:r>
              <w:rPr>
                <w:b/>
                <w:sz w:val="17"/>
              </w:rPr>
              <w:t xml:space="preserve">E-203. </w:t>
            </w:r>
            <w:r>
              <w:rPr>
                <w:b w:val="0"/>
                <w:sz w:val="17"/>
              </w:rPr>
              <w:t>The drive circuits to the 96 row slew drives (8 blocks of 12 rows) are 3 x 12 AWG Cu Type TC. They run from each block controller along the row piles, with no cable tray, raceway or messenger shown.</w:t>
            </w:r>
          </w:p>
        </w:tc>
        <w:tc>
          <w:tcPr>
            <w:tcW w:type="dxa" w:w="3168"/>
          </w:tcPr>
          <w:p>
            <w:pPr>
              <w:spacing w:after="0" w:line="240" w:lineRule="auto"/>
            </w:pPr>
            <w:r/>
            <w:r>
              <w:rPr>
                <w:b/>
                <w:sz w:val="17"/>
              </w:rPr>
              <w:t xml:space="preserve">NEC 336.12. </w:t>
            </w:r>
            <w:r>
              <w:rPr>
                <w:b w:val="0"/>
                <w:sz w:val="17"/>
              </w:rPr>
              <w:t>Type TC is not permitted outside a raceway or cable tray system except as 336.10 allows (outdoors, supported by a messenger wire). It is also not permitted where exposed to physical damage, or in direct sun unless identified as sunlight resistant.</w:t>
            </w:r>
          </w:p>
        </w:tc>
        <w:tc>
          <w:tcPr>
            <w:tcW w:type="dxa" w:w="2808"/>
          </w:tcPr>
          <w:p>
            <w:pPr>
              <w:spacing w:after="0" w:line="240" w:lineRule="auto"/>
            </w:pPr>
            <w:r/>
            <w:r>
              <w:rPr>
                <w:b w:val="0"/>
                <w:sz w:val="17"/>
              </w:rPr>
              <w:t>Install the drive circuits by a permitted method: in raceway or cable tray, or as messenger-supported, sunlight-resistant cable. Protect them from damage along the piles.</w:t>
            </w:r>
          </w:p>
        </w:tc>
      </w:tr>
      <w:tr>
        <w:trPr>
          <w:cantSplit w:val="true"/>
        </w:trPr>
        <w:tc>
          <w:tcPr>
            <w:tcW w:type="dxa" w:w="432"/>
          </w:tcPr>
          <w:p>
            <w:pPr>
              <w:spacing w:after="0" w:line="240" w:lineRule="auto"/>
            </w:pPr>
            <w:r/>
            <w:r>
              <w:rPr>
                <w:b w:val="0"/>
                <w:sz w:val="17"/>
              </w:rPr>
              <w:t>3</w:t>
            </w:r>
          </w:p>
        </w:tc>
        <w:tc>
          <w:tcPr>
            <w:tcW w:type="dxa" w:w="2952"/>
          </w:tcPr>
          <w:p>
            <w:pPr>
              <w:spacing w:after="0" w:line="240" w:lineRule="auto"/>
            </w:pPr>
            <w:r/>
            <w:r>
              <w:rPr>
                <w:b/>
                <w:sz w:val="17"/>
              </w:rPr>
              <w:t xml:space="preserve">E-301. </w:t>
            </w:r>
            <w:r>
              <w:rPr>
                <w:b w:val="0"/>
                <w:sz w:val="17"/>
              </w:rPr>
              <w:t>The inverter output circuits on each skid are 2 kV Type USE-2 in rigid steel conduit on the skid frame. That is eight 4/0 AWG circuits from the NG-XT-225s and four 1 AWG circuits from the NG-XT-125s.</w:t>
            </w:r>
          </w:p>
        </w:tc>
        <w:tc>
          <w:tcPr>
            <w:tcW w:type="dxa" w:w="3168"/>
          </w:tcPr>
          <w:p>
            <w:pPr>
              <w:spacing w:after="0" w:line="240" w:lineRule="auto"/>
            </w:pPr>
            <w:r/>
            <w:r>
              <w:rPr>
                <w:b/>
                <w:sz w:val="17"/>
              </w:rPr>
              <w:t xml:space="preserve">NEC 338.12(B)(2). </w:t>
            </w:r>
            <w:r>
              <w:rPr>
                <w:b w:val="0"/>
                <w:sz w:val="17"/>
              </w:rPr>
              <w:t>Type USE shall not be used above ground, except where it emerges from the ground and terminates in an enclosure outdoors.</w:t>
            </w:r>
          </w:p>
        </w:tc>
        <w:tc>
          <w:tcPr>
            <w:tcW w:type="dxa" w:w="2808"/>
          </w:tcPr>
          <w:p>
            <w:pPr>
              <w:spacing w:after="0" w:line="240" w:lineRule="auto"/>
            </w:pPr>
            <w:r/>
            <w:r>
              <w:rPr>
                <w:b w:val="0"/>
                <w:sz w:val="17"/>
              </w:rPr>
              <w:t>Show from the cable's printed marking that it is also listed for above-ground use (for example, USE-2/RHW-2). Otherwise, replace it with such a conductor rated for the 800 V system, such as the 2 kV RHW-2 used in the collection feeders.</w:t>
            </w:r>
          </w:p>
        </w:tc>
      </w:tr>
      <w:tr>
        <w:trPr>
          <w:cantSplit w:val="true"/>
        </w:trPr>
        <w:tc>
          <w:tcPr>
            <w:tcW w:type="dxa" w:w="432"/>
          </w:tcPr>
          <w:p>
            <w:pPr>
              <w:spacing w:after="0" w:line="240" w:lineRule="auto"/>
            </w:pPr>
            <w:r/>
            <w:r>
              <w:rPr>
                <w:b w:val="0"/>
                <w:sz w:val="17"/>
              </w:rPr>
              <w:t>4</w:t>
            </w:r>
          </w:p>
        </w:tc>
        <w:tc>
          <w:tcPr>
            <w:tcW w:type="dxa" w:w="2952"/>
          </w:tcPr>
          <w:p>
            <w:pPr>
              <w:spacing w:after="0" w:line="240" w:lineRule="auto"/>
            </w:pPr>
            <w:r/>
            <w:r>
              <w:rPr>
                <w:b/>
                <w:sz w:val="17"/>
              </w:rPr>
              <w:t xml:space="preserve">E-201. </w:t>
            </w:r>
            <w:r>
              <w:rPr>
                <w:b w:val="0"/>
                <w:sz w:val="17"/>
              </w:rPr>
              <w:t>CSB-1's main breaker is 2,000 A. The four skids send 4 × 415 A = 1,660 A of continuous inverter output through it to T-1.</w:t>
            </w:r>
          </w:p>
        </w:tc>
        <w:tc>
          <w:tcPr>
            <w:tcW w:type="dxa" w:w="3168"/>
          </w:tcPr>
          <w:p>
            <w:pPr>
              <w:spacing w:after="0" w:line="240" w:lineRule="auto"/>
            </w:pPr>
            <w:r/>
            <w:r>
              <w:rPr>
                <w:b/>
                <w:sz w:val="17"/>
              </w:rPr>
              <w:t xml:space="preserve">NEC 705.28(A), 705.30(B). </w:t>
            </w:r>
            <w:r>
              <w:rPr>
                <w:b w:val="0"/>
                <w:sz w:val="17"/>
              </w:rPr>
              <w:t>Overcurrent devices in power-source output circuits must be rated at least 125% of the continuous output current: 1.25 × 1,660 A = 2,075 A. The exception is a breaker and assembly listed for continuous operation at 100% of rating.</w:t>
            </w:r>
          </w:p>
        </w:tc>
        <w:tc>
          <w:tcPr>
            <w:tcW w:type="dxa" w:w="2808"/>
          </w:tcPr>
          <w:p>
            <w:pPr>
              <w:spacing w:after="0" w:line="240" w:lineRule="auto"/>
            </w:pPr>
            <w:r/>
            <w:r>
              <w:rPr>
                <w:b w:val="0"/>
                <w:sz w:val="17"/>
              </w:rPr>
              <w:t>Provide the listing showing that the main breaker and CSB-1 are 100% rated, or install a main breaker rated at least 2,075 A. 2,500 A is the next standard size and is within the NEC 450.3(A) limit for T-1's 1,804 A secondary.</w:t>
            </w:r>
          </w:p>
        </w:tc>
      </w:tr>
      <w:tr>
        <w:trPr>
          <w:cantSplit w:val="true"/>
        </w:trPr>
        <w:tc>
          <w:tcPr>
            <w:tcW w:type="dxa" w:w="432"/>
          </w:tcPr>
          <w:p>
            <w:pPr>
              <w:spacing w:after="0" w:line="240" w:lineRule="auto"/>
            </w:pPr>
            <w:r/>
            <w:r>
              <w:rPr>
                <w:b w:val="0"/>
                <w:sz w:val="17"/>
              </w:rPr>
              <w:t>5</w:t>
            </w:r>
          </w:p>
        </w:tc>
        <w:tc>
          <w:tcPr>
            <w:tcW w:type="dxa" w:w="2952"/>
          </w:tcPr>
          <w:p>
            <w:pPr>
              <w:spacing w:after="0" w:line="240" w:lineRule="auto"/>
            </w:pPr>
            <w:r/>
            <w:r>
              <w:rPr>
                <w:b/>
                <w:sz w:val="17"/>
              </w:rPr>
              <w:t xml:space="preserve">E-201, labels applied 07/02/2025. </w:t>
            </w:r>
            <w:r>
              <w:rPr>
                <w:b w:val="0"/>
                <w:sz w:val="17"/>
              </w:rPr>
              <w:t>There is no multiple-source warning on CSB-1 and no power-source directory.</w:t>
            </w:r>
          </w:p>
        </w:tc>
        <w:tc>
          <w:tcPr>
            <w:tcW w:type="dxa" w:w="3168"/>
          </w:tcPr>
          <w:p>
            <w:pPr>
              <w:spacing w:after="0" w:line="240" w:lineRule="auto"/>
            </w:pPr>
            <w:r/>
            <w:r>
              <w:rPr>
                <w:b/>
                <w:sz w:val="17"/>
              </w:rPr>
              <w:t xml:space="preserve">NEC 705.12(B)(3)(3). </w:t>
            </w:r>
            <w:r>
              <w:rPr>
                <w:b w:val="0"/>
                <w:sz w:val="17"/>
              </w:rPr>
              <w:t xml:space="preserve">CSB-1's 2,500 A bus is justified by the sum of its breakers other than the main (4 × 600 A + 30 A = 2,430 A). That method requires the “fed by multiple sources” warning label. </w:t>
            </w:r>
            <w:r>
              <w:rPr>
                <w:b/>
                <w:sz w:val="17"/>
              </w:rPr>
              <w:t xml:space="preserve">NEC 705.10. </w:t>
            </w:r>
            <w:r>
              <w:rPr>
                <w:b w:val="0"/>
                <w:sz w:val="17"/>
              </w:rPr>
              <w:t>A permanent plaque or directory is required at the 13.2 kV service (PSW-1) showing the location of each power-source disconnect.</w:t>
            </w:r>
          </w:p>
        </w:tc>
        <w:tc>
          <w:tcPr>
            <w:tcW w:type="dxa" w:w="2808"/>
          </w:tcPr>
          <w:p>
            <w:pPr>
              <w:spacing w:after="0" w:line="240" w:lineRule="auto"/>
            </w:pPr>
            <w:r/>
            <w:r>
              <w:rPr>
                <w:b w:val="0"/>
                <w:sz w:val="17"/>
              </w:rPr>
              <w:t>Apply both, in accordance with NEC 110.21(B). The directory should show the CSB-1 main and AD-1 to AD-4.</w:t>
            </w:r>
          </w:p>
        </w:tc>
      </w:tr>
    </w:tbl>
    <w:p>
      <w:pPr>
        <w:spacing w:before="120"/>
      </w:pPr>
      <w:r>
        <w:rPr>
          <w:b w:val="0"/>
          <w:i w:val="0"/>
        </w:rPr>
        <w:t>Items 1 to 3 are on equipment that the backfeed itself energizes. Items 4 and 5 matter most once the plant operates in parallel. They are still part of the permitted work that the Township inspects for final approval.</w:t>
      </w:r>
    </w:p>
    <w:p>
      <w:pPr>
        <w:keepNext/>
        <w:spacing w:after="60" w:before="160"/>
      </w:pPr>
      <w:r>
        <w:rPr>
          <w:b/>
          <w:i w:val="0"/>
          <w:color w:val="1F3A5F"/>
          <w:sz w:val="22"/>
        </w:rPr>
        <w:t>3.  What has to be done before 07/29/2025, and by whom</w:t>
      </w:r>
    </w:p>
    <w:tbl>
      <w:tblPr>
        <w:tblStyle w:val="TableGrid"/>
        <w:tblW w:type="dxa" w:w="9360"/>
        <w:jc w:val="center"/>
        <w:tblLayout w:type="fixed"/>
        <w:tblLook w:firstColumn="1" w:firstRow="1" w:lastColumn="0" w:lastRow="0" w:noHBand="0" w:noVBand="1" w:val="04A0"/>
        <w:tblCellMar>
          <w:top w:w="50" w:type="dxa"/>
          <w:left w:w="80" w:type="dxa"/>
          <w:bottom w:w="50" w:type="dxa"/>
          <w:right w:w="80" w:type="dxa"/>
        </w:tblCellMar>
        <w:tblLayout w:type="fixed"/>
      </w:tblPr>
      <w:tblGrid>
        <w:gridCol w:w="648"/>
        <w:gridCol w:w="4392"/>
        <w:gridCol w:w="2304"/>
        <w:gridCol w:w="2015"/>
      </w:tblGrid>
      <w:tr>
        <w:trPr>
          <w:tblHeader w:val="true"/>
        </w:trPr>
        <w:tc>
          <w:tcPr>
            <w:tcW w:type="dxa" w:w="648"/>
            <w:shd w:val="clear" w:color="auto" w:fill="D9E2F3"/>
          </w:tcPr>
          <w:p>
            <w:pPr>
              <w:spacing w:after="0" w:line="240" w:lineRule="auto"/>
            </w:pPr>
            <w:r/>
            <w:r>
              <w:rPr>
                <w:b/>
                <w:sz w:val="17"/>
              </w:rPr>
              <w:t>Step</w:t>
            </w:r>
          </w:p>
        </w:tc>
        <w:tc>
          <w:tcPr>
            <w:tcW w:type="dxa" w:w="4392"/>
            <w:shd w:val="clear" w:color="auto" w:fill="D9E2F3"/>
          </w:tcPr>
          <w:p>
            <w:pPr>
              <w:spacing w:after="0" w:line="240" w:lineRule="auto"/>
            </w:pPr>
            <w:r/>
            <w:r>
              <w:rPr>
                <w:b/>
                <w:sz w:val="17"/>
              </w:rPr>
              <w:t>Action</w:t>
            </w:r>
          </w:p>
        </w:tc>
        <w:tc>
          <w:tcPr>
            <w:tcW w:type="dxa" w:w="2304"/>
            <w:shd w:val="clear" w:color="auto" w:fill="D9E2F3"/>
          </w:tcPr>
          <w:p>
            <w:pPr>
              <w:spacing w:after="0" w:line="240" w:lineRule="auto"/>
            </w:pPr>
            <w:r/>
            <w:r>
              <w:rPr>
                <w:b/>
                <w:sz w:val="17"/>
              </w:rPr>
              <w:t>By whom</w:t>
            </w:r>
          </w:p>
        </w:tc>
        <w:tc>
          <w:tcPr>
            <w:tcW w:type="dxa" w:w="2016"/>
            <w:shd w:val="clear" w:color="auto" w:fill="D9E2F3"/>
          </w:tcPr>
          <w:p>
            <w:pPr>
              <w:spacing w:after="0" w:line="240" w:lineRule="auto"/>
            </w:pPr>
            <w:r/>
            <w:r>
              <w:rPr>
                <w:b/>
                <w:sz w:val="17"/>
              </w:rPr>
              <w:t>When</w:t>
            </w:r>
          </w:p>
        </w:tc>
      </w:tr>
      <w:tr>
        <w:trPr>
          <w:cantSplit w:val="true"/>
        </w:trPr>
        <w:tc>
          <w:tcPr>
            <w:tcW w:type="dxa" w:w="648"/>
          </w:tcPr>
          <w:p>
            <w:pPr>
              <w:spacing w:after="0" w:line="240" w:lineRule="auto"/>
            </w:pPr>
            <w:r/>
            <w:r>
              <w:rPr>
                <w:b w:val="0"/>
                <w:sz w:val="17"/>
              </w:rPr>
              <w:t>1</w:t>
            </w:r>
          </w:p>
        </w:tc>
        <w:tc>
          <w:tcPr>
            <w:tcW w:type="dxa" w:w="4392"/>
          </w:tcPr>
          <w:p>
            <w:pPr>
              <w:spacing w:after="0" w:line="240" w:lineRule="auto"/>
            </w:pPr>
            <w:r/>
            <w:r>
              <w:rPr>
                <w:b w:val="0"/>
                <w:sz w:val="17"/>
              </w:rPr>
              <w:t>Correct items 1 to 5. For items 3 and 4, documenting that the installed equipment already complies is enough. Issue revised schedules (the next revision of E-201, E-202, E-203 and E-301).</w:t>
            </w:r>
          </w:p>
        </w:tc>
        <w:tc>
          <w:tcPr>
            <w:tcW w:type="dxa" w:w="2304"/>
          </w:tcPr>
          <w:p>
            <w:pPr>
              <w:spacing w:after="0" w:line="240" w:lineRule="auto"/>
            </w:pPr>
            <w:r/>
            <w:r>
              <w:rPr>
                <w:b w:val="0"/>
                <w:sz w:val="17"/>
              </w:rPr>
              <w:t>Tamsworth Electrical Constructors Inc., the permit holder, at Halbray's direction</w:t>
            </w:r>
          </w:p>
        </w:tc>
        <w:tc>
          <w:tcPr>
            <w:tcW w:type="dxa" w:w="2016"/>
          </w:tcPr>
          <w:p>
            <w:pPr>
              <w:spacing w:after="0" w:line="240" w:lineRule="auto"/>
            </w:pPr>
            <w:r/>
            <w:r>
              <w:rPr>
                <w:b w:val="0"/>
                <w:sz w:val="17"/>
              </w:rPr>
              <w:t>Before the final inspection on 07/24/2025</w:t>
            </w:r>
          </w:p>
        </w:tc>
      </w:tr>
      <w:tr>
        <w:trPr>
          <w:cantSplit w:val="true"/>
        </w:trPr>
        <w:tc>
          <w:tcPr>
            <w:tcW w:type="dxa" w:w="648"/>
          </w:tcPr>
          <w:p>
            <w:pPr>
              <w:spacing w:after="0" w:line="240" w:lineRule="auto"/>
            </w:pPr>
            <w:r/>
            <w:r>
              <w:rPr>
                <w:b w:val="0"/>
                <w:sz w:val="17"/>
              </w:rPr>
              <w:t>2</w:t>
            </w:r>
          </w:p>
        </w:tc>
        <w:tc>
          <w:tcPr>
            <w:tcW w:type="dxa" w:w="4392"/>
          </w:tcPr>
          <w:p>
            <w:pPr>
              <w:spacing w:after="0" w:line="240" w:lineRule="auto"/>
            </w:pPr>
            <w:r/>
            <w:r>
              <w:rPr>
                <w:b w:val="0"/>
                <w:sz w:val="17"/>
              </w:rPr>
              <w:t>Inspect the work and issue written final approval of EP-25-0418.</w:t>
            </w:r>
          </w:p>
        </w:tc>
        <w:tc>
          <w:tcPr>
            <w:tcW w:type="dxa" w:w="2304"/>
          </w:tcPr>
          <w:p>
            <w:pPr>
              <w:spacing w:after="0" w:line="240" w:lineRule="auto"/>
            </w:pPr>
            <w:r/>
            <w:r>
              <w:rPr>
                <w:b w:val="0"/>
                <w:sz w:val="17"/>
              </w:rPr>
              <w:t>Kelloway Township Building Department (Graham Telford, Electrical Inspector)</w:t>
            </w:r>
          </w:p>
        </w:tc>
        <w:tc>
          <w:tcPr>
            <w:tcW w:type="dxa" w:w="2016"/>
          </w:tcPr>
          <w:p>
            <w:pPr>
              <w:spacing w:after="0" w:line="240" w:lineRule="auto"/>
            </w:pPr>
            <w:r/>
            <w:r>
              <w:rPr>
                <w:b w:val="0"/>
                <w:sz w:val="17"/>
              </w:rPr>
              <w:t>At the 07/24/2025 inspection, or at re-inspection if the corrections are not complete</w:t>
            </w:r>
          </w:p>
        </w:tc>
      </w:tr>
      <w:tr>
        <w:trPr>
          <w:cantSplit w:val="true"/>
        </w:trPr>
        <w:tc>
          <w:tcPr>
            <w:tcW w:type="dxa" w:w="648"/>
          </w:tcPr>
          <w:p>
            <w:pPr>
              <w:spacing w:after="0" w:line="240" w:lineRule="auto"/>
            </w:pPr>
            <w:r/>
            <w:r>
              <w:rPr>
                <w:b w:val="0"/>
                <w:sz w:val="17"/>
              </w:rPr>
              <w:t>3</w:t>
            </w:r>
          </w:p>
        </w:tc>
        <w:tc>
          <w:tcPr>
            <w:tcW w:type="dxa" w:w="4392"/>
          </w:tcPr>
          <w:p>
            <w:pPr>
              <w:spacing w:after="0" w:line="240" w:lineRule="auto"/>
            </w:pPr>
            <w:r/>
            <w:r>
              <w:rPr>
                <w:b w:val="0"/>
                <w:sz w:val="17"/>
              </w:rPr>
              <w:t>Send Commissioning the Township's written final approval and Tamsworth's revised schedules.</w:t>
            </w:r>
          </w:p>
        </w:tc>
        <w:tc>
          <w:tcPr>
            <w:tcW w:type="dxa" w:w="2304"/>
          </w:tcPr>
          <w:p>
            <w:pPr>
              <w:spacing w:after="0" w:line="240" w:lineRule="auto"/>
            </w:pPr>
            <w:r/>
            <w:r>
              <w:rPr>
                <w:b w:val="0"/>
                <w:sz w:val="17"/>
              </w:rPr>
              <w:t>Halbray Community Solar LP (you)</w:t>
            </w:r>
          </w:p>
        </w:tc>
        <w:tc>
          <w:tcPr>
            <w:tcW w:type="dxa" w:w="2016"/>
          </w:tcPr>
          <w:p>
            <w:pPr>
              <w:spacing w:after="0" w:line="240" w:lineRule="auto"/>
            </w:pPr>
            <w:r/>
            <w:r>
              <w:rPr>
                <w:b w:val="0"/>
                <w:sz w:val="17"/>
              </w:rPr>
              <w:t>As soon as final approval is issued, and before 07/29/2025</w:t>
            </w:r>
          </w:p>
        </w:tc>
      </w:tr>
      <w:tr>
        <w:trPr>
          <w:cantSplit w:val="true"/>
        </w:trPr>
        <w:tc>
          <w:tcPr>
            <w:tcW w:type="dxa" w:w="648"/>
          </w:tcPr>
          <w:p>
            <w:pPr>
              <w:spacing w:after="0" w:line="240" w:lineRule="auto"/>
            </w:pPr>
            <w:r/>
            <w:r>
              <w:rPr>
                <w:b w:val="0"/>
                <w:sz w:val="17"/>
              </w:rPr>
              <w:t>4</w:t>
            </w:r>
          </w:p>
        </w:tc>
        <w:tc>
          <w:tcPr>
            <w:tcW w:type="dxa" w:w="4392"/>
          </w:tcPr>
          <w:p>
            <w:pPr>
              <w:spacing w:after="0" w:line="240" w:lineRule="auto"/>
            </w:pPr>
            <w:r/>
            <w:r>
              <w:rPr>
                <w:b w:val="0"/>
                <w:sz w:val="17"/>
              </w:rPr>
              <w:t>Confirm the backfeed date in writing and arrange the switching with Distribution Operations, under its own switching order.</w:t>
            </w:r>
          </w:p>
        </w:tc>
        <w:tc>
          <w:tcPr>
            <w:tcW w:type="dxa" w:w="2304"/>
          </w:tcPr>
          <w:p>
            <w:pPr>
              <w:spacing w:after="0" w:line="240" w:lineRule="auto"/>
            </w:pPr>
            <w:r/>
            <w:r>
              <w:rPr>
                <w:b w:val="0"/>
                <w:sz w:val="17"/>
              </w:rPr>
              <w:t>Alleniom Commissioning (S. Rennick)</w:t>
            </w:r>
          </w:p>
        </w:tc>
        <w:tc>
          <w:tcPr>
            <w:tcW w:type="dxa" w:w="2016"/>
          </w:tcPr>
          <w:p>
            <w:pPr>
              <w:spacing w:after="0" w:line="240" w:lineRule="auto"/>
            </w:pPr>
            <w:r/>
            <w:r>
              <w:rPr>
                <w:b w:val="0"/>
                <w:sz w:val="17"/>
              </w:rPr>
              <w:t>On receipt of step 3</w:t>
            </w:r>
          </w:p>
        </w:tc>
      </w:tr>
    </w:tbl>
    <w:p>
      <w:pPr>
        <w:spacing w:before="120"/>
      </w:pPr>
      <w:r>
        <w:rPr>
          <w:b w:val="0"/>
          <w:i w:val="0"/>
        </w:rPr>
        <w:t>If the final approval and revised schedules have not reached us before 07/29/2025, the backfeed will not go ahead that day. We will set a new date with you as soon as they arrive. If it helps, send us the revised schedules as soon as they are ready, and we will review them before the inspection.</w:t>
      </w:r>
    </w:p>
    <w:p>
      <w:pPr>
        <w:keepNext/>
        <w:spacing w:after="60" w:before="160"/>
      </w:pPr>
      <w:r>
        <w:rPr>
          <w:b/>
          <w:i w:val="0"/>
          <w:color w:val="1F3A5F"/>
          <w:sz w:val="22"/>
        </w:rPr>
        <w:t>4.  During the backfeed</w:t>
      </w:r>
    </w:p>
    <w:p>
      <w:r>
        <w:rPr>
          <w:b w:val="0"/>
          <w:i w:val="0"/>
        </w:rPr>
        <w:t>As your letter says and the ISA requires, the generating facility stays disabled throughout the backfeed and does not operate in parallel. Parallel operation begins only with our written permission to operate (PTO); a backfeed is not PTO. Items that our commissioning checklist holds for your PTO request, such as the witness-test determination, are not conditions of the backfeed.</w:t>
      </w:r>
    </w:p>
    <w:p>
      <w:pPr>
        <w:spacing w:before="80"/>
      </w:pPr>
      <w:r>
        <w:rPr>
          <w:b w:val="0"/>
          <w:i w:val="0"/>
        </w:rPr>
        <w:t>Please contact me with any questions about these items.</w:t>
      </w:r>
    </w:p>
    <w:p>
      <w:pPr>
        <w:spacing w:after="520" w:before="120"/>
      </w:pPr>
      <w:r>
        <w:rPr>
          <w:b w:val="0"/>
          <w:i w:val="0"/>
        </w:rPr>
        <w:t>Sincerely,</w:t>
      </w:r>
    </w:p>
    <w:p>
      <w:pPr>
        <w:spacing w:after="0"/>
      </w:pPr>
      <w:r>
        <w:rPr>
          <w:b/>
          <w:i w:val="0"/>
        </w:rPr>
        <w:t>S. Rennick</w:t>
      </w:r>
    </w:p>
    <w:p>
      <w:pPr>
        <w:spacing w:after="0"/>
      </w:pPr>
      <w:r>
        <w:rPr>
          <w:b w:val="0"/>
          <w:i w:val="0"/>
        </w:rPr>
        <w:t>Commissioning Coordinator, DER Program Office</w:t>
      </w:r>
    </w:p>
    <w:p>
      <w:pPr>
        <w:spacing w:after="0"/>
      </w:pPr>
      <w:r>
        <w:rPr>
          <w:b w:val="0"/>
          <w:i w:val="0"/>
        </w:rPr>
        <w:t>Alleniom Utilities</w:t>
      </w:r>
    </w:p>
    <w:p>
      <w:pPr>
        <w:spacing w:after="240"/>
      </w:pPr>
      <w:r>
        <w:rPr>
          <w:b w:val="0"/>
          <w:i w:val="0"/>
        </w:rPr>
        <w:t>s.rennick@alleniom.com · der.program@alleniom.com · (612) 555-0100</w:t>
      </w:r>
    </w:p>
    <w:p>
      <w:pPr>
        <w:spacing w:after="0"/>
      </w:pPr>
      <w:r>
        <w:rPr>
          <w:b/>
        </w:rPr>
        <w:t xml:space="preserve">cc:  </w:t>
      </w:r>
      <w:r>
        <w:rPr>
          <w:b w:val="0"/>
        </w:rPr>
        <w:t>Tamsworth Electrical Constructors Inc., permit holder, EP-25-0418</w:t>
      </w:r>
    </w:p>
    <w:p>
      <w:pPr>
        <w:spacing w:after="0"/>
      </w:pPr>
      <w:r>
        <w:rPr>
          <w:b w:val="0"/>
          <w:i w:val="0"/>
        </w:rPr>
        <w:t xml:space="preserve">       Distribution Operations, Alleniom Utilities</w:t>
      </w:r>
    </w:p>
    <w:p>
      <w:pPr>
        <w:spacing w:after="0"/>
      </w:pPr>
      <w:r>
        <w:rPr>
          <w:b w:val="0"/>
          <w:i w:val="0"/>
        </w:rPr>
        <w:t xml:space="preserve">       File: PXA-2024-0002 (commissioning checklist CX-HB-03)</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Alleniom Utilities — DER Program Office · Halbray Field Solar Site 3, PXA-2024-0002 · Page </w:t>
    </w:r>
    <w:r>
      <w:rPr>
        <w:color w:val="555555"/>
        <w:sz w:val="16"/>
      </w:rPr>
      <w:fldChar w:fldCharType="begin"/>
      <w:instrText xml:space="preserve">PAGE</w:instrText>
      <w:fldChar w:fldCharType="separate"/>
      <w:t>1</w:t>
      <w:fldChar w:fldCharType="end"/>
    </w:r>
    <w:r>
      <w:rPr>
        <w:color w:val="555555"/>
        <w:sz w:val="16"/>
      </w:rPr>
      <w:t xml:space="preserve"> of </w:t>
    </w:r>
    <w:r>
      <w:rPr>
        <w:color w:val="555555"/>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Reply to Halbray Community Solar LP — pre-PTO backfeed request, PXA-2024-0002</dc:title>
  <dc:subject>Halbray Field Solar Site 3, feeder ALN-159</dc:subject>
  <dc:creator>Alleniom Utilities — DER Program Office, Commissioning</dc:creator>
  <cp:keywords>PXA-2024-0002; ALN-159; EP-25-0418; pre-PTO backfeed</cp:keywords>
  <dc:description/>
  <cp:lastModifiedBy>Alleniom Utilities — DER Program Office, Commissioning</cp:lastModifiedBy>
  <cp:revision>1</cp:revision>
  <dcterms:created xsi:type="dcterms:W3CDTF">2025-07-14T09:00:00Z</dcterms:created>
  <dcterms:modified xsi:type="dcterms:W3CDTF">2025-07-14T09:00:00Z</dcterms:modified>
  <cp:category/>
</cp:coreProperties>
</file>