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864"/>
          <w:sz w:val="30"/>
        </w:rPr>
        <w:t>SUNDIAL ENGINEERING &amp; SURVEY</w:t>
      </w:r>
    </w:p>
    <w:p>
      <w:pPr>
        <w:spacing w:after="40"/>
        <w:pBdr>
          <w:bottom w:val="single" w:sz="12" w:space="4" w:color="1F3864"/>
        </w:pBdr>
      </w:pPr>
      <w:r>
        <w:rPr>
          <w:b w:val="0"/>
          <w:i w:val="0"/>
          <w:color w:val="404040"/>
          <w:sz w:val="17"/>
        </w:rPr>
        <w:t>4720 South Rainbow Boulevard, Suite 210 · Las Vegas, Nevada 89103 · (702) 555-0142 · NV COA #C-3874</w:t>
      </w:r>
    </w:p>
    <w:p>
      <w:pPr>
        <w:spacing w:after="120" w:before="160"/>
      </w:pPr>
      <w:r>
        <w:rPr>
          <w:b/>
          <w:i w:val="0"/>
          <w:sz w:val="32"/>
        </w:rPr>
        <w:t>MEMORANDUM</w:t>
      </w:r>
    </w:p>
    <w:tbl>
      <w:tblPr>
        <w:tblLook w:firstColumn="1" w:firstRow="1" w:lastColumn="0" w:lastRow="0" w:noHBand="0" w:noVBand="1" w:val="04A0"/>
        <w:tblBorders>
          <w:top w:val="nil"/>
          <w:left w:val="nil"/>
          <w:bottom w:val="nil"/>
          <w:right w:val="nil"/>
          <w:insideH w:val="nil"/>
          <w:insideV w:val="nil"/>
        </w:tblBorders>
        <w:tblCellMar>
          <w:top w:w="20" w:type="dxa"/>
          <w:left w:w="40" w:type="dxa"/>
          <w:bottom w:w="20" w:type="dxa"/>
          <w:right w:w="40" w:type="dxa"/>
        </w:tblCellMar>
        <w:tblW w:w="9360" w:type="dxa"/>
        <w:tblLayout w:type="fixed"/>
      </w:tblPr>
      <w:tblGrid>
        <w:gridCol w:w="1152"/>
        <w:gridCol w:w="8208"/>
      </w:tblGrid>
      <w:tr>
        <w:tc>
          <w:tcPr>
            <w:tcW w:type="dxa" w:w="1152"/>
            <w:vAlign w:val="top"/>
          </w:tcPr>
          <w:p>
            <w:pPr>
              <w:spacing w:after="20" w:before="0" w:line="240" w:lineRule="auto"/>
            </w:pPr>
            <w:r/>
            <w:r>
              <w:rPr>
                <w:b/>
                <w:i w:val="0"/>
                <w:sz w:val="20"/>
              </w:rPr>
              <w:t>TO:</w:t>
            </w:r>
          </w:p>
        </w:tc>
        <w:tc>
          <w:tcPr>
            <w:tcW w:type="dxa" w:w="8208"/>
            <w:vAlign w:val="top"/>
          </w:tcPr>
          <w:p>
            <w:pPr>
              <w:spacing w:after="20" w:before="0" w:line="240" w:lineRule="auto"/>
            </w:pPr>
            <w:r/>
            <w:r>
              <w:rPr>
                <w:b w:val="0"/>
                <w:i w:val="0"/>
                <w:sz w:val="20"/>
              </w:rPr>
              <w:t>Garrett Nokes, Vice President, Land Development — Callaway Land Partners</w:t>
            </w:r>
          </w:p>
          <w:p>
            <w:pPr>
              <w:spacing w:after="20" w:before="0" w:line="240" w:lineRule="auto"/>
            </w:pPr>
            <w:r>
              <w:rPr>
                <w:b w:val="0"/>
                <w:i w:val="0"/>
                <w:sz w:val="20"/>
              </w:rPr>
              <w:t>8880 W. Sunset Road, Suite 400, Las Vegas, NV 89148</w:t>
            </w:r>
          </w:p>
        </w:tc>
      </w:tr>
      <w:tr>
        <w:tc>
          <w:tcPr>
            <w:tcW w:type="dxa" w:w="1152"/>
            <w:vAlign w:val="top"/>
          </w:tcPr>
          <w:p>
            <w:pPr>
              <w:spacing w:after="20" w:before="0" w:line="240" w:lineRule="auto"/>
            </w:pPr>
            <w:r/>
            <w:r>
              <w:rPr>
                <w:b/>
                <w:i w:val="0"/>
                <w:sz w:val="20"/>
              </w:rPr>
              <w:t>FROM:</w:t>
            </w:r>
          </w:p>
        </w:tc>
        <w:tc>
          <w:tcPr>
            <w:tcW w:type="dxa" w:w="8208"/>
            <w:vAlign w:val="top"/>
          </w:tcPr>
          <w:p>
            <w:pPr>
              <w:spacing w:after="20" w:before="0" w:line="240" w:lineRule="auto"/>
            </w:pPr>
            <w:r/>
            <w:r>
              <w:rPr>
                <w:b w:val="0"/>
                <w:i w:val="0"/>
                <w:sz w:val="20"/>
              </w:rPr>
              <w:t>Max Braddock, Project Manager — Sundial Engineering &amp; Survey</w:t>
            </w:r>
          </w:p>
        </w:tc>
      </w:tr>
      <w:tr>
        <w:tc>
          <w:tcPr>
            <w:tcW w:type="dxa" w:w="1152"/>
            <w:vAlign w:val="top"/>
          </w:tcPr>
          <w:p>
            <w:pPr>
              <w:spacing w:after="20" w:before="0" w:line="240" w:lineRule="auto"/>
            </w:pPr>
            <w:r/>
            <w:r>
              <w:rPr>
                <w:b/>
                <w:i w:val="0"/>
                <w:sz w:val="20"/>
              </w:rPr>
              <w:t>DATE:</w:t>
            </w:r>
          </w:p>
        </w:tc>
        <w:tc>
          <w:tcPr>
            <w:tcW w:type="dxa" w:w="8208"/>
            <w:vAlign w:val="top"/>
          </w:tcPr>
          <w:p>
            <w:pPr>
              <w:spacing w:after="20" w:before="0" w:line="240" w:lineRule="auto"/>
            </w:pPr>
            <w:r/>
            <w:r>
              <w:rPr>
                <w:b w:val="0"/>
                <w:i w:val="0"/>
                <w:sz w:val="20"/>
              </w:rPr>
              <w:t>10/31/2026</w:t>
            </w:r>
          </w:p>
        </w:tc>
      </w:tr>
      <w:tr>
        <w:tc>
          <w:tcPr>
            <w:tcW w:type="dxa" w:w="1152"/>
            <w:vAlign w:val="top"/>
          </w:tcPr>
          <w:p>
            <w:pPr>
              <w:spacing w:after="20" w:before="0" w:line="240" w:lineRule="auto"/>
            </w:pPr>
            <w:r/>
            <w:r>
              <w:rPr>
                <w:b/>
                <w:i w:val="0"/>
                <w:sz w:val="20"/>
              </w:rPr>
              <w:t>CC:</w:t>
            </w:r>
          </w:p>
        </w:tc>
        <w:tc>
          <w:tcPr>
            <w:tcW w:type="dxa" w:w="8208"/>
            <w:vAlign w:val="top"/>
          </w:tcPr>
          <w:p>
            <w:pPr>
              <w:spacing w:after="20" w:before="0" w:line="240" w:lineRule="auto"/>
            </w:pPr>
            <w:r/>
            <w:r>
              <w:rPr>
                <w:b w:val="0"/>
                <w:i w:val="0"/>
                <w:sz w:val="20"/>
              </w:rPr>
              <w:t>Lee Chastain, Callaway Land Partners · Jonathan R. Kessler, PE, Principal-in-Charge and Engineer of Record · Priya Sarwal, EIT, Grading and Drainage Lead · Sundial Drainage Lead (owner, comment G-4) · Project File 2201-03</w:t>
            </w:r>
          </w:p>
        </w:tc>
      </w:tr>
      <w:tr>
        <w:tc>
          <w:tcPr>
            <w:tcW w:type="dxa" w:w="1152"/>
            <w:vAlign w:val="top"/>
          </w:tcPr>
          <w:p>
            <w:pPr>
              <w:spacing w:after="20" w:before="0" w:line="240" w:lineRule="auto"/>
            </w:pPr>
            <w:r/>
            <w:r>
              <w:rPr>
                <w:b/>
                <w:i w:val="0"/>
                <w:sz w:val="20"/>
              </w:rPr>
              <w:t>RE:</w:t>
            </w:r>
          </w:p>
        </w:tc>
        <w:tc>
          <w:tcPr>
            <w:tcW w:type="dxa" w:w="8208"/>
            <w:vAlign w:val="top"/>
          </w:tcPr>
          <w:p>
            <w:pPr>
              <w:spacing w:after="20" w:before="0" w:line="240" w:lineRule="auto"/>
            </w:pPr>
            <w:r/>
            <w:r>
              <w:rPr>
                <w:b/>
                <w:i w:val="0"/>
                <w:sz w:val="20"/>
              </w:rPr>
              <w:t>Desert Sage Ranch Phase 3 — IP-26-100288 / FM-26-100290 — Clark County Public Works Comment G-4 (letter of 10/09/2026): Emergency Spillway, Sheet C-9 — Adequacy and Disposition</w:t>
            </w:r>
          </w:p>
        </w:tc>
      </w:tr>
    </w:tbl>
    <w:p>
      <w:pPr>
        <w:spacing w:after="80"/>
        <w:pBdr>
          <w:bottom w:val="single" w:sz="6" w:space="1" w:color="808080"/>
        </w:pBdr>
      </w:pPr>
    </w:p>
    <w:p>
      <w:pPr>
        <w:keepNext/>
        <w:spacing w:after="80" w:before="180"/>
      </w:pPr>
      <w:r>
        <w:rPr>
          <w:b/>
          <w:i w:val="0"/>
          <w:color w:val="1F3864"/>
          <w:sz w:val="23"/>
        </w:rPr>
        <w:t>1.  Purpose and Bottom Line</w:t>
      </w:r>
    </w:p>
    <w:p>
      <w:r>
        <w:rPr>
          <w:b w:val="0"/>
          <w:i w:val="0"/>
        </w:rPr>
        <w:t>Public Works comment G-4 (Dale Yeoman, PE, Ph3 Comments, 10/09/2026) reads: “The emergency spillway shown on Sheet C-9 lacks freeboard dimensioning and downstream apron details. Provide sizing calculations, spillway section, and erosion protection consistent with the RFCD Hydrologic Criteria and Drainage Design Manual.” Before the response is assigned, we checked the spillway as drawn against the Phase 3 improvement plans and our internal QA/QC checklist, the District-accepted Master Drainage Study (MDS) and the Phase 3 storm drain worksheets, and the Phase 2 plan check comments and the Flood Control District’s acceptance letter. Records and their short names are listed in Attachment C.</w:t>
      </w:r>
    </w:p>
    <w:p>
      <w:r>
        <w:rPr>
          <w:b/>
          <w:i w:val="0"/>
        </w:rPr>
        <w:t>The spillway as drawn does not hold up.</w:t>
      </w:r>
      <w:r>
        <w:rPr>
          <w:b w:val="0"/>
          <w:i w:val="0"/>
        </w:rPr>
        <w:t xml:space="preserve"> Before the berm overtops it can pass 30.454425 cfs — 34.450707 % of the 88.4 cfs it must carry — and whatever it does pass lands on two residential lots. The fix stays inside the accepted MDS, so it does not go back to the District and does not move the schedule. One disposition per question follows; findings are in Sections 3 through 6, the arithmetic in Attachment A, and draft sheet language in Attachment B. Elevations are feet, NAVD 88 (C-1, Datum note).</w:t>
      </w:r>
    </w:p>
    <w:p>
      <w:pPr>
        <w:keepNext/>
        <w:spacing w:after="80" w:before="180"/>
      </w:pPr>
      <w:r>
        <w:rPr>
          <w:b/>
          <w:i w:val="0"/>
          <w:color w:val="1F3864"/>
          <w:sz w:val="23"/>
        </w:rPr>
        <w:t>2.  Dispositions</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576"/>
        <w:gridCol w:w="2448"/>
        <w:gridCol w:w="6336"/>
      </w:tblGrid>
      <w:tr>
        <w:trPr>
          <w:tblHeader w:val="true"/>
        </w:trPr>
        <w:tc>
          <w:tcPr>
            <w:tcW w:type="dxa" w:w="576"/>
            <w:vAlign w:val="top"/>
            <w:shd w:val="clear" w:color="auto" w:fill="D9E2F3"/>
          </w:tcPr>
          <w:p>
            <w:pPr>
              <w:spacing w:after="20" w:before="0" w:line="240" w:lineRule="auto"/>
            </w:pPr>
            <w:r/>
            <w:r>
              <w:rPr>
                <w:b/>
                <w:i w:val="0"/>
                <w:sz w:val="16"/>
              </w:rPr>
              <w:t>No.</w:t>
            </w:r>
          </w:p>
        </w:tc>
        <w:tc>
          <w:tcPr>
            <w:tcW w:type="dxa" w:w="2448"/>
            <w:vAlign w:val="top"/>
            <w:shd w:val="clear" w:color="auto" w:fill="D9E2F3"/>
          </w:tcPr>
          <w:p>
            <w:pPr>
              <w:spacing w:after="20" w:before="0" w:line="240" w:lineRule="auto"/>
            </w:pPr>
            <w:r/>
            <w:r>
              <w:rPr>
                <w:b/>
                <w:i w:val="0"/>
                <w:sz w:val="16"/>
              </w:rPr>
              <w:t>Question</w:t>
            </w:r>
          </w:p>
        </w:tc>
        <w:tc>
          <w:tcPr>
            <w:tcW w:type="dxa" w:w="6336"/>
            <w:vAlign w:val="top"/>
            <w:shd w:val="clear" w:color="auto" w:fill="D9E2F3"/>
          </w:tcPr>
          <w:p>
            <w:pPr>
              <w:spacing w:after="20" w:before="0" w:line="240" w:lineRule="auto"/>
            </w:pPr>
            <w:r/>
            <w:r>
              <w:rPr>
                <w:b/>
                <w:i w:val="0"/>
                <w:sz w:val="16"/>
              </w:rPr>
              <w:t>Disposition</w:t>
            </w:r>
          </w:p>
        </w:tc>
      </w:tr>
      <w:tr>
        <w:trPr>
          <w:cantSplit w:val="true"/>
        </w:trPr>
        <w:tc>
          <w:tcPr>
            <w:tcW w:type="dxa" w:w="576"/>
            <w:vAlign w:val="top"/>
          </w:tcPr>
          <w:p>
            <w:pPr>
              <w:spacing w:after="20" w:before="0" w:line="240" w:lineRule="auto"/>
            </w:pPr>
            <w:r/>
            <w:r>
              <w:rPr>
                <w:b w:val="0"/>
                <w:i w:val="0"/>
                <w:sz w:val="16"/>
              </w:rPr>
              <w:t>1</w:t>
            </w:r>
          </w:p>
        </w:tc>
        <w:tc>
          <w:tcPr>
            <w:tcW w:type="dxa" w:w="2448"/>
            <w:vAlign w:val="top"/>
          </w:tcPr>
          <w:p>
            <w:pPr>
              <w:spacing w:after="20" w:before="0" w:line="240" w:lineRule="auto"/>
            </w:pPr>
            <w:r/>
            <w:r>
              <w:rPr>
                <w:b w:val="0"/>
                <w:i w:val="0"/>
                <w:sz w:val="16"/>
              </w:rPr>
              <w:t>Can we answer G-4 with what is on Sheet C-9 today?</w:t>
            </w:r>
          </w:p>
        </w:tc>
        <w:tc>
          <w:tcPr>
            <w:tcW w:type="dxa" w:w="6336"/>
            <w:vAlign w:val="top"/>
          </w:tcPr>
          <w:p>
            <w:pPr>
              <w:spacing w:after="20" w:before="0" w:line="240" w:lineRule="auto"/>
            </w:pPr>
            <w:r/>
            <w:r>
              <w:rPr>
                <w:b/>
                <w:i w:val="0"/>
                <w:sz w:val="16"/>
              </w:rPr>
              <w:t>No.</w:t>
            </w:r>
            <w:r>
              <w:rPr>
                <w:b w:val="0"/>
                <w:i w:val="0"/>
                <w:sz w:val="16"/>
              </w:rPr>
              <w:t xml:space="preserve"> There is no sizing anywhere in the record; the C-9 freeboard figures are wrong; the spillway passes 30.454425 cfs of the 88.4 cfs design discharge before the berm overtops; the apron stops short of the toe; and the outlet as detailed does not reproduce the rating behind the 100-year water surface. The spillway is redesigned and C-9 and C-6 are reissued (Section 3).</w:t>
            </w:r>
          </w:p>
        </w:tc>
      </w:tr>
      <w:tr>
        <w:trPr>
          <w:cantSplit w:val="true"/>
        </w:trPr>
        <w:tc>
          <w:tcPr>
            <w:tcW w:type="dxa" w:w="576"/>
            <w:vAlign w:val="top"/>
          </w:tcPr>
          <w:p>
            <w:pPr>
              <w:spacing w:after="20" w:before="0" w:line="240" w:lineRule="auto"/>
            </w:pPr>
            <w:r/>
            <w:r>
              <w:rPr>
                <w:b w:val="0"/>
                <w:i w:val="0"/>
                <w:sz w:val="16"/>
              </w:rPr>
              <w:t>2</w:t>
            </w:r>
          </w:p>
        </w:tc>
        <w:tc>
          <w:tcPr>
            <w:tcW w:type="dxa" w:w="2448"/>
            <w:vAlign w:val="top"/>
          </w:tcPr>
          <w:p>
            <w:pPr>
              <w:spacing w:after="20" w:before="0" w:line="240" w:lineRule="auto"/>
            </w:pPr>
            <w:r/>
            <w:r>
              <w:rPr>
                <w:b w:val="0"/>
                <w:i w:val="0"/>
                <w:sz w:val="16"/>
              </w:rPr>
              <w:t>Do the revisions trigger an amendment to the accepted Master Drainage Study?</w:t>
            </w:r>
          </w:p>
        </w:tc>
        <w:tc>
          <w:tcPr>
            <w:tcW w:type="dxa" w:w="6336"/>
            <w:vAlign w:val="top"/>
          </w:tcPr>
          <w:p>
            <w:pPr>
              <w:spacing w:after="20" w:before="0" w:line="240" w:lineRule="auto"/>
            </w:pPr>
            <w:r/>
            <w:r>
              <w:rPr>
                <w:b/>
                <w:i w:val="0"/>
                <w:sz w:val="16"/>
              </w:rPr>
              <w:t>No.</w:t>
            </w:r>
            <w:r>
              <w:rPr>
                <w:b w:val="0"/>
                <w:i w:val="0"/>
                <w:sz w:val="16"/>
              </w:rPr>
              <w:t xml:space="preserve"> The revisions directed here hold every District-accepted parameter — 6.4 ac-ft allocation, 78 cfs shared-outfall cap, 40.0 ac at 42 % impervious, 88.4 cfs inflow, the App. D-2 rating through the 2,858.50-ft crest, basin in Parcel E. The 09/25/2026 preliminary detention calculation departs from all of them, would trigger an amendment, and is set aside (Section 4).</w:t>
            </w:r>
          </w:p>
        </w:tc>
      </w:tr>
      <w:tr>
        <w:trPr>
          <w:cantSplit w:val="true"/>
        </w:trPr>
        <w:tc>
          <w:tcPr>
            <w:tcW w:type="dxa" w:w="576"/>
            <w:vAlign w:val="top"/>
          </w:tcPr>
          <w:p>
            <w:pPr>
              <w:spacing w:after="20" w:before="0" w:line="240" w:lineRule="auto"/>
            </w:pPr>
            <w:r/>
            <w:r>
              <w:rPr>
                <w:b w:val="0"/>
                <w:i w:val="0"/>
                <w:sz w:val="16"/>
              </w:rPr>
              <w:t>3</w:t>
            </w:r>
          </w:p>
        </w:tc>
        <w:tc>
          <w:tcPr>
            <w:tcW w:type="dxa" w:w="2448"/>
            <w:vAlign w:val="top"/>
          </w:tcPr>
          <w:p>
            <w:pPr>
              <w:spacing w:after="20" w:before="0" w:line="240" w:lineRule="auto"/>
            </w:pPr>
            <w:r/>
            <w:r>
              <w:rPr>
                <w:b w:val="0"/>
                <w:i w:val="0"/>
                <w:sz w:val="16"/>
              </w:rPr>
              <w:t>What do the spillway detail and basin notes say on the revised C-9?</w:t>
            </w:r>
          </w:p>
        </w:tc>
        <w:tc>
          <w:tcPr>
            <w:tcW w:type="dxa" w:w="6336"/>
            <w:vAlign w:val="top"/>
          </w:tcPr>
          <w:p>
            <w:pPr>
              <w:spacing w:after="20" w:before="0" w:line="240" w:lineRule="auto"/>
            </w:pPr>
            <w:r/>
            <w:r>
              <w:rPr>
                <w:b w:val="0"/>
                <w:i w:val="0"/>
                <w:sz w:val="16"/>
              </w:rPr>
              <w:t>Spillway moved to the south berm; crest held at 2,858.50 ft; crest lengthened from 20.0 ft to 50.0 ft; design discharge 88.4 cfs with the outlet blocked; design water surface 2,859.27 ft; top of berm raised 1.10 ft to 2,860.30 ft for 1.03 ft of freeboard; armor carried over the full face into a lined overflow channel; outlet works conformed to MDS App. D-2; freeboard dimensioned; basin notes corrected and the allocation cited (Section 5; Attachment B).</w:t>
            </w:r>
          </w:p>
        </w:tc>
      </w:tr>
      <w:tr>
        <w:trPr>
          <w:cantSplit w:val="true"/>
        </w:trPr>
        <w:tc>
          <w:tcPr>
            <w:tcW w:type="dxa" w:w="576"/>
            <w:vAlign w:val="top"/>
          </w:tcPr>
          <w:p>
            <w:pPr>
              <w:spacing w:after="20" w:before="0" w:line="240" w:lineRule="auto"/>
            </w:pPr>
            <w:r/>
            <w:r>
              <w:rPr>
                <w:b w:val="0"/>
                <w:i w:val="0"/>
                <w:sz w:val="16"/>
              </w:rPr>
              <w:t>4</w:t>
            </w:r>
          </w:p>
        </w:tc>
        <w:tc>
          <w:tcPr>
            <w:tcW w:type="dxa" w:w="2448"/>
            <w:vAlign w:val="top"/>
          </w:tcPr>
          <w:p>
            <w:pPr>
              <w:spacing w:after="20" w:before="0" w:line="240" w:lineRule="auto"/>
            </w:pPr>
            <w:r/>
            <w:r>
              <w:rPr>
                <w:b w:val="0"/>
                <w:i w:val="0"/>
                <w:sz w:val="16"/>
              </w:rPr>
              <w:t>Where does the overflow end up once it leaves the berm?</w:t>
            </w:r>
          </w:p>
        </w:tc>
        <w:tc>
          <w:tcPr>
            <w:tcW w:type="dxa" w:w="6336"/>
            <w:vAlign w:val="top"/>
          </w:tcPr>
          <w:p>
            <w:pPr>
              <w:spacing w:after="20" w:before="0" w:line="240" w:lineRule="auto"/>
            </w:pPr>
            <w:r/>
            <w:r>
              <w:rPr>
                <w:b/>
                <w:i w:val="0"/>
                <w:sz w:val="16"/>
              </w:rPr>
              <w:t>Today: on private Lots 51 and 57.</w:t>
            </w:r>
            <w:r>
              <w:rPr>
                <w:b w:val="0"/>
                <w:i w:val="0"/>
                <w:sz w:val="16"/>
              </w:rPr>
              <w:t xml:space="preserve"> On the revised C-9 it leaves the south berm, runs in a lined channel on HOA land and a drainage easement to the Windmill Lane right-of-way, and flows west in Windmill Lane to the regional system at the southwest corner. It crosses no lot (Section 6).</w:t>
            </w:r>
          </w:p>
        </w:tc>
      </w:tr>
    </w:tbl>
    <w:p>
      <w:pPr>
        <w:spacing w:after="40"/>
      </w:pPr>
    </w:p>
    <w:p>
      <w:r>
        <w:rPr>
          <w:b/>
          <w:i w:val="0"/>
        </w:rPr>
        <w:t>Schedule.</w:t>
      </w:r>
      <w:r>
        <w:rPr>
          <w:b w:val="0"/>
          <w:i w:val="0"/>
        </w:rPr>
        <w:t xml:space="preserve"> The redesign needs no District re-review, so it fits the dates already set: revised sheets to me by 11/13/2026 (10/09/2026 coordination e-mail), internal completion 11/22/2026 and resubmittal 11/30/2026 (Tracker). Two things would put the 12/18/2026 recordation at risk: carrying the preliminary calculation into the resubmittal, which is a formal amendment with District re-review before plan approval (FCD Acceptance Letter; TM COA Condition 2), or moving the Parcel E line to make room for the raised berm, which is a significant change requiring Town Advisory Board and Planning Commission hearings (TM COA Conditions 14 and 15). This memo rules out both.</w:t>
      </w:r>
    </w:p>
    <w:p>
      <w:pPr>
        <w:keepNext/>
        <w:spacing w:after="80" w:before="180"/>
      </w:pPr>
      <w:r>
        <w:rPr>
          <w:b/>
          <w:i w:val="0"/>
          <w:color w:val="1F3864"/>
          <w:sz w:val="23"/>
        </w:rPr>
        <w:t>3.  The Spillway as Drawn</w:t>
      </w:r>
    </w:p>
    <w:p>
      <w:r>
        <w:rPr>
          <w:b/>
          <w:i w:val="0"/>
        </w:rPr>
        <w:t>3.1  No sizing exists anywhere in the record.</w:t>
      </w:r>
      <w:r>
        <w:rPr>
          <w:b w:val="0"/>
          <w:i w:val="0"/>
        </w:rPr>
        <w:t xml:space="preserve"> The C-9 spillway detail gives no design discharge — only “routing check under storm exceeding 100-year, 24-hour input.” MDS App. D-2 stops at the crest (2,858.50 ft, 7.12 ac-ft, 41.5 cfs of outlet-works discharge) and shows no discharge at the 2,859.20-ft top of berm. Neither the Hydrology Worksheet nor the HGL Worksheet contains a spillway rating. There is no calculation on file to give Public Works.</w:t>
      </w:r>
    </w:p>
    <w:p>
      <w:r>
        <w:rPr>
          <w:b/>
          <w:i w:val="0"/>
        </w:rPr>
        <w:t>3.2  The C-9 freeboard figures contradict the sheet’s own elevations.</w:t>
      </w:r>
      <w:r>
        <w:rPr>
          <w:b w:val="0"/>
          <w:i w:val="0"/>
        </w:rPr>
        <w:t xml:space="preserve"> With the 100-year water surface at 2,857.91 ft, the crest at 2,858.50 ft and the top of berm at 2,859.20 ft (C-6; C-9), the crest is 0.59 ft above the 100-year water surface. The C-9 spillway detail says 0.71 ft and the C-9 Basin Notes say 0.60 ft. The 0.70-ft crest-to-berm and 1.29-ft water-surface-to-berm figures are correct, but the 1.29 ft applies only with the outlet working and says nothing about freeboard while the spillway runs — which is what G-4 asks us to dimension (Attachment A-1).</w:t>
      </w:r>
    </w:p>
    <w:p>
      <w:r>
        <w:rPr>
          <w:b/>
          <w:i w:val="0"/>
        </w:rPr>
        <w:t>3.3  The spillway carries about one-third of its design flow before the berm overtops.</w:t>
      </w:r>
      <w:r>
        <w:rPr>
          <w:b w:val="0"/>
          <w:i w:val="0"/>
        </w:rPr>
        <w:t xml:space="preserve"> We size an emergency spillway on the standard basis — the 100-year peak inflow with the outlet works blocked — which is 88.4 cfs for Phase 3 (MDS App. C-2 and D-1; Hydrology Worksheet, Peak Flows tab, cell B13). With 0.70 ft of head between crest and berm, the 20.0-ft broad-crested weir (C-6; C-9) passes 30.454425 cfs at C = 2.6 ft</w:t>
      </w:r>
      <w:r>
        <w:rPr>
          <w:b w:val="0"/>
          <w:i w:val="0"/>
          <w:vertAlign w:val="superscript"/>
        </w:rPr>
        <w:t>0.5</w:t>
      </w:r>
      <w:r>
        <w:rPr>
          <w:b w:val="0"/>
          <w:i w:val="0"/>
        </w:rPr>
        <w:t>/s, 34.450707 % of the design discharge. Even at the theoretical ceiling for a broad crest, C = 3.088809 ft</w:t>
      </w:r>
      <w:r>
        <w:rPr>
          <w:b w:val="0"/>
          <w:i w:val="0"/>
          <w:vertAlign w:val="superscript"/>
        </w:rPr>
        <w:t>0.5</w:t>
      </w:r>
      <w:r>
        <w:rPr>
          <w:b w:val="0"/>
          <w:i w:val="0"/>
        </w:rPr>
        <w:t>/s, it passes 36.179962 cfs, 40.927559 %. Carrying 88.4 cfs over the 20.0-ft crest takes 1.424402 ft of head — a water surface of 2,859.924402 ft, 0.724402 ft over the berm. That holds even if no freeboard were required at all (Attachment A-2).</w:t>
      </w:r>
    </w:p>
    <w:p>
      <w:r>
        <w:rPr>
          <w:b/>
          <w:i w:val="0"/>
        </w:rPr>
        <w:t>3.4  No crest length produces freeboard with the berm where it is.</w:t>
      </w:r>
      <w:r>
        <w:rPr>
          <w:b w:val="0"/>
          <w:i w:val="0"/>
        </w:rPr>
        <w:t xml:space="preserve"> The record’s minimum freeboard is 1.0 ft (C-9 Basin Notes), and on Phase 2 Public Works required it “above the design HGL” and dimensioned (Ph2 Comments, G-3, 09/28/2022, resolved 12/14/2022; Ph2 Response Matrix, 11/07/2022). For the spillway the design water surface is the crest plus the design head, so with the crest held at 2,858.50 ft the berm must stand at 2,859.50 ft plus the head. The 2,859.20-ft berm is at least 0.30 ft short however long the crest is made. The berm has to go up (Attachment A-3).</w:t>
      </w:r>
    </w:p>
    <w:p>
      <w:r>
        <w:rPr>
          <w:b/>
          <w:i w:val="0"/>
        </w:rPr>
        <w:t>3.5  The apron stops short of the toe and is not detailed.</w:t>
      </w:r>
      <w:r>
        <w:rPr>
          <w:b w:val="0"/>
          <w:i w:val="0"/>
        </w:rPr>
        <w:t xml:space="preserve"> C-9 calls for a 15-ft by 20-ft grouted riprap apron, D</w:t>
      </w:r>
      <w:r>
        <w:rPr>
          <w:b w:val="0"/>
          <w:i w:val="0"/>
          <w:vertAlign w:val="subscript"/>
        </w:rPr>
        <w:t>50</w:t>
      </w:r>
      <w:r>
        <w:rPr>
          <w:b w:val="0"/>
          <w:i w:val="0"/>
        </w:rPr>
        <w:t xml:space="preserve"> = 12 in, “extending from weir toe to natural grade beyond the berm at elevation 2,853.00′.” The 5.50-ft fall from the crest to 2,853.00 ft on the 3H:1V exterior slope (C-6) runs 16.50 ft horizontally and 17.392527 ft along the slope. Read as starting at the downstream edge of the 6.0-ft crest, the 15-ft apron ends 1.50 ft (horizontal) short of the toe and never reaches natural grade; read as starting at the toe, it leaves the 17.392527-ft face unarmored. Either way the face-to-grade transition, where the energy is dissipated, is unprotected. No layer thickness, bedding, filter, toe-down or edge key is shown, and there is no spillway section (Attachment A-5).</w:t>
      </w:r>
    </w:p>
    <w:p>
      <w:r>
        <w:rPr>
          <w:b/>
          <w:i w:val="0"/>
        </w:rPr>
        <w:t>3.6  The outlet as detailed does not reproduce the rating behind the 100-year water surface.</w:t>
      </w:r>
      <w:r>
        <w:rPr>
          <w:b w:val="0"/>
          <w:i w:val="0"/>
        </w:rPr>
        <w:t xml:space="preserve"> The crest’s 0.59-ft margin rests on the 2,857.91-ft water surface routed through the MDS App. D-2 rating, which describes orifice-and-weir outlet works. C-9 details a single 12-in by 18-in orifice (centroid 2,851.50 ft) and no weir. At C</w:t>
      </w:r>
      <w:r>
        <w:rPr>
          <w:b w:val="0"/>
          <w:i w:val="0"/>
          <w:vertAlign w:val="subscript"/>
        </w:rPr>
        <w:t>d</w:t>
      </w:r>
      <w:r>
        <w:rPr>
          <w:b w:val="0"/>
          <w:i w:val="0"/>
        </w:rPr>
        <w:t xml:space="preserve"> = 0.60 (dimensionless) it releases 80.524019 % more than App. D-2 at 2,853.00 ft and 34.459424 % less at 2,857.91 ft (18.285821 cfs against 27.9 cfs), and it cannot release the accepted 27.9-cfs peak at any stage below the crest (19.108846 cfs at 2,858.50 ft against 41.5 cfs); matching 27.9 cfs at 2,857.91 ft would take C</w:t>
      </w:r>
      <w:r>
        <w:rPr>
          <w:b w:val="0"/>
          <w:i w:val="0"/>
          <w:vertAlign w:val="subscript"/>
        </w:rPr>
        <w:t>d</w:t>
      </w:r>
      <w:r>
        <w:rPr>
          <w:b w:val="0"/>
          <w:i w:val="0"/>
        </w:rPr>
        <w:t xml:space="preserve"> = 0.915463, which no orifice plate achieves. Neither the 2,857.91-ft water surface nor the 0.59-ft margin is demonstrated for the outlet as drawn. Public Works required the same reconciliation of the Phase 2 outlet detail (Ph2 Comments, G-2); it closes in the same revision (Attachment A-6).</w:t>
      </w:r>
    </w:p>
    <w:p>
      <w:r>
        <w:rPr>
          <w:b/>
          <w:i w:val="0"/>
        </w:rPr>
        <w:t>3.7  Our worksheets and checklist do not support the detail.</w:t>
      </w:r>
      <w:r>
        <w:rPr>
          <w:b w:val="0"/>
          <w:i w:val="0"/>
        </w:rPr>
        <w:t xml:space="preserve"> The HGL Worksheet (Inputs, cell B40) bounds its tailwater check at 2,858.50 ft as “the highest water surface the basin can physically hold”; with the spillway flowing the water surface is the crest plus the head, so that bound is low. The same workbook (Pipe Schedule notes) relies on “the grouted rip-rap apron detailed on Sheet C-9” to take the 14.25-fps Line B discharge at S-15, which enters at the basin’s north face (Inputs, cell B36); that apron belongs to the spillway, on the outside of the east berm. The QA/QC Checklist (08/18/2026, Tab 3) cleared item 27 (spillway) on crest-elevation agreement only, item 28 on freeboard “matching,” item 29 for a “basin outlet swale section” keyed to Section B-B/C-9 — which is the transverse basin section; C-9 has no swale section — and item 26 by matching an orifice “diameter” (the C-9 orifice is a 12-in by 18-in rectangle) to an “inflow-outflow rating” the HGL Worksheet does not contain. None of those items tested capacity, the freeboard arithmetic or the overflow path, so the checklist’s “no open items in Tab 3” cannot be cited in the response.</w:t>
      </w:r>
    </w:p>
    <w:tbl>
      <w:tblPr>
        <w:jc w:val="center"/>
        <w:tblLook w:firstColumn="1" w:firstRow="1" w:lastColumn="0" w:lastRow="0" w:noHBand="0" w:noVBand="1" w:val="04A0"/>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top w:w="80" w:type="dxa"/>
          <w:left w:w="110" w:type="dxa"/>
          <w:bottom w:w="80" w:type="dxa"/>
          <w:right w:w="110" w:type="dxa"/>
        </w:tblCellMar>
        <w:tblW w:w="9360" w:type="dxa"/>
        <w:tblLayout w:type="fixed"/>
      </w:tblPr>
      <w:tblGrid>
        <w:gridCol w:w="9360"/>
      </w:tblGrid>
      <w:tr>
        <w:trPr>
          <w:cantSplit w:val="true"/>
        </w:trPr>
        <w:tc>
          <w:tcPr>
            <w:tcW w:type="dxa" w:w="9360"/>
            <w:vAlign w:val="top"/>
            <w:shd w:val="clear" w:color="auto" w:fill="EAF0F8"/>
          </w:tcPr>
          <w:p>
            <w:pPr>
              <w:spacing w:after="20" w:before="0" w:line="240" w:lineRule="auto"/>
            </w:pPr>
            <w:r/>
            <w:r>
              <w:rPr>
                <w:b/>
                <w:i w:val="0"/>
                <w:sz w:val="20"/>
              </w:rPr>
              <w:t>Disposition 1 — No.</w:t>
            </w:r>
            <w:r>
              <w:rPr>
                <w:b w:val="0"/>
                <w:i w:val="0"/>
                <w:sz w:val="20"/>
              </w:rPr>
              <w:t xml:space="preserve"> G-4 cannot be answered with a narrative or a calculation against Sheet C-9 as it stands. The spillway, apron, outlet works and basin notes are redesigned and C-9 and C-6 are reissued. The drainage lead’s assignment is the redesign defined in Sections 5 and 6, not a response letter.</w:t>
            </w:r>
          </w:p>
        </w:tc>
      </w:tr>
    </w:tbl>
    <w:p>
      <w:pPr>
        <w:spacing w:after="40"/>
      </w:pPr>
    </w:p>
    <w:p>
      <w:pPr>
        <w:keepNext/>
        <w:spacing w:after="80" w:before="180"/>
      </w:pPr>
      <w:r>
        <w:rPr>
          <w:b/>
          <w:i w:val="0"/>
          <w:color w:val="1F3864"/>
          <w:sz w:val="23"/>
        </w:rPr>
        <w:t>4.  Amendment to the Accepted Master Drainage Study</w:t>
      </w:r>
    </w:p>
    <w:p>
      <w:r>
        <w:rPr>
          <w:b w:val="0"/>
          <w:i w:val="0"/>
        </w:rPr>
        <w:t>The MDS fixes the Phase 3 allocation at 6.4 ac-ft (Table 4-1) and the shared-outfall cap at Q</w:t>
      </w:r>
      <w:r>
        <w:rPr>
          <w:b w:val="0"/>
          <w:i w:val="0"/>
          <w:vertAlign w:val="subscript"/>
        </w:rPr>
        <w:t>100</w:t>
      </w:r>
      <w:r>
        <w:rPr>
          <w:b w:val="0"/>
          <w:i w:val="0"/>
        </w:rPr>
        <w:t xml:space="preserve"> ≤ 78 cfs (§5.2), and requires formal amendment and District re-review for any change to the allocations, outfall allowance, tributary breakdown or phase boundaries (§4.4; §7.3). The FCD Acceptance Letter (02/28/2022) names the triggers: “any proposed revision of phase tributary area, impervious cover assumption, hydrologic methodology, storage-indication input, phase boundary, detention basin location, or shared outfall discharge cap.” TM COA Condition 2 separately sends any deviation from District-accepted parameters back to the District before plan approval. At pre-application, Public Works confirmed that a plan set matching the study’s volumes and outfall configuration needs no new hydrology submittal to the District (Pre-App Notes, 06/22/2026, §3.2).</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1800"/>
        <w:gridCol w:w="2664"/>
        <w:gridCol w:w="2232"/>
        <w:gridCol w:w="2664"/>
      </w:tblGrid>
      <w:tr>
        <w:trPr>
          <w:tblHeader w:val="true"/>
        </w:trPr>
        <w:tc>
          <w:tcPr>
            <w:tcW w:type="dxa" w:w="1800"/>
            <w:vAlign w:val="top"/>
            <w:shd w:val="clear" w:color="auto" w:fill="D9E2F3"/>
          </w:tcPr>
          <w:p>
            <w:pPr>
              <w:spacing w:after="20" w:before="0" w:line="240" w:lineRule="auto"/>
            </w:pPr>
            <w:r/>
            <w:r>
              <w:rPr>
                <w:b/>
                <w:i w:val="0"/>
                <w:sz w:val="16"/>
              </w:rPr>
              <w:t>Parameter</w:t>
            </w:r>
          </w:p>
        </w:tc>
        <w:tc>
          <w:tcPr>
            <w:tcW w:type="dxa" w:w="2664"/>
            <w:vAlign w:val="top"/>
            <w:shd w:val="clear" w:color="auto" w:fill="D9E2F3"/>
          </w:tcPr>
          <w:p>
            <w:pPr>
              <w:spacing w:after="20" w:before="0" w:line="240" w:lineRule="auto"/>
            </w:pPr>
            <w:r/>
            <w:r>
              <w:rPr>
                <w:b/>
                <w:i w:val="0"/>
                <w:sz w:val="16"/>
              </w:rPr>
              <w:t>Accepted MDS (source)</w:t>
            </w:r>
          </w:p>
        </w:tc>
        <w:tc>
          <w:tcPr>
            <w:tcW w:type="dxa" w:w="2232"/>
            <w:vAlign w:val="top"/>
            <w:shd w:val="clear" w:color="auto" w:fill="D9E2F3"/>
          </w:tcPr>
          <w:p>
            <w:pPr>
              <w:spacing w:after="20" w:before="0" w:line="240" w:lineRule="auto"/>
            </w:pPr>
            <w:r/>
            <w:r>
              <w:rPr>
                <w:b/>
                <w:i w:val="0"/>
                <w:sz w:val="16"/>
              </w:rPr>
              <w:t>Revised C-9 (this memo)</w:t>
            </w:r>
          </w:p>
        </w:tc>
        <w:tc>
          <w:tcPr>
            <w:tcW w:type="dxa" w:w="2664"/>
            <w:vAlign w:val="top"/>
            <w:shd w:val="clear" w:color="auto" w:fill="D9E2F3"/>
          </w:tcPr>
          <w:p>
            <w:pPr>
              <w:spacing w:after="20" w:before="0" w:line="240" w:lineRule="auto"/>
            </w:pPr>
            <w:r/>
            <w:r>
              <w:rPr>
                <w:b/>
                <w:i w:val="0"/>
                <w:sz w:val="16"/>
              </w:rPr>
              <w:t>Preliminary calc, 09/25/2026 (cell)</w:t>
            </w:r>
          </w:p>
        </w:tc>
      </w:tr>
      <w:tr>
        <w:trPr>
          <w:cantSplit w:val="true"/>
        </w:trPr>
        <w:tc>
          <w:tcPr>
            <w:tcW w:type="dxa" w:w="1800"/>
            <w:vAlign w:val="top"/>
          </w:tcPr>
          <w:p>
            <w:pPr>
              <w:spacing w:after="20" w:before="0" w:line="240" w:lineRule="auto"/>
            </w:pPr>
            <w:r/>
            <w:r>
              <w:rPr>
                <w:b w:val="0"/>
                <w:i w:val="0"/>
                <w:sz w:val="16"/>
              </w:rPr>
              <w:t>Criteria manual edition</w:t>
            </w:r>
          </w:p>
        </w:tc>
        <w:tc>
          <w:tcPr>
            <w:tcW w:type="dxa" w:w="2664"/>
            <w:vAlign w:val="top"/>
          </w:tcPr>
          <w:p>
            <w:pPr>
              <w:spacing w:after="20" w:before="0" w:line="240" w:lineRule="auto"/>
            </w:pPr>
            <w:r/>
            <w:r>
              <w:rPr>
                <w:b w:val="0"/>
                <w:i w:val="0"/>
                <w:sz w:val="16"/>
              </w:rPr>
              <w:t>In effect at MDS preparation (MDS §1.4, §3.1)</w:t>
            </w:r>
          </w:p>
        </w:tc>
        <w:tc>
          <w:tcPr>
            <w:tcW w:type="dxa" w:w="2232"/>
            <w:vAlign w:val="top"/>
          </w:tcPr>
          <w:p>
            <w:pPr>
              <w:spacing w:after="20" w:before="0" w:line="240" w:lineRule="auto"/>
            </w:pPr>
            <w:r/>
            <w:r>
              <w:rPr>
                <w:b w:val="0"/>
                <w:i w:val="0"/>
                <w:sz w:val="16"/>
              </w:rPr>
              <w:t>Same</w:t>
            </w:r>
          </w:p>
        </w:tc>
        <w:tc>
          <w:tcPr>
            <w:tcW w:type="dxa" w:w="2664"/>
            <w:vAlign w:val="top"/>
          </w:tcPr>
          <w:p>
            <w:pPr>
              <w:spacing w:after="20" w:before="0" w:line="240" w:lineRule="auto"/>
            </w:pPr>
            <w:r/>
            <w:r>
              <w:rPr>
                <w:b w:val="0"/>
                <w:i w:val="0"/>
                <w:sz w:val="16"/>
              </w:rPr>
              <w:t>“Current” (Inputs B18)</w:t>
            </w:r>
          </w:p>
        </w:tc>
      </w:tr>
      <w:tr>
        <w:trPr>
          <w:cantSplit w:val="true"/>
        </w:trPr>
        <w:tc>
          <w:tcPr>
            <w:tcW w:type="dxa" w:w="1800"/>
            <w:vAlign w:val="top"/>
          </w:tcPr>
          <w:p>
            <w:pPr>
              <w:spacing w:after="20" w:before="0" w:line="240" w:lineRule="auto"/>
            </w:pPr>
            <w:r/>
            <w:r>
              <w:rPr>
                <w:b w:val="0"/>
                <w:i w:val="0"/>
                <w:sz w:val="16"/>
              </w:rPr>
              <w:t>100-yr, 6-hr rainfall</w:t>
            </w:r>
          </w:p>
        </w:tc>
        <w:tc>
          <w:tcPr>
            <w:tcW w:type="dxa" w:w="2664"/>
            <w:vAlign w:val="top"/>
          </w:tcPr>
          <w:p>
            <w:pPr>
              <w:spacing w:after="20" w:before="0" w:line="240" w:lineRule="auto"/>
            </w:pPr>
            <w:r/>
            <w:r>
              <w:rPr>
                <w:b w:val="0"/>
                <w:i w:val="0"/>
                <w:sz w:val="16"/>
              </w:rPr>
              <w:t>2.38 in (MDS §3.1)</w:t>
            </w:r>
          </w:p>
        </w:tc>
        <w:tc>
          <w:tcPr>
            <w:tcW w:type="dxa" w:w="2232"/>
            <w:vAlign w:val="top"/>
          </w:tcPr>
          <w:p>
            <w:pPr>
              <w:spacing w:after="20" w:before="0" w:line="240" w:lineRule="auto"/>
            </w:pPr>
            <w:r/>
            <w:r>
              <w:rPr>
                <w:b w:val="0"/>
                <w:i w:val="0"/>
                <w:sz w:val="16"/>
              </w:rPr>
              <w:t>2.38 in</w:t>
            </w:r>
          </w:p>
        </w:tc>
        <w:tc>
          <w:tcPr>
            <w:tcW w:type="dxa" w:w="2664"/>
            <w:vAlign w:val="top"/>
          </w:tcPr>
          <w:p>
            <w:pPr>
              <w:spacing w:after="20" w:before="0" w:line="240" w:lineRule="auto"/>
            </w:pPr>
            <w:r/>
            <w:r>
              <w:rPr>
                <w:b w:val="0"/>
                <w:i w:val="0"/>
                <w:sz w:val="16"/>
              </w:rPr>
              <w:t>2.42 in (Inputs C25)</w:t>
            </w:r>
          </w:p>
        </w:tc>
      </w:tr>
      <w:tr>
        <w:trPr>
          <w:cantSplit w:val="true"/>
        </w:trPr>
        <w:tc>
          <w:tcPr>
            <w:tcW w:type="dxa" w:w="1800"/>
            <w:vAlign w:val="top"/>
          </w:tcPr>
          <w:p>
            <w:pPr>
              <w:spacing w:after="20" w:before="0" w:line="240" w:lineRule="auto"/>
            </w:pPr>
            <w:r/>
            <w:r>
              <w:rPr>
                <w:b w:val="0"/>
                <w:i w:val="0"/>
                <w:sz w:val="16"/>
              </w:rPr>
              <w:t>Phase 3 tributary area</w:t>
            </w:r>
          </w:p>
        </w:tc>
        <w:tc>
          <w:tcPr>
            <w:tcW w:type="dxa" w:w="2664"/>
            <w:vAlign w:val="top"/>
          </w:tcPr>
          <w:p>
            <w:pPr>
              <w:spacing w:after="20" w:before="0" w:line="240" w:lineRule="auto"/>
            </w:pPr>
            <w:r/>
            <w:r>
              <w:rPr>
                <w:b w:val="0"/>
                <w:i w:val="0"/>
                <w:sz w:val="16"/>
              </w:rPr>
              <w:t>40.0 ac (Table 4-1)</w:t>
            </w:r>
          </w:p>
        </w:tc>
        <w:tc>
          <w:tcPr>
            <w:tcW w:type="dxa" w:w="2232"/>
            <w:vAlign w:val="top"/>
          </w:tcPr>
          <w:p>
            <w:pPr>
              <w:spacing w:after="20" w:before="0" w:line="240" w:lineRule="auto"/>
            </w:pPr>
            <w:r/>
            <w:r>
              <w:rPr>
                <w:b w:val="0"/>
                <w:i w:val="0"/>
                <w:sz w:val="16"/>
              </w:rPr>
              <w:t>40.0 ac</w:t>
            </w:r>
          </w:p>
        </w:tc>
        <w:tc>
          <w:tcPr>
            <w:tcW w:type="dxa" w:w="2664"/>
            <w:vAlign w:val="top"/>
          </w:tcPr>
          <w:p>
            <w:pPr>
              <w:spacing w:after="20" w:before="0" w:line="240" w:lineRule="auto"/>
            </w:pPr>
            <w:r/>
            <w:r>
              <w:rPr>
                <w:b w:val="0"/>
                <w:i w:val="0"/>
                <w:sz w:val="16"/>
              </w:rPr>
              <w:t>66.5 ac, incl. 26.5 ac offsite (Detention Sizing B7)</w:t>
            </w:r>
          </w:p>
        </w:tc>
      </w:tr>
      <w:tr>
        <w:trPr>
          <w:cantSplit w:val="true"/>
        </w:trPr>
        <w:tc>
          <w:tcPr>
            <w:tcW w:type="dxa" w:w="1800"/>
            <w:vAlign w:val="top"/>
          </w:tcPr>
          <w:p>
            <w:pPr>
              <w:spacing w:after="20" w:before="0" w:line="240" w:lineRule="auto"/>
            </w:pPr>
            <w:r/>
            <w:r>
              <w:rPr>
                <w:b w:val="0"/>
                <w:i w:val="0"/>
                <w:sz w:val="16"/>
              </w:rPr>
              <w:t>Impervious cover</w:t>
            </w:r>
          </w:p>
        </w:tc>
        <w:tc>
          <w:tcPr>
            <w:tcW w:type="dxa" w:w="2664"/>
            <w:vAlign w:val="top"/>
          </w:tcPr>
          <w:p>
            <w:pPr>
              <w:spacing w:after="20" w:before="0" w:line="240" w:lineRule="auto"/>
            </w:pPr>
            <w:r/>
            <w:r>
              <w:rPr>
                <w:b w:val="0"/>
                <w:i w:val="0"/>
                <w:sz w:val="16"/>
              </w:rPr>
              <w:t>42 % (Table 4-1)</w:t>
            </w:r>
          </w:p>
        </w:tc>
        <w:tc>
          <w:tcPr>
            <w:tcW w:type="dxa" w:w="2232"/>
            <w:vAlign w:val="top"/>
          </w:tcPr>
          <w:p>
            <w:pPr>
              <w:spacing w:after="20" w:before="0" w:line="240" w:lineRule="auto"/>
            </w:pPr>
            <w:r/>
            <w:r>
              <w:rPr>
                <w:b w:val="0"/>
                <w:i w:val="0"/>
                <w:sz w:val="16"/>
              </w:rPr>
              <w:t>42 %</w:t>
            </w:r>
          </w:p>
        </w:tc>
        <w:tc>
          <w:tcPr>
            <w:tcW w:type="dxa" w:w="2664"/>
            <w:vAlign w:val="top"/>
          </w:tcPr>
          <w:p>
            <w:pPr>
              <w:spacing w:after="20" w:before="0" w:line="240" w:lineRule="auto"/>
            </w:pPr>
            <w:r/>
            <w:r>
              <w:rPr>
                <w:b w:val="0"/>
                <w:i w:val="0"/>
                <w:sz w:val="16"/>
              </w:rPr>
              <w:t>65 % (Inputs B30)</w:t>
            </w:r>
          </w:p>
        </w:tc>
      </w:tr>
      <w:tr>
        <w:trPr>
          <w:cantSplit w:val="true"/>
        </w:trPr>
        <w:tc>
          <w:tcPr>
            <w:tcW w:type="dxa" w:w="1800"/>
            <w:vAlign w:val="top"/>
          </w:tcPr>
          <w:p>
            <w:pPr>
              <w:spacing w:after="20" w:before="0" w:line="240" w:lineRule="auto"/>
            </w:pPr>
            <w:r/>
            <w:r>
              <w:rPr>
                <w:b w:val="0"/>
                <w:i w:val="0"/>
                <w:sz w:val="16"/>
              </w:rPr>
              <w:t>Peak inflow to basin</w:t>
            </w:r>
          </w:p>
        </w:tc>
        <w:tc>
          <w:tcPr>
            <w:tcW w:type="dxa" w:w="2664"/>
            <w:vAlign w:val="top"/>
          </w:tcPr>
          <w:p>
            <w:pPr>
              <w:spacing w:after="20" w:before="0" w:line="240" w:lineRule="auto"/>
            </w:pPr>
            <w:r/>
            <w:r>
              <w:rPr>
                <w:b w:val="0"/>
                <w:i w:val="0"/>
                <w:sz w:val="16"/>
              </w:rPr>
              <w:t>88.4 cfs, routed 6-hr peak (App. C-2, D-1)</w:t>
            </w:r>
          </w:p>
        </w:tc>
        <w:tc>
          <w:tcPr>
            <w:tcW w:type="dxa" w:w="2232"/>
            <w:vAlign w:val="top"/>
          </w:tcPr>
          <w:p>
            <w:pPr>
              <w:spacing w:after="20" w:before="0" w:line="240" w:lineRule="auto"/>
            </w:pPr>
            <w:r/>
            <w:r>
              <w:rPr>
                <w:b w:val="0"/>
                <w:i w:val="0"/>
                <w:sz w:val="16"/>
              </w:rPr>
              <w:t>88.4 cfs — spillway design discharge</w:t>
            </w:r>
          </w:p>
        </w:tc>
        <w:tc>
          <w:tcPr>
            <w:tcW w:type="dxa" w:w="2664"/>
            <w:vAlign w:val="top"/>
          </w:tcPr>
          <w:p>
            <w:pPr>
              <w:spacing w:after="20" w:before="0" w:line="240" w:lineRule="auto"/>
            </w:pPr>
            <w:r/>
            <w:r>
              <w:rPr>
                <w:b w:val="0"/>
                <w:i w:val="0"/>
                <w:sz w:val="16"/>
              </w:rPr>
              <w:t>32.1 cfs, 24-hr composite (Detention Sizing B9); 128.0 cfs, sum of 6-hr sub-basin peaks (Sub-basin Peak Flows G10)</w:t>
            </w:r>
          </w:p>
        </w:tc>
      </w:tr>
      <w:tr>
        <w:trPr>
          <w:cantSplit w:val="true"/>
        </w:trPr>
        <w:tc>
          <w:tcPr>
            <w:tcW w:type="dxa" w:w="1800"/>
            <w:vAlign w:val="top"/>
          </w:tcPr>
          <w:p>
            <w:pPr>
              <w:spacing w:after="20" w:before="0" w:line="240" w:lineRule="auto"/>
            </w:pPr>
            <w:r/>
            <w:r>
              <w:rPr>
                <w:b w:val="0"/>
                <w:i w:val="0"/>
                <w:sz w:val="16"/>
              </w:rPr>
              <w:t>Peak outflow</w:t>
            </w:r>
          </w:p>
        </w:tc>
        <w:tc>
          <w:tcPr>
            <w:tcW w:type="dxa" w:w="2664"/>
            <w:vAlign w:val="top"/>
          </w:tcPr>
          <w:p>
            <w:pPr>
              <w:spacing w:after="20" w:before="0" w:line="240" w:lineRule="auto"/>
            </w:pPr>
            <w:r/>
            <w:r>
              <w:rPr>
                <w:b w:val="0"/>
                <w:i w:val="0"/>
                <w:sz w:val="16"/>
              </w:rPr>
              <w:t>27.9 cfs (App. D-1)</w:t>
            </w:r>
          </w:p>
        </w:tc>
        <w:tc>
          <w:tcPr>
            <w:tcW w:type="dxa" w:w="2232"/>
            <w:vAlign w:val="top"/>
          </w:tcPr>
          <w:p>
            <w:pPr>
              <w:spacing w:after="20" w:before="0" w:line="240" w:lineRule="auto"/>
            </w:pPr>
            <w:r/>
            <w:r>
              <w:rPr>
                <w:b w:val="0"/>
                <w:i w:val="0"/>
                <w:sz w:val="16"/>
              </w:rPr>
              <w:t>27.9 cfs — outlet conformed to App. D-2</w:t>
            </w:r>
          </w:p>
        </w:tc>
        <w:tc>
          <w:tcPr>
            <w:tcW w:type="dxa" w:w="2664"/>
            <w:vAlign w:val="top"/>
          </w:tcPr>
          <w:p>
            <w:pPr>
              <w:spacing w:after="20" w:before="0" w:line="240" w:lineRule="auto"/>
            </w:pPr>
            <w:r/>
            <w:r>
              <w:rPr>
                <w:b w:val="0"/>
                <w:i w:val="0"/>
                <w:sz w:val="16"/>
              </w:rPr>
              <w:t>6.0 cfs “Phase 3 share” (Detention Sizing B15–B16)</w:t>
            </w:r>
          </w:p>
        </w:tc>
      </w:tr>
      <w:tr>
        <w:trPr>
          <w:cantSplit w:val="true"/>
        </w:trPr>
        <w:tc>
          <w:tcPr>
            <w:tcW w:type="dxa" w:w="1800"/>
            <w:vAlign w:val="top"/>
          </w:tcPr>
          <w:p>
            <w:pPr>
              <w:spacing w:after="20" w:before="0" w:line="240" w:lineRule="auto"/>
            </w:pPr>
            <w:r/>
            <w:r>
              <w:rPr>
                <w:b w:val="0"/>
                <w:i w:val="0"/>
                <w:sz w:val="16"/>
              </w:rPr>
              <w:t>Storage at 100-yr WSEL</w:t>
            </w:r>
          </w:p>
        </w:tc>
        <w:tc>
          <w:tcPr>
            <w:tcW w:type="dxa" w:w="2664"/>
            <w:vAlign w:val="top"/>
          </w:tcPr>
          <w:p>
            <w:pPr>
              <w:spacing w:after="20" w:before="0" w:line="240" w:lineRule="auto"/>
            </w:pPr>
            <w:r/>
            <w:r>
              <w:rPr>
                <w:b w:val="0"/>
                <w:i w:val="0"/>
                <w:sz w:val="16"/>
              </w:rPr>
              <w:t>6.4 ac-ft at 2,857.91 ft (Table 4-1; App. D-2)</w:t>
            </w:r>
          </w:p>
        </w:tc>
        <w:tc>
          <w:tcPr>
            <w:tcW w:type="dxa" w:w="2232"/>
            <w:vAlign w:val="top"/>
          </w:tcPr>
          <w:p>
            <w:pPr>
              <w:spacing w:after="20" w:before="0" w:line="240" w:lineRule="auto"/>
            </w:pPr>
            <w:r/>
            <w:r>
              <w:rPr>
                <w:b w:val="0"/>
                <w:i w:val="0"/>
                <w:sz w:val="16"/>
              </w:rPr>
              <w:t>6.40 ac-ft at 2,857.91 ft</w:t>
            </w:r>
          </w:p>
        </w:tc>
        <w:tc>
          <w:tcPr>
            <w:tcW w:type="dxa" w:w="2664"/>
            <w:vAlign w:val="top"/>
          </w:tcPr>
          <w:p>
            <w:pPr>
              <w:spacing w:after="20" w:before="0" w:line="240" w:lineRule="auto"/>
            </w:pPr>
            <w:r/>
            <w:r>
              <w:rPr>
                <w:b w:val="0"/>
                <w:i w:val="0"/>
                <w:sz w:val="16"/>
              </w:rPr>
              <w:t>8.1 ac-ft (Detention Sizing C41)</w:t>
            </w:r>
          </w:p>
        </w:tc>
      </w:tr>
      <w:tr>
        <w:trPr>
          <w:cantSplit w:val="true"/>
        </w:trPr>
        <w:tc>
          <w:tcPr>
            <w:tcW w:type="dxa" w:w="1800"/>
            <w:vAlign w:val="top"/>
          </w:tcPr>
          <w:p>
            <w:pPr>
              <w:spacing w:after="20" w:before="0" w:line="240" w:lineRule="auto"/>
            </w:pPr>
            <w:r/>
            <w:r>
              <w:rPr>
                <w:b w:val="0"/>
                <w:i w:val="0"/>
                <w:sz w:val="16"/>
              </w:rPr>
              <w:t>Rating at and below crest</w:t>
            </w:r>
          </w:p>
        </w:tc>
        <w:tc>
          <w:tcPr>
            <w:tcW w:type="dxa" w:w="2664"/>
            <w:vAlign w:val="top"/>
          </w:tcPr>
          <w:p>
            <w:pPr>
              <w:spacing w:after="20" w:before="0" w:line="240" w:lineRule="auto"/>
            </w:pPr>
            <w:r/>
            <w:r>
              <w:rPr>
                <w:b w:val="0"/>
                <w:i w:val="0"/>
                <w:sz w:val="16"/>
              </w:rPr>
              <w:t>App. D-2, through 2,858.50 ft</w:t>
            </w:r>
          </w:p>
        </w:tc>
        <w:tc>
          <w:tcPr>
            <w:tcW w:type="dxa" w:w="2232"/>
            <w:vAlign w:val="top"/>
          </w:tcPr>
          <w:p>
            <w:pPr>
              <w:spacing w:after="20" w:before="0" w:line="240" w:lineRule="auto"/>
            </w:pPr>
            <w:r/>
            <w:r>
              <w:rPr>
                <w:b w:val="0"/>
                <w:i w:val="0"/>
                <w:sz w:val="16"/>
              </w:rPr>
              <w:t>Unchanged</w:t>
            </w:r>
          </w:p>
        </w:tc>
        <w:tc>
          <w:tcPr>
            <w:tcW w:type="dxa" w:w="2664"/>
            <w:vAlign w:val="top"/>
          </w:tcPr>
          <w:p>
            <w:pPr>
              <w:spacing w:after="20" w:before="0" w:line="240" w:lineRule="auto"/>
            </w:pPr>
            <w:r/>
            <w:r>
              <w:rPr>
                <w:b w:val="0"/>
                <w:i w:val="0"/>
                <w:sz w:val="16"/>
              </w:rPr>
              <w:t>Not used</w:t>
            </w:r>
          </w:p>
        </w:tc>
      </w:tr>
      <w:tr>
        <w:trPr>
          <w:cantSplit w:val="true"/>
        </w:trPr>
        <w:tc>
          <w:tcPr>
            <w:tcW w:type="dxa" w:w="1800"/>
            <w:vAlign w:val="top"/>
          </w:tcPr>
          <w:p>
            <w:pPr>
              <w:spacing w:after="20" w:before="0" w:line="240" w:lineRule="auto"/>
            </w:pPr>
            <w:r/>
            <w:r>
              <w:rPr>
                <w:b w:val="0"/>
                <w:i w:val="0"/>
                <w:sz w:val="16"/>
              </w:rPr>
              <w:t>Basin location</w:t>
            </w:r>
          </w:p>
        </w:tc>
        <w:tc>
          <w:tcPr>
            <w:tcW w:type="dxa" w:w="2664"/>
            <w:vAlign w:val="top"/>
          </w:tcPr>
          <w:p>
            <w:pPr>
              <w:spacing w:after="20" w:before="0" w:line="240" w:lineRule="auto"/>
            </w:pPr>
            <w:r/>
            <w:r>
              <w:rPr>
                <w:b w:val="0"/>
                <w:i w:val="0"/>
                <w:sz w:val="16"/>
              </w:rPr>
              <w:t>Parcel E (App. E)</w:t>
            </w:r>
          </w:p>
        </w:tc>
        <w:tc>
          <w:tcPr>
            <w:tcW w:type="dxa" w:w="2232"/>
            <w:vAlign w:val="top"/>
          </w:tcPr>
          <w:p>
            <w:pPr>
              <w:spacing w:after="20" w:before="0" w:line="240" w:lineRule="auto"/>
            </w:pPr>
            <w:r/>
            <w:r>
              <w:rPr>
                <w:b w:val="0"/>
                <w:i w:val="0"/>
                <w:sz w:val="16"/>
              </w:rPr>
              <w:t>Parcel E</w:t>
            </w:r>
          </w:p>
        </w:tc>
        <w:tc>
          <w:tcPr>
            <w:tcW w:type="dxa" w:w="2664"/>
            <w:vAlign w:val="top"/>
          </w:tcPr>
          <w:p>
            <w:pPr>
              <w:spacing w:after="20" w:before="0" w:line="240" w:lineRule="auto"/>
            </w:pPr>
            <w:r/>
            <w:r>
              <w:rPr>
                <w:b w:val="0"/>
                <w:i w:val="0"/>
                <w:sz w:val="16"/>
              </w:rPr>
              <w:t>Unspecified single basin (Inputs B20)</w:t>
            </w:r>
          </w:p>
        </w:tc>
      </w:tr>
      <w:tr>
        <w:trPr>
          <w:cantSplit w:val="true"/>
        </w:trPr>
        <w:tc>
          <w:tcPr>
            <w:tcW w:type="dxa" w:w="1800"/>
            <w:vAlign w:val="top"/>
          </w:tcPr>
          <w:p>
            <w:pPr>
              <w:spacing w:after="20" w:before="0" w:line="240" w:lineRule="auto"/>
            </w:pPr>
            <w:r/>
            <w:r>
              <w:rPr>
                <w:b w:val="0"/>
                <w:i w:val="0"/>
                <w:sz w:val="16"/>
              </w:rPr>
              <w:t>Shared outfall</w:t>
            </w:r>
          </w:p>
        </w:tc>
        <w:tc>
          <w:tcPr>
            <w:tcW w:type="dxa" w:w="2664"/>
            <w:vAlign w:val="top"/>
          </w:tcPr>
          <w:p>
            <w:pPr>
              <w:spacing w:after="20" w:before="0" w:line="240" w:lineRule="auto"/>
            </w:pPr>
            <w:r/>
            <w:r>
              <w:rPr>
                <w:b w:val="0"/>
                <w:i w:val="0"/>
                <w:sz w:val="16"/>
              </w:rPr>
              <w:t>78 cfs cap, site-wide; no phase-specific release (§5.2–§5.3)</w:t>
            </w:r>
          </w:p>
        </w:tc>
        <w:tc>
          <w:tcPr>
            <w:tcW w:type="dxa" w:w="2232"/>
            <w:vAlign w:val="top"/>
          </w:tcPr>
          <w:p>
            <w:pPr>
              <w:spacing w:after="20" w:before="0" w:line="240" w:lineRule="auto"/>
            </w:pPr>
            <w:r/>
            <w:r>
              <w:rPr>
                <w:b w:val="0"/>
                <w:i w:val="0"/>
                <w:sz w:val="16"/>
              </w:rPr>
              <w:t>Unchanged</w:t>
            </w:r>
          </w:p>
        </w:tc>
        <w:tc>
          <w:tcPr>
            <w:tcW w:type="dxa" w:w="2664"/>
            <w:vAlign w:val="top"/>
          </w:tcPr>
          <w:p>
            <w:pPr>
              <w:spacing w:after="20" w:before="0" w:line="240" w:lineRule="auto"/>
            </w:pPr>
            <w:r/>
            <w:r>
              <w:rPr>
                <w:b w:val="0"/>
                <w:i w:val="0"/>
                <w:sz w:val="16"/>
              </w:rPr>
              <w:t>Computes a phase-specific release, which §5.3 says phase plans shall not do</w:t>
            </w:r>
          </w:p>
        </w:tc>
      </w:tr>
    </w:tbl>
    <w:p>
      <w:pPr>
        <w:spacing w:after="40"/>
      </w:pPr>
    </w:p>
    <w:p>
      <w:r>
        <w:rPr>
          <w:b w:val="0"/>
          <w:i w:val="0"/>
        </w:rPr>
        <w:t>Apart from bringing the outlet into line with App. D-2, everything the revision changes lies above the crest or outside the routing: spillway location and length, berm height, armor and overflow channel. The 100-year routing peaks at 2,857.91 ft, 0.59 ft below the crest, so neither the spillway rating nor the added berm height enters it; the App. D-2 top-of-berm row (2,859.20 ft) carries no discharge. Conforming the outlet to App. D-2 restores the accepted storage-indication input rather than departing from it. The overflow route is not a design-storm outfall: with the outlet working the spillway does not flow in the 100-year storm, and the site still discharges through the one shared outfall at no more than 78 cfs (MDS §5.1–§5.2).</w:t>
      </w:r>
    </w:p>
    <w:p>
      <w:r>
        <w:rPr>
          <w:b w:val="0"/>
          <w:i w:val="0"/>
        </w:rPr>
        <w:t>The preliminary calculation is the opposite case. It changes the manual, rainfall, tributary area, impervious cover and release rate and arrives at 8.1 ac-ft — 1.7 ac-ft (26.5625 %) over the 6.4 ac-ft allocation, and 0.078545 ac-ft more than the basin holds at today’s top of berm (8.02 ac-ft on the C-9 Storage Summary Table; 8.021455 ac-ft recomputed from its contour areas, Attachment A-7). Its 65 % impervious figure conflicts with the plan set (C-1 General Notes, approximately 42 %) and the Hydrology Worksheet (42 % area-weighted); its 26.5 ac of offsite area conflicts with MDS §2.3, which brings offsite flow in through Phase 1; and nothing in the MDS supports a 6.0-cfs Phase 3 release.</w:t>
      </w:r>
    </w:p>
    <w:tbl>
      <w:tblPr>
        <w:jc w:val="center"/>
        <w:tblLook w:firstColumn="1" w:firstRow="1" w:lastColumn="0" w:lastRow="0" w:noHBand="0" w:noVBand="1" w:val="04A0"/>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top w:w="80" w:type="dxa"/>
          <w:left w:w="110" w:type="dxa"/>
          <w:bottom w:w="80" w:type="dxa"/>
          <w:right w:w="110" w:type="dxa"/>
        </w:tblCellMar>
        <w:tblW w:w="9360" w:type="dxa"/>
        <w:tblLayout w:type="fixed"/>
      </w:tblPr>
      <w:tblGrid>
        <w:gridCol w:w="9360"/>
      </w:tblGrid>
      <w:tr>
        <w:trPr>
          <w:cantSplit w:val="true"/>
        </w:trPr>
        <w:tc>
          <w:tcPr>
            <w:tcW w:type="dxa" w:w="9360"/>
            <w:vAlign w:val="top"/>
            <w:shd w:val="clear" w:color="auto" w:fill="EAF0F8"/>
          </w:tcPr>
          <w:p>
            <w:pPr>
              <w:spacing w:after="20" w:before="0" w:line="240" w:lineRule="auto"/>
            </w:pPr>
            <w:r/>
            <w:r>
              <w:rPr>
                <w:b/>
                <w:i w:val="0"/>
                <w:sz w:val="20"/>
              </w:rPr>
              <w:t>Disposition 2 — No amendment.</w:t>
            </w:r>
            <w:r>
              <w:rPr>
                <w:b w:val="0"/>
                <w:i w:val="0"/>
                <w:sz w:val="20"/>
              </w:rPr>
              <w:t xml:space="preserve"> The C-9 revisions in this memo stay inside the accepted MDS and go to Public Works in the normal resubmittal, with the G-3/G-4 response stating the reconciliation in the terms Public Works set at pre-application. That is also the basis for closing Tracker Outstanding Item 8 (no change to the accepted Phase 3 allocation). The 09/25/2026 preliminary detention calculation is not cited, not used for the C-9 revision and not transmitted.</w:t>
            </w:r>
          </w:p>
        </w:tc>
      </w:tr>
    </w:tbl>
    <w:p>
      <w:pPr>
        <w:spacing w:after="40"/>
      </w:pPr>
    </w:p>
    <w:p>
      <w:pPr>
        <w:keepNext/>
        <w:spacing w:after="80" w:before="180"/>
      </w:pPr>
      <w:r>
        <w:rPr>
          <w:b/>
          <w:i w:val="0"/>
          <w:color w:val="1F3864"/>
          <w:sz w:val="23"/>
        </w:rPr>
        <w:t>5.  The Revised Sheet C-9</w:t>
      </w:r>
    </w:p>
    <w:p>
      <w:pPr>
        <w:keepNext/>
        <w:spacing w:after="40" w:before="80"/>
      </w:pPr>
      <w:r>
        <w:rPr>
          <w:b/>
          <w:i w:val="0"/>
          <w:sz w:val="20"/>
        </w:rPr>
        <w:t>5.1  Design basis (stated on the sheet and in the calculation package)</w:t>
      </w:r>
    </w:p>
    <w:p>
      <w:pPr>
        <w:pStyle w:val="ListBullet"/>
        <w:spacing w:after="60"/>
        <w:ind w:left="360"/>
      </w:pPr>
      <w:r>
        <w:rPr>
          <w:b w:val="0"/>
          <w:i w:val="0"/>
          <w:sz w:val="20"/>
        </w:rPr>
        <w:t>Design discharge 88.4 cfs, the Phase 3 100-year peak inflow (MDS App. C-2 and D-1; Hydrology Worksheet B13), with the outlet works fully blocked and the basin at the crest when the peak arrives; no credit for storage or outlet discharge. Hydrology is taken from the MDS unchanged.</w:t>
      </w:r>
    </w:p>
    <w:p>
      <w:pPr>
        <w:pStyle w:val="ListBullet"/>
        <w:spacing w:after="60"/>
        <w:ind w:left="360"/>
      </w:pPr>
      <w:r>
        <w:rPr>
          <w:b w:val="0"/>
          <w:i w:val="0"/>
          <w:sz w:val="20"/>
        </w:rPr>
        <w:t>Broad-crested weir, Q = C L H</w:t>
      </w:r>
      <w:r>
        <w:rPr>
          <w:b w:val="0"/>
          <w:i w:val="0"/>
          <w:sz w:val="20"/>
          <w:vertAlign w:val="superscript"/>
        </w:rPr>
        <w:t>1.5</w:t>
      </w:r>
      <w:r>
        <w:rPr>
          <w:b w:val="0"/>
          <w:i w:val="0"/>
          <w:sz w:val="20"/>
        </w:rPr>
        <w:t>, with C = 2.6 ft</w:t>
      </w:r>
      <w:r>
        <w:rPr>
          <w:b w:val="0"/>
          <w:i w:val="0"/>
          <w:sz w:val="20"/>
          <w:vertAlign w:val="superscript"/>
        </w:rPr>
        <w:t>0.5</w:t>
      </w:r>
      <w:r>
        <w:rPr>
          <w:b w:val="0"/>
          <w:i w:val="0"/>
          <w:sz w:val="20"/>
        </w:rPr>
        <w:t>/s, at the low end of the range used for broad crests and below the 3.088809 ft</w:t>
      </w:r>
      <w:r>
        <w:rPr>
          <w:b w:val="0"/>
          <w:i w:val="0"/>
          <w:sz w:val="20"/>
          <w:vertAlign w:val="superscript"/>
        </w:rPr>
        <w:t>0.5</w:t>
      </w:r>
      <w:r>
        <w:rPr>
          <w:b w:val="0"/>
          <w:i w:val="0"/>
          <w:sz w:val="20"/>
        </w:rPr>
        <w:t>/s theoretical ceiling; a higher coefficient from the manual table only adds margin. The notch side slopes add capacity that is not counted.</w:t>
      </w:r>
    </w:p>
    <w:p>
      <w:pPr>
        <w:pStyle w:val="ListBullet"/>
        <w:spacing w:after="60"/>
        <w:ind w:left="360"/>
      </w:pPr>
      <w:r>
        <w:rPr>
          <w:b w:val="0"/>
          <w:i w:val="0"/>
          <w:sz w:val="20"/>
        </w:rPr>
        <w:t>Freeboard of at least 1.0 ft above the spillway design water surface (C-9 Basin Notes minimum; Ph2 Comments G-3).</w:t>
      </w:r>
    </w:p>
    <w:p>
      <w:pPr>
        <w:pStyle w:val="ListBullet"/>
        <w:spacing w:after="60"/>
        <w:ind w:left="360"/>
      </w:pPr>
      <w:r>
        <w:rPr>
          <w:b w:val="0"/>
          <w:i w:val="0"/>
          <w:sz w:val="20"/>
        </w:rPr>
        <w:t>Crest held at 2,858.50 ft (MDS App. D-2). Lowering it would change an accepted App. D-2 value and shrink the 0.59-ft margin above the 100-year water surface.</w:t>
      </w:r>
    </w:p>
    <w:p>
      <w:pPr>
        <w:keepNext/>
        <w:spacing w:after="40" w:before="80"/>
      </w:pPr>
      <w:r>
        <w:rPr>
          <w:b/>
          <w:i w:val="0"/>
          <w:sz w:val="20"/>
        </w:rPr>
        <w:t>5.2  Spillway detail — values</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520"/>
        <w:gridCol w:w="4824"/>
        <w:gridCol w:w="2015"/>
      </w:tblGrid>
      <w:tr>
        <w:trPr>
          <w:tblHeader w:val="true"/>
        </w:trPr>
        <w:tc>
          <w:tcPr>
            <w:tcW w:type="dxa" w:w="2520"/>
            <w:vAlign w:val="top"/>
            <w:shd w:val="clear" w:color="auto" w:fill="D9E2F3"/>
          </w:tcPr>
          <w:p>
            <w:pPr>
              <w:spacing w:after="20" w:before="0" w:line="240" w:lineRule="auto"/>
            </w:pPr>
            <w:r/>
            <w:r>
              <w:rPr>
                <w:b/>
                <w:i w:val="0"/>
                <w:sz w:val="16"/>
              </w:rPr>
              <w:t>Item</w:t>
            </w:r>
          </w:p>
        </w:tc>
        <w:tc>
          <w:tcPr>
            <w:tcW w:type="dxa" w:w="4824"/>
            <w:vAlign w:val="top"/>
            <w:shd w:val="clear" w:color="auto" w:fill="D9E2F3"/>
          </w:tcPr>
          <w:p>
            <w:pPr>
              <w:spacing w:after="20" w:before="0" w:line="240" w:lineRule="auto"/>
            </w:pPr>
            <w:r/>
            <w:r>
              <w:rPr>
                <w:b/>
                <w:i w:val="0"/>
                <w:sz w:val="16"/>
              </w:rPr>
              <w:t>Revised value</w:t>
            </w:r>
          </w:p>
        </w:tc>
        <w:tc>
          <w:tcPr>
            <w:tcW w:type="dxa" w:w="2016"/>
            <w:vAlign w:val="top"/>
            <w:shd w:val="clear" w:color="auto" w:fill="D9E2F3"/>
          </w:tcPr>
          <w:p>
            <w:pPr>
              <w:spacing w:after="20" w:before="0" w:line="240" w:lineRule="auto"/>
            </w:pPr>
            <w:r/>
            <w:r>
              <w:rPr>
                <w:b/>
                <w:i w:val="0"/>
                <w:sz w:val="16"/>
              </w:rPr>
              <w:t>Basis</w:t>
            </w:r>
          </w:p>
        </w:tc>
      </w:tr>
      <w:tr>
        <w:trPr>
          <w:cantSplit w:val="true"/>
        </w:trPr>
        <w:tc>
          <w:tcPr>
            <w:tcW w:type="dxa" w:w="2520"/>
            <w:vAlign w:val="top"/>
          </w:tcPr>
          <w:p>
            <w:pPr>
              <w:spacing w:after="20" w:before="0" w:line="240" w:lineRule="auto"/>
            </w:pPr>
            <w:r/>
            <w:r>
              <w:rPr>
                <w:b w:val="0"/>
                <w:i w:val="0"/>
                <w:sz w:val="16"/>
              </w:rPr>
              <w:t>Location</w:t>
            </w:r>
          </w:p>
        </w:tc>
        <w:tc>
          <w:tcPr>
            <w:tcW w:type="dxa" w:w="4824"/>
            <w:vAlign w:val="top"/>
          </w:tcPr>
          <w:p>
            <w:pPr>
              <w:spacing w:after="20" w:before="0" w:line="240" w:lineRule="auto"/>
            </w:pPr>
            <w:r/>
            <w:r>
              <w:rPr>
                <w:b w:val="0"/>
                <w:i w:val="0"/>
                <w:sz w:val="16"/>
              </w:rPr>
              <w:t>South berm, discharging south toward Windmill Lane (was east berm)</w:t>
            </w:r>
          </w:p>
        </w:tc>
        <w:tc>
          <w:tcPr>
            <w:tcW w:type="dxa" w:w="2016"/>
            <w:vAlign w:val="top"/>
          </w:tcPr>
          <w:p>
            <w:pPr>
              <w:spacing w:after="20" w:before="0" w:line="240" w:lineRule="auto"/>
            </w:pPr>
            <w:r/>
            <w:r>
              <w:rPr>
                <w:b w:val="0"/>
                <w:i w:val="0"/>
                <w:sz w:val="16"/>
              </w:rPr>
              <w:t>Section 6</w:t>
            </w:r>
          </w:p>
        </w:tc>
      </w:tr>
      <w:tr>
        <w:trPr>
          <w:cantSplit w:val="true"/>
        </w:trPr>
        <w:tc>
          <w:tcPr>
            <w:tcW w:type="dxa" w:w="2520"/>
            <w:vAlign w:val="top"/>
          </w:tcPr>
          <w:p>
            <w:pPr>
              <w:spacing w:after="20" w:before="0" w:line="240" w:lineRule="auto"/>
            </w:pPr>
            <w:r/>
            <w:r>
              <w:rPr>
                <w:b w:val="0"/>
                <w:i w:val="0"/>
                <w:sz w:val="16"/>
              </w:rPr>
              <w:t>Crest elevation</w:t>
            </w:r>
          </w:p>
        </w:tc>
        <w:tc>
          <w:tcPr>
            <w:tcW w:type="dxa" w:w="4824"/>
            <w:vAlign w:val="top"/>
          </w:tcPr>
          <w:p>
            <w:pPr>
              <w:spacing w:after="20" w:before="0" w:line="240" w:lineRule="auto"/>
            </w:pPr>
            <w:r/>
            <w:r>
              <w:rPr>
                <w:b w:val="0"/>
                <w:i w:val="0"/>
                <w:sz w:val="16"/>
              </w:rPr>
              <w:t>2,858.50 ft (unchanged)</w:t>
            </w:r>
          </w:p>
        </w:tc>
        <w:tc>
          <w:tcPr>
            <w:tcW w:type="dxa" w:w="2016"/>
            <w:vAlign w:val="top"/>
          </w:tcPr>
          <w:p>
            <w:pPr>
              <w:spacing w:after="20" w:before="0" w:line="240" w:lineRule="auto"/>
            </w:pPr>
            <w:r/>
            <w:r>
              <w:rPr>
                <w:b w:val="0"/>
                <w:i w:val="0"/>
                <w:sz w:val="16"/>
              </w:rPr>
              <w:t>MDS App. D-2; C-9</w:t>
            </w:r>
          </w:p>
        </w:tc>
      </w:tr>
      <w:tr>
        <w:trPr>
          <w:cantSplit w:val="true"/>
        </w:trPr>
        <w:tc>
          <w:tcPr>
            <w:tcW w:type="dxa" w:w="2520"/>
            <w:vAlign w:val="top"/>
          </w:tcPr>
          <w:p>
            <w:pPr>
              <w:spacing w:after="20" w:before="0" w:line="240" w:lineRule="auto"/>
            </w:pPr>
            <w:r/>
            <w:r>
              <w:rPr>
                <w:b w:val="0"/>
                <w:i w:val="0"/>
                <w:sz w:val="16"/>
              </w:rPr>
              <w:t>Crest length</w:t>
            </w:r>
          </w:p>
        </w:tc>
        <w:tc>
          <w:tcPr>
            <w:tcW w:type="dxa" w:w="4824"/>
            <w:vAlign w:val="top"/>
          </w:tcPr>
          <w:p>
            <w:pPr>
              <w:spacing w:after="20" w:before="0" w:line="240" w:lineRule="auto"/>
            </w:pPr>
            <w:r/>
            <w:r>
              <w:rPr>
                <w:b w:val="0"/>
                <w:i w:val="0"/>
                <w:sz w:val="16"/>
              </w:rPr>
              <w:t>50.0 ft (was 20.0 ft)</w:t>
            </w:r>
          </w:p>
        </w:tc>
        <w:tc>
          <w:tcPr>
            <w:tcW w:type="dxa" w:w="2016"/>
            <w:vAlign w:val="top"/>
          </w:tcPr>
          <w:p>
            <w:pPr>
              <w:spacing w:after="20" w:before="0" w:line="240" w:lineRule="auto"/>
            </w:pPr>
            <w:r/>
            <w:r>
              <w:rPr>
                <w:b w:val="0"/>
                <w:i w:val="0"/>
                <w:sz w:val="16"/>
              </w:rPr>
              <w:t>Attachment A-4</w:t>
            </w:r>
          </w:p>
        </w:tc>
      </w:tr>
      <w:tr>
        <w:trPr>
          <w:cantSplit w:val="true"/>
        </w:trPr>
        <w:tc>
          <w:tcPr>
            <w:tcW w:type="dxa" w:w="2520"/>
            <w:vAlign w:val="top"/>
          </w:tcPr>
          <w:p>
            <w:pPr>
              <w:spacing w:after="20" w:before="0" w:line="240" w:lineRule="auto"/>
            </w:pPr>
            <w:r/>
            <w:r>
              <w:rPr>
                <w:b w:val="0"/>
                <w:i w:val="0"/>
                <w:sz w:val="16"/>
              </w:rPr>
              <w:t>Crest breadth</w:t>
            </w:r>
          </w:p>
        </w:tc>
        <w:tc>
          <w:tcPr>
            <w:tcW w:type="dxa" w:w="4824"/>
            <w:vAlign w:val="top"/>
          </w:tcPr>
          <w:p>
            <w:pPr>
              <w:spacing w:after="20" w:before="0" w:line="240" w:lineRule="auto"/>
            </w:pPr>
            <w:r/>
            <w:r>
              <w:rPr>
                <w:b w:val="0"/>
                <w:i w:val="0"/>
                <w:sz w:val="16"/>
              </w:rPr>
              <w:t>6.0 ft (unchanged); H/b = 0.128881 (dimensionless), within the broad-crested range</w:t>
            </w:r>
          </w:p>
        </w:tc>
        <w:tc>
          <w:tcPr>
            <w:tcW w:type="dxa" w:w="2016"/>
            <w:vAlign w:val="top"/>
          </w:tcPr>
          <w:p>
            <w:pPr>
              <w:spacing w:after="20" w:before="0" w:line="240" w:lineRule="auto"/>
            </w:pPr>
            <w:r/>
            <w:r>
              <w:rPr>
                <w:b w:val="0"/>
                <w:i w:val="0"/>
                <w:sz w:val="16"/>
              </w:rPr>
              <w:t>C-9; A-4</w:t>
            </w:r>
          </w:p>
        </w:tc>
      </w:tr>
      <w:tr>
        <w:trPr>
          <w:cantSplit w:val="true"/>
        </w:trPr>
        <w:tc>
          <w:tcPr>
            <w:tcW w:type="dxa" w:w="2520"/>
            <w:vAlign w:val="top"/>
          </w:tcPr>
          <w:p>
            <w:pPr>
              <w:spacing w:after="20" w:before="0" w:line="240" w:lineRule="auto"/>
            </w:pPr>
            <w:r/>
            <w:r>
              <w:rPr>
                <w:b w:val="0"/>
                <w:i w:val="0"/>
                <w:sz w:val="16"/>
              </w:rPr>
              <w:t>Design discharge</w:t>
            </w:r>
          </w:p>
        </w:tc>
        <w:tc>
          <w:tcPr>
            <w:tcW w:type="dxa" w:w="4824"/>
            <w:vAlign w:val="top"/>
          </w:tcPr>
          <w:p>
            <w:pPr>
              <w:spacing w:after="20" w:before="0" w:line="240" w:lineRule="auto"/>
            </w:pPr>
            <w:r/>
            <w:r>
              <w:rPr>
                <w:b w:val="0"/>
                <w:i w:val="0"/>
                <w:sz w:val="16"/>
              </w:rPr>
              <w:t>88.4 cfs, outlet works blocked</w:t>
            </w:r>
          </w:p>
        </w:tc>
        <w:tc>
          <w:tcPr>
            <w:tcW w:type="dxa" w:w="2016"/>
            <w:vAlign w:val="top"/>
          </w:tcPr>
          <w:p>
            <w:pPr>
              <w:spacing w:after="20" w:before="0" w:line="240" w:lineRule="auto"/>
            </w:pPr>
            <w:r/>
            <w:r>
              <w:rPr>
                <w:b w:val="0"/>
                <w:i w:val="0"/>
                <w:sz w:val="16"/>
              </w:rPr>
              <w:t>MDS App. C-2, D-1</w:t>
            </w:r>
          </w:p>
        </w:tc>
      </w:tr>
      <w:tr>
        <w:trPr>
          <w:cantSplit w:val="true"/>
        </w:trPr>
        <w:tc>
          <w:tcPr>
            <w:tcW w:type="dxa" w:w="2520"/>
            <w:vAlign w:val="top"/>
          </w:tcPr>
          <w:p>
            <w:pPr>
              <w:spacing w:after="20" w:before="0" w:line="240" w:lineRule="auto"/>
            </w:pPr>
            <w:r/>
            <w:r>
              <w:rPr>
                <w:b w:val="0"/>
                <w:i w:val="0"/>
                <w:sz w:val="16"/>
              </w:rPr>
              <w:t>Design head</w:t>
            </w:r>
          </w:p>
        </w:tc>
        <w:tc>
          <w:tcPr>
            <w:tcW w:type="dxa" w:w="4824"/>
            <w:vAlign w:val="top"/>
          </w:tcPr>
          <w:p>
            <w:pPr>
              <w:spacing w:after="20" w:before="0" w:line="240" w:lineRule="auto"/>
            </w:pPr>
            <w:r/>
            <w:r>
              <w:rPr>
                <w:b w:val="0"/>
                <w:i w:val="0"/>
                <w:sz w:val="16"/>
              </w:rPr>
              <w:t>0.773284 ft (sheet value 0.77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Spillway design water surface</w:t>
            </w:r>
          </w:p>
        </w:tc>
        <w:tc>
          <w:tcPr>
            <w:tcW w:type="dxa" w:w="4824"/>
            <w:vAlign w:val="top"/>
          </w:tcPr>
          <w:p>
            <w:pPr>
              <w:spacing w:after="20" w:before="0" w:line="240" w:lineRule="auto"/>
            </w:pPr>
            <w:r/>
            <w:r>
              <w:rPr>
                <w:b w:val="0"/>
                <w:i w:val="0"/>
                <w:sz w:val="16"/>
              </w:rPr>
              <w:t>2,859.273284 ft (sheet value 2,859.27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Top of berm (minimum rim)</w:t>
            </w:r>
          </w:p>
        </w:tc>
        <w:tc>
          <w:tcPr>
            <w:tcW w:type="dxa" w:w="4824"/>
            <w:vAlign w:val="top"/>
          </w:tcPr>
          <w:p>
            <w:pPr>
              <w:spacing w:after="20" w:before="0" w:line="240" w:lineRule="auto"/>
            </w:pPr>
            <w:r/>
            <w:r>
              <w:rPr>
                <w:b w:val="0"/>
                <w:i w:val="0"/>
                <w:sz w:val="16"/>
              </w:rPr>
              <w:t>2,860.30 ft — raised 1.10 ft from 2,859.20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Freeboard, spillway flowing</w:t>
            </w:r>
          </w:p>
        </w:tc>
        <w:tc>
          <w:tcPr>
            <w:tcW w:type="dxa" w:w="4824"/>
            <w:vAlign w:val="top"/>
          </w:tcPr>
          <w:p>
            <w:pPr>
              <w:spacing w:after="20" w:before="0" w:line="240" w:lineRule="auto"/>
            </w:pPr>
            <w:r/>
            <w:r>
              <w:rPr>
                <w:b w:val="0"/>
                <w:i w:val="0"/>
                <w:sz w:val="16"/>
              </w:rPr>
              <w:t>1.026716 ft (sheet value 1.03 ft) ≥ 1.0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Freeboard, 100-yr WSEL to top of berm</w:t>
            </w:r>
          </w:p>
        </w:tc>
        <w:tc>
          <w:tcPr>
            <w:tcW w:type="dxa" w:w="4824"/>
            <w:vAlign w:val="top"/>
          </w:tcPr>
          <w:p>
            <w:pPr>
              <w:spacing w:after="20" w:before="0" w:line="240" w:lineRule="auto"/>
            </w:pPr>
            <w:r/>
            <w:r>
              <w:rPr>
                <w:b w:val="0"/>
                <w:i w:val="0"/>
                <w:sz w:val="16"/>
              </w:rPr>
              <w:t>2.39 ft ≥ 1.0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Crest above 100-yr WSEL</w:t>
            </w:r>
          </w:p>
        </w:tc>
        <w:tc>
          <w:tcPr>
            <w:tcW w:type="dxa" w:w="4824"/>
            <w:vAlign w:val="top"/>
          </w:tcPr>
          <w:p>
            <w:pPr>
              <w:spacing w:after="20" w:before="0" w:line="240" w:lineRule="auto"/>
            </w:pPr>
            <w:r/>
            <w:r>
              <w:rPr>
                <w:b w:val="0"/>
                <w:i w:val="0"/>
                <w:sz w:val="16"/>
              </w:rPr>
              <w:t>0.59 ft</w:t>
            </w:r>
          </w:p>
        </w:tc>
        <w:tc>
          <w:tcPr>
            <w:tcW w:type="dxa" w:w="2016"/>
            <w:vAlign w:val="top"/>
          </w:tcPr>
          <w:p>
            <w:pPr>
              <w:spacing w:after="20" w:before="0" w:line="240" w:lineRule="auto"/>
            </w:pPr>
            <w:r/>
            <w:r>
              <w:rPr>
                <w:b w:val="0"/>
                <w:i w:val="0"/>
                <w:sz w:val="16"/>
              </w:rPr>
              <w:t>A-1</w:t>
            </w:r>
          </w:p>
        </w:tc>
      </w:tr>
      <w:tr>
        <w:trPr>
          <w:cantSplit w:val="true"/>
        </w:trPr>
        <w:tc>
          <w:tcPr>
            <w:tcW w:type="dxa" w:w="2520"/>
            <w:vAlign w:val="top"/>
          </w:tcPr>
          <w:p>
            <w:pPr>
              <w:spacing w:after="20" w:before="0" w:line="240" w:lineRule="auto"/>
            </w:pPr>
            <w:r/>
            <w:r>
              <w:rPr>
                <w:b w:val="0"/>
                <w:i w:val="0"/>
                <w:sz w:val="16"/>
              </w:rPr>
              <w:t>Discharge with water at top of berm</w:t>
            </w:r>
          </w:p>
        </w:tc>
        <w:tc>
          <w:tcPr>
            <w:tcW w:type="dxa" w:w="4824"/>
            <w:vAlign w:val="top"/>
          </w:tcPr>
          <w:p>
            <w:pPr>
              <w:spacing w:after="20" w:before="0" w:line="240" w:lineRule="auto"/>
            </w:pPr>
            <w:r/>
            <w:r>
              <w:rPr>
                <w:b w:val="0"/>
                <w:i w:val="0"/>
                <w:sz w:val="16"/>
              </w:rPr>
              <w:t>313.943944 cfs — 3.551402 times the design discharge</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Notch</w:t>
            </w:r>
          </w:p>
        </w:tc>
        <w:tc>
          <w:tcPr>
            <w:tcW w:type="dxa" w:w="4824"/>
            <w:vAlign w:val="top"/>
          </w:tcPr>
          <w:p>
            <w:pPr>
              <w:spacing w:after="20" w:before="0" w:line="240" w:lineRule="auto"/>
            </w:pPr>
            <w:r/>
            <w:r>
              <w:rPr>
                <w:b w:val="0"/>
                <w:i w:val="0"/>
                <w:sz w:val="16"/>
              </w:rPr>
              <w:t>4H:1V side slopes from crest to 2,860.30 ft; top width 64.40 ft</w:t>
            </w:r>
          </w:p>
        </w:tc>
        <w:tc>
          <w:tcPr>
            <w:tcW w:type="dxa" w:w="2016"/>
            <w:vAlign w:val="top"/>
          </w:tcPr>
          <w:p>
            <w:pPr>
              <w:spacing w:after="20" w:before="0" w:line="240" w:lineRule="auto"/>
            </w:pPr>
            <w:r/>
            <w:r>
              <w:rPr>
                <w:b w:val="0"/>
                <w:i w:val="0"/>
                <w:sz w:val="16"/>
              </w:rPr>
              <w:t>A-4</w:t>
            </w:r>
          </w:p>
        </w:tc>
      </w:tr>
      <w:tr>
        <w:trPr>
          <w:cantSplit w:val="true"/>
        </w:trPr>
        <w:tc>
          <w:tcPr>
            <w:tcW w:type="dxa" w:w="2520"/>
            <w:vAlign w:val="top"/>
          </w:tcPr>
          <w:p>
            <w:pPr>
              <w:spacing w:after="20" w:before="0" w:line="240" w:lineRule="auto"/>
            </w:pPr>
            <w:r/>
            <w:r>
              <w:rPr>
                <w:b w:val="0"/>
                <w:i w:val="0"/>
                <w:sz w:val="16"/>
              </w:rPr>
              <w:t>Unit discharge on exterior face</w:t>
            </w:r>
          </w:p>
        </w:tc>
        <w:tc>
          <w:tcPr>
            <w:tcW w:type="dxa" w:w="4824"/>
            <w:vAlign w:val="top"/>
          </w:tcPr>
          <w:p>
            <w:pPr>
              <w:spacing w:after="20" w:before="0" w:line="240" w:lineRule="auto"/>
            </w:pPr>
            <w:r/>
            <w:r>
              <w:rPr>
                <w:b w:val="0"/>
                <w:i w:val="0"/>
                <w:sz w:val="16"/>
              </w:rPr>
              <w:t>1.768 cfs/ft — input to the riprap calculation</w:t>
            </w:r>
          </w:p>
        </w:tc>
        <w:tc>
          <w:tcPr>
            <w:tcW w:type="dxa" w:w="2016"/>
            <w:vAlign w:val="top"/>
          </w:tcPr>
          <w:p>
            <w:pPr>
              <w:spacing w:after="20" w:before="0" w:line="240" w:lineRule="auto"/>
            </w:pPr>
            <w:r/>
            <w:r>
              <w:rPr>
                <w:b w:val="0"/>
                <w:i w:val="0"/>
                <w:sz w:val="16"/>
              </w:rPr>
              <w:t>A-4</w:t>
            </w:r>
          </w:p>
        </w:tc>
      </w:tr>
    </w:tbl>
    <w:p>
      <w:pPr>
        <w:spacing w:after="40"/>
      </w:pPr>
    </w:p>
    <w:p>
      <w:r>
        <w:rPr>
          <w:b w:val="0"/>
          <w:i w:val="0"/>
        </w:rPr>
        <w:t>Dimension string for the spillway section: basin bottom 2,851.00 ft — 6.91 ft — 100-yr WSEL 2,857.91 ft — 0.59 ft — crest 2,858.50 ft — 0.77 ft — spillway design water surface 2,859.27 ft — 1.03 ft — top of berm 2,860.30 ft.</w:t>
      </w:r>
    </w:p>
    <w:p>
      <w:pPr>
        <w:keepNext/>
        <w:spacing w:after="40" w:before="80"/>
      </w:pPr>
      <w:r>
        <w:rPr>
          <w:b/>
          <w:i w:val="0"/>
          <w:sz w:val="20"/>
        </w:rPr>
        <w:t>5.3  Spillway detail — section and erosion protection</w:t>
      </w:r>
    </w:p>
    <w:p>
      <w:r>
        <w:rPr>
          <w:b w:val="0"/>
          <w:i w:val="0"/>
        </w:rPr>
        <w:t>The detail carries (a) a section perpendicular to the crest showing the 4H:1V interior slope, the 6.0-ft crest, the 3H:1V exterior face, the armor layers, geotextile and toe-down; (b) a section along the crest showing the notch; and (c) a profile of the overflow channel to Windmill Lane. Armor type stays as drawn — articulated concrete block on the crest and grouted riprap, D</w:t>
      </w:r>
      <w:r>
        <w:rPr>
          <w:b w:val="0"/>
          <w:i w:val="0"/>
          <w:vertAlign w:val="subscript"/>
        </w:rPr>
        <w:t>50</w:t>
      </w:r>
      <w:r>
        <w:rPr>
          <w:b w:val="0"/>
          <w:i w:val="0"/>
        </w:rPr>
        <w:t xml:space="preserve"> = 12 in, on the face — and runs continuously across the full 64.40-ft notch, down the full exterior face past the toe, and through the overflow channel to the Windmill Lane right-of-way, with keyed edges and a cutoff at the downstream end. Layer thickness, bedding or filter, toe-down depth and stone size are set by a CCRFCD-manual calculation at 1.768 cfs/ft on the 3H:1V face and dimensioned on the section. No fence, gate, wall, tree or structure is placed across the crest or the channel.</w:t>
      </w:r>
    </w:p>
    <w:p>
      <w:pPr>
        <w:keepNext/>
        <w:spacing w:after="40" w:before="80"/>
      </w:pPr>
      <w:r>
        <w:rPr>
          <w:b/>
          <w:i w:val="0"/>
          <w:sz w:val="20"/>
        </w:rPr>
        <w:t>5.4  Basin notes</w:t>
      </w:r>
    </w:p>
    <w:p>
      <w:r>
        <w:rPr>
          <w:b w:val="0"/>
          <w:i w:val="0"/>
        </w:rPr>
        <w:t>The Basin Notes are rewritten as in Attachment B. They cite the 6.4 ac-ft allocation by study title, revision, table and acceptance date against the 6.40 ac-ft provided (which also answers G-3); state that the outlet works reproduce the App. D-2 rating; give 2.39 ft of freeboard with the outlet working and 1.03 ft with the spillway flowing; set a 2,860.30-ft minimum rim within Parcel E; define the overflow path and bar overflow onto any lot; and assign Association maintenance, with Parcel E added to CC&amp;R Exhibit B and inspection after any event that reaches the crest. The 0.60-ft and 0.71-ft figures, the 1.29-ft freeboard note and the “open swale” note come off the sheet.</w:t>
      </w:r>
    </w:p>
    <w:p>
      <w:pPr>
        <w:keepNext/>
        <w:spacing w:after="40" w:before="80"/>
      </w:pPr>
      <w:r>
        <w:rPr>
          <w:b/>
          <w:i w:val="0"/>
          <w:sz w:val="20"/>
        </w:rPr>
        <w:t>5.5  Consequential edits in the same revision</w:t>
      </w:r>
    </w:p>
    <w:p>
      <w:pPr>
        <w:pStyle w:val="ListBullet"/>
        <w:spacing w:after="60"/>
        <w:ind w:left="360"/>
      </w:pPr>
      <w:r>
        <w:rPr>
          <w:b/>
          <w:i w:val="0"/>
          <w:sz w:val="20"/>
        </w:rPr>
        <w:t>Footprint.</w:t>
      </w:r>
      <w:r>
        <w:rPr>
          <w:b w:val="0"/>
          <w:i w:val="0"/>
          <w:sz w:val="20"/>
        </w:rPr>
        <w:t xml:space="preserve"> Each 1.00 ft of raise widens the embankment 7.00 ft per side (4H:1V inside plus 3H:1V outside); the 1.10-ft raise adds 7.70 ft per side (Attachment A-8). C-6 and C-9 do not dimension the berm crest or toe, and the FM Check Print does not dimension Parcel E (2.04 ac), so the fit is confirmed on the plotted base. If it is tight, the adjustment is a longer crest — the required berm falls toward the 2,859.50-ft floor (Attachment A-4) — never a lower crest and never a move of the Parcel E line.</w:t>
      </w:r>
    </w:p>
    <w:p>
      <w:pPr>
        <w:pStyle w:val="ListBullet"/>
        <w:spacing w:after="60"/>
        <w:ind w:left="360"/>
      </w:pPr>
      <w:r>
        <w:rPr>
          <w:b w:val="0"/>
          <w:i w:val="0"/>
          <w:sz w:val="20"/>
        </w:rPr>
        <w:t>C-6 callouts (spillway location and length, top of berm, area at top of berm); C-9 Sections A-A′ and B-B′; the Storage Summary Table extended to 2,860.30 ft, with every value at and below 2,858.50 ft unchanged.</w:t>
      </w:r>
    </w:p>
    <w:p>
      <w:pPr>
        <w:pStyle w:val="ListBullet"/>
        <w:spacing w:after="60"/>
        <w:ind w:left="360"/>
      </w:pPr>
      <w:r>
        <w:rPr>
          <w:b w:val="0"/>
          <w:i w:val="0"/>
          <w:sz w:val="20"/>
        </w:rPr>
        <w:t>Outlet headwall top raised to 2,860.30 ft. C-9 now calls the headwall 4 ft tall while dimensioning it from a 2,850.00-ft footing to a 2,859.20-ft top (9.20 ft); both are corrected.</w:t>
      </w:r>
    </w:p>
    <w:p>
      <w:pPr>
        <w:pStyle w:val="ListBullet"/>
        <w:spacing w:after="60"/>
        <w:ind w:left="360"/>
      </w:pPr>
      <w:r>
        <w:rPr>
          <w:b w:val="0"/>
          <w:i w:val="0"/>
          <w:sz w:val="20"/>
        </w:rPr>
        <w:t>Access ramp at 6 % lengthens from 136.666667 ft to 155.000000 ft to reach the raised berm (C-9 access ramp detail; Attachment A-8).</w:t>
      </w:r>
    </w:p>
    <w:p>
      <w:pPr>
        <w:pStyle w:val="ListBullet"/>
        <w:spacing w:after="60"/>
        <w:ind w:left="360"/>
      </w:pPr>
      <w:r>
        <w:rPr>
          <w:b w:val="0"/>
          <w:i w:val="0"/>
          <w:sz w:val="20"/>
        </w:rPr>
        <w:t>A separate energy dissipator is detailed at S-15 for the Line B discharge; the spillway apron does not serve it. The HGL Worksheet places S-15 at the basin’s north face while the FM Check Print runs the Line B corridor along the south edge; the drainage lead confirms the entry point before detailing it.</w:t>
      </w:r>
    </w:p>
    <w:p>
      <w:pPr>
        <w:pStyle w:val="ListBullet"/>
        <w:spacing w:after="60"/>
        <w:ind w:left="360"/>
      </w:pPr>
      <w:r>
        <w:rPr>
          <w:b w:val="0"/>
          <w:i w:val="0"/>
          <w:sz w:val="20"/>
        </w:rPr>
        <w:t>HGL Worksheet rerun under G-5 with the emergency tailwater at 2,859.273284 ft (0.773284 ft above the worksheet’s 2,858.50-ft case) and the S-15 rim at 2,860.30 ft.</w:t>
      </w:r>
    </w:p>
    <w:p>
      <w:pPr>
        <w:pStyle w:val="ListBullet"/>
        <w:spacing w:after="60"/>
        <w:ind w:left="360"/>
      </w:pPr>
      <w:r>
        <w:rPr>
          <w:b w:val="0"/>
          <w:i w:val="0"/>
          <w:sz w:val="20"/>
        </w:rPr>
        <w:t>Outfall stub invert. C-6 takes the existing 30-in stub invert of 2,850.75 ft “per Phase 2 as-builts,” but the Ph2 As-Builts (RD-1 through RD-5) record no stub at the southwest corner; 2,850.75 ft appears there only as the Roadway A centerline grade at Sta. 10+00. The invert is field-verified before the outlet rating is finalized.</w:t>
      </w:r>
    </w:p>
    <w:p>
      <w:pPr>
        <w:pStyle w:val="ListBullet"/>
        <w:spacing w:after="60"/>
        <w:ind w:left="360"/>
      </w:pPr>
      <w:r>
        <w:rPr>
          <w:b w:val="0"/>
          <w:i w:val="0"/>
          <w:sz w:val="20"/>
        </w:rPr>
        <w:t>Engineer’s Estimate (10/10/2026). It carries 500 SY of loose riprap, D</w:t>
      </w:r>
      <w:r>
        <w:rPr>
          <w:b w:val="0"/>
          <w:i w:val="0"/>
          <w:sz w:val="20"/>
          <w:vertAlign w:val="subscript"/>
        </w:rPr>
        <w:t>50</w:t>
      </w:r>
      <w:r>
        <w:rPr>
          <w:b w:val="0"/>
          <w:i w:val="0"/>
          <w:sz w:val="20"/>
        </w:rPr>
        <w:t xml:space="preserve"> = 12 in (item 2.42), and no articulated block or grouted riprap; Section 2 and embankment (item 1.09) quantities are updated before the bond figure is final.</w:t>
      </w:r>
    </w:p>
    <w:tbl>
      <w:tblPr>
        <w:jc w:val="center"/>
        <w:tblLook w:firstColumn="1" w:firstRow="1" w:lastColumn="0" w:lastRow="0" w:noHBand="0" w:noVBand="1" w:val="04A0"/>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top w:w="80" w:type="dxa"/>
          <w:left w:w="110" w:type="dxa"/>
          <w:bottom w:w="80" w:type="dxa"/>
          <w:right w:w="110" w:type="dxa"/>
        </w:tblCellMar>
        <w:tblW w:w="9360" w:type="dxa"/>
        <w:tblLayout w:type="fixed"/>
      </w:tblPr>
      <w:tblGrid>
        <w:gridCol w:w="9360"/>
      </w:tblGrid>
      <w:tr>
        <w:trPr>
          <w:cantSplit w:val="true"/>
        </w:trPr>
        <w:tc>
          <w:tcPr>
            <w:tcW w:type="dxa" w:w="9360"/>
            <w:vAlign w:val="top"/>
            <w:shd w:val="clear" w:color="auto" w:fill="EAF0F8"/>
          </w:tcPr>
          <w:p>
            <w:pPr>
              <w:spacing w:after="20" w:before="0" w:line="240" w:lineRule="auto"/>
            </w:pPr>
            <w:r/>
            <w:r>
              <w:rPr>
                <w:b/>
                <w:i w:val="0"/>
                <w:sz w:val="20"/>
              </w:rPr>
              <w:t>Disposition 3.</w:t>
            </w:r>
            <w:r>
              <w:rPr>
                <w:b w:val="0"/>
                <w:i w:val="0"/>
                <w:sz w:val="20"/>
              </w:rPr>
              <w:t xml:space="preserve"> The revised C-9 carries the spillway on the south berm with the crest held at 2,858.50 ft, a 50.0-ft crest, an 88.4-cfs design discharge with the outlet blocked, a 2,859.27-ft design water surface, the top of berm at 2,860.30 ft, 1.03 ft of spillway freeboard and 2.39 ft of 100-year freeboard, all dimensioned; full-length armor into a lined overflow channel; outlet works matched to MDS App. D-2; and basin notes that cite the allocation, state the freeboard correctly, define the overflow path and assign maintenance (Attachment B).</w:t>
            </w:r>
          </w:p>
        </w:tc>
      </w:tr>
    </w:tbl>
    <w:p>
      <w:pPr>
        <w:spacing w:after="40"/>
      </w:pPr>
    </w:p>
    <w:p>
      <w:pPr>
        <w:keepNext/>
        <w:spacing w:after="80" w:before="180"/>
      </w:pPr>
      <w:r>
        <w:rPr>
          <w:b/>
          <w:i w:val="0"/>
          <w:color w:val="1F3864"/>
          <w:sz w:val="23"/>
        </w:rPr>
        <w:t>6.  Where the Overflow Goes</w:t>
      </w:r>
    </w:p>
    <w:p>
      <w:r>
        <w:rPr>
          <w:b w:val="0"/>
          <w:i w:val="0"/>
        </w:rPr>
        <w:t>As drawn, the spillway is on the east berm (C-6; C-9). On the FM Check Print (Sheet 4), the east line of Parcel E abuts residential Lots 51 and 57. C-9 assumes “natural grade beyond the berm at elevation 2,853.00′,” but Phase 3 grading sets the pads of Lots 39 through 60 at 2,862.0 ft to 2,868.0 ft, stepping down toward the basin (C-7) — at least 3.50 ft above the crest. Water leaving the east berm drops into the strip between the berm toe and the rear yards of Lots 51 and 57 and cannot continue east. If Parcel E were a band of uniform width around the 293-ft by 195-ft top-of-berm line (C-6), its 2.04 ac would give 29.049164 ft; the drawn crest and exterior face use 22.50 ft of that, leaving 6.549164 ft beyond the toe before the lot line (Attachment A-8). No swale, channel or easement for the overflow appears on C-6, C-9 or the map; the only drainage easement on the map is 15 ft along the west line of Parcel D (FM Check Print, Sheet 3). The water’s route out is south along and across those rear yards and over the strip Sheet 4 labels “Line B storm drain corridor” — which the map makes neither a lot, nor part of Parcel E, nor an easement — to Windmill Lane. The C-9 note that flow “spreads to downstream open swale in Common-Area Parcel ‘E’ and exits at Windmill Ln. gutter line” describes a facility that is not drawn, and Public Works comment G-6 (Ph3 Comments) already reports gutter spread that appears to exceed the half-street criterion at the Windmill Ln./Desert Sage Pkwy. low point.</w:t>
      </w:r>
    </w:p>
    <w:tbl>
      <w:tblPr>
        <w:jc w:val="center"/>
        <w:tblLook w:firstColumn="1" w:firstRow="1" w:lastColumn="0" w:lastRow="0" w:noHBand="0" w:noVBand="1" w:val="04A0"/>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top w:w="80" w:type="dxa"/>
          <w:left w:w="110" w:type="dxa"/>
          <w:bottom w:w="80" w:type="dxa"/>
          <w:right w:w="110" w:type="dxa"/>
        </w:tblCellMar>
        <w:tblW w:w="9360" w:type="dxa"/>
        <w:tblLayout w:type="fixed"/>
      </w:tblPr>
      <w:tblGrid>
        <w:gridCol w:w="9360"/>
      </w:tblGrid>
      <w:tr>
        <w:trPr>
          <w:cantSplit w:val="true"/>
        </w:trPr>
        <w:tc>
          <w:tcPr>
            <w:tcW w:type="dxa" w:w="9360"/>
            <w:vAlign w:val="top"/>
            <w:shd w:val="clear" w:color="auto" w:fill="EAF0F8"/>
          </w:tcPr>
          <w:p>
            <w:pPr>
              <w:spacing w:after="20" w:before="0" w:line="240" w:lineRule="auto"/>
            </w:pPr>
            <w:r/>
            <w:r>
              <w:rPr>
                <w:b/>
                <w:i w:val="0"/>
                <w:sz w:val="20"/>
              </w:rPr>
              <w:t>Disposition 4 — Today the overflow ends up on private Lots 51 and 57.</w:t>
            </w:r>
            <w:r>
              <w:rPr>
                <w:b w:val="0"/>
                <w:i w:val="0"/>
                <w:sz w:val="20"/>
              </w:rPr>
              <w:t xml:space="preserve"> On the revised C-9 it leaves the south berm into the lined overflow channel inside Parcel E, crosses the Line B corridor strip inside a drainage easement in favor of the Association shown on the resubmitted FM-26-100290 (giving the strip the status its label already implies; no lot line or Parcel E line moves), enters the Windmill Lane gutter through a curb-and-walk outlet in the Phase 3 half-street improvements (TM COA Condition 4) sized for 88.4 cfs, and flows west in Windmill Lane toward Rainbow Boulevard and the regional system at the southwest corner (MDS §2.1; §5.1). The spillway is positioned so the channel meets Windmill Lane where the gutter falls west, downstream of the Desert Sage Pkwy. low point, and the G-4 package shows Windmill Lane carrying the 88.4 cfs plus its own 100-year flow within the right-of-way, checked together with the G-6 inlet redesign. The crossing of the Windmill Lane frontage is kept clear of trees and walk obstructions on Sheet L-2, Section C. No overflow is directed onto any lot.</w:t>
            </w:r>
          </w:p>
        </w:tc>
      </w:tr>
    </w:tbl>
    <w:p>
      <w:pPr>
        <w:spacing w:after="40"/>
      </w:pPr>
    </w:p>
    <w:p>
      <w:pPr>
        <w:keepNext/>
        <w:spacing w:after="80" w:before="180"/>
      </w:pPr>
      <w:r>
        <w:rPr>
          <w:b/>
          <w:i w:val="0"/>
          <w:color w:val="1F3864"/>
          <w:sz w:val="23"/>
        </w:rPr>
        <w:t>7.  Actions</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576"/>
        <w:gridCol w:w="5112"/>
        <w:gridCol w:w="2088"/>
        <w:gridCol w:w="1584"/>
      </w:tblGrid>
      <w:tr>
        <w:trPr>
          <w:tblHeader w:val="true"/>
        </w:trPr>
        <w:tc>
          <w:tcPr>
            <w:tcW w:type="dxa" w:w="576"/>
            <w:vAlign w:val="top"/>
            <w:shd w:val="clear" w:color="auto" w:fill="D9E2F3"/>
          </w:tcPr>
          <w:p>
            <w:pPr>
              <w:spacing w:after="20" w:before="0" w:line="240" w:lineRule="auto"/>
            </w:pPr>
            <w:r/>
            <w:r>
              <w:rPr>
                <w:b/>
                <w:i w:val="0"/>
                <w:sz w:val="16"/>
              </w:rPr>
              <w:t>No.</w:t>
            </w:r>
          </w:p>
        </w:tc>
        <w:tc>
          <w:tcPr>
            <w:tcW w:type="dxa" w:w="5112"/>
            <w:vAlign w:val="top"/>
            <w:shd w:val="clear" w:color="auto" w:fill="D9E2F3"/>
          </w:tcPr>
          <w:p>
            <w:pPr>
              <w:spacing w:after="20" w:before="0" w:line="240" w:lineRule="auto"/>
            </w:pPr>
            <w:r/>
            <w:r>
              <w:rPr>
                <w:b/>
                <w:i w:val="0"/>
                <w:sz w:val="16"/>
              </w:rPr>
              <w:t>Action</w:t>
            </w:r>
          </w:p>
        </w:tc>
        <w:tc>
          <w:tcPr>
            <w:tcW w:type="dxa" w:w="2088"/>
            <w:vAlign w:val="top"/>
            <w:shd w:val="clear" w:color="auto" w:fill="D9E2F3"/>
          </w:tcPr>
          <w:p>
            <w:pPr>
              <w:spacing w:after="20" w:before="0" w:line="240" w:lineRule="auto"/>
            </w:pPr>
            <w:r/>
            <w:r>
              <w:rPr>
                <w:b/>
                <w:i w:val="0"/>
                <w:sz w:val="16"/>
              </w:rPr>
              <w:t>Owner</w:t>
            </w:r>
          </w:p>
        </w:tc>
        <w:tc>
          <w:tcPr>
            <w:tcW w:type="dxa" w:w="1584"/>
            <w:vAlign w:val="top"/>
            <w:shd w:val="clear" w:color="auto" w:fill="D9E2F3"/>
          </w:tcPr>
          <w:p>
            <w:pPr>
              <w:spacing w:after="20" w:before="0" w:line="240" w:lineRule="auto"/>
            </w:pPr>
            <w:r/>
            <w:r>
              <w:rPr>
                <w:b/>
                <w:i w:val="0"/>
                <w:sz w:val="16"/>
              </w:rPr>
              <w:t>Due</w:t>
            </w:r>
          </w:p>
        </w:tc>
      </w:tr>
      <w:tr>
        <w:trPr>
          <w:cantSplit w:val="true"/>
        </w:trPr>
        <w:tc>
          <w:tcPr>
            <w:tcW w:type="dxa" w:w="576"/>
            <w:vAlign w:val="top"/>
          </w:tcPr>
          <w:p>
            <w:pPr>
              <w:spacing w:after="20" w:before="0" w:line="240" w:lineRule="auto"/>
            </w:pPr>
            <w:r/>
            <w:r>
              <w:rPr>
                <w:b w:val="0"/>
                <w:i w:val="0"/>
                <w:sz w:val="16"/>
              </w:rPr>
              <w:t>1</w:t>
            </w:r>
          </w:p>
        </w:tc>
        <w:tc>
          <w:tcPr>
            <w:tcW w:type="dxa" w:w="5112"/>
            <w:vAlign w:val="top"/>
          </w:tcPr>
          <w:p>
            <w:pPr>
              <w:spacing w:after="20" w:before="0" w:line="240" w:lineRule="auto"/>
            </w:pPr>
            <w:r/>
            <w:r>
              <w:rPr>
                <w:b w:val="0"/>
                <w:i w:val="0"/>
                <w:sz w:val="16"/>
              </w:rPr>
              <w:t>G-4 calculation package; revised C-9 spillway detail, sections and basin notes; C-6 callouts (Sections 5 and 6)</w:t>
            </w:r>
          </w:p>
        </w:tc>
        <w:tc>
          <w:tcPr>
            <w:tcW w:type="dxa" w:w="2088"/>
            <w:vAlign w:val="top"/>
          </w:tcPr>
          <w:p>
            <w:pPr>
              <w:spacing w:after="20" w:before="0" w:line="240" w:lineRule="auto"/>
            </w:pPr>
            <w:r/>
            <w:r>
              <w:rPr>
                <w:b w:val="0"/>
                <w:i w:val="0"/>
                <w:sz w:val="16"/>
              </w:rPr>
              <w:t>Drainage lead</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2</w:t>
            </w:r>
          </w:p>
        </w:tc>
        <w:tc>
          <w:tcPr>
            <w:tcW w:type="dxa" w:w="5112"/>
            <w:vAlign w:val="top"/>
          </w:tcPr>
          <w:p>
            <w:pPr>
              <w:spacing w:after="20" w:before="0" w:line="240" w:lineRule="auto"/>
            </w:pPr>
            <w:r/>
            <w:r>
              <w:rPr>
                <w:b w:val="0"/>
                <w:i w:val="0"/>
                <w:sz w:val="16"/>
              </w:rPr>
              <w:t>Outlet works redesigned to the MDS App. D-2 rating; rating table on C-9</w:t>
            </w:r>
          </w:p>
        </w:tc>
        <w:tc>
          <w:tcPr>
            <w:tcW w:type="dxa" w:w="2088"/>
            <w:vAlign w:val="top"/>
          </w:tcPr>
          <w:p>
            <w:pPr>
              <w:spacing w:after="20" w:before="0" w:line="240" w:lineRule="auto"/>
            </w:pPr>
            <w:r/>
            <w:r>
              <w:rPr>
                <w:b w:val="0"/>
                <w:i w:val="0"/>
                <w:sz w:val="16"/>
              </w:rPr>
              <w:t>Drainage lead</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3</w:t>
            </w:r>
          </w:p>
        </w:tc>
        <w:tc>
          <w:tcPr>
            <w:tcW w:type="dxa" w:w="5112"/>
            <w:vAlign w:val="top"/>
          </w:tcPr>
          <w:p>
            <w:pPr>
              <w:spacing w:after="20" w:before="0" w:line="240" w:lineRule="auto"/>
            </w:pPr>
            <w:r/>
            <w:r>
              <w:rPr>
                <w:b w:val="0"/>
                <w:i w:val="0"/>
                <w:sz w:val="16"/>
              </w:rPr>
              <w:t>Fit of the raised embankment inside Parcel E on the plotted base; drainage easement over the Line B corridor strip on FM-26-100290, Sheet 4</w:t>
            </w:r>
          </w:p>
        </w:tc>
        <w:tc>
          <w:tcPr>
            <w:tcW w:type="dxa" w:w="2088"/>
            <w:vAlign w:val="top"/>
          </w:tcPr>
          <w:p>
            <w:pPr>
              <w:spacing w:after="20" w:before="0" w:line="240" w:lineRule="auto"/>
            </w:pPr>
            <w:r/>
            <w:r>
              <w:rPr>
                <w:b w:val="0"/>
                <w:i w:val="0"/>
                <w:sz w:val="16"/>
              </w:rPr>
              <w:t>Survey group, with drainage lead</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4</w:t>
            </w:r>
          </w:p>
        </w:tc>
        <w:tc>
          <w:tcPr>
            <w:tcW w:type="dxa" w:w="5112"/>
            <w:vAlign w:val="top"/>
          </w:tcPr>
          <w:p>
            <w:pPr>
              <w:spacing w:after="20" w:before="0" w:line="240" w:lineRule="auto"/>
            </w:pPr>
            <w:r/>
            <w:r>
              <w:rPr>
                <w:b w:val="0"/>
                <w:i w:val="0"/>
                <w:sz w:val="16"/>
              </w:rPr>
              <w:t>Windmill Lane receiving capacity and overflow entry location, checked with the G-6 inlet redesign</w:t>
            </w:r>
          </w:p>
        </w:tc>
        <w:tc>
          <w:tcPr>
            <w:tcW w:type="dxa" w:w="2088"/>
            <w:vAlign w:val="top"/>
          </w:tcPr>
          <w:p>
            <w:pPr>
              <w:spacing w:after="20" w:before="0" w:line="240" w:lineRule="auto"/>
            </w:pPr>
            <w:r/>
            <w:r>
              <w:rPr>
                <w:b w:val="0"/>
                <w:i w:val="0"/>
                <w:sz w:val="16"/>
              </w:rPr>
              <w:t>Drainage lead, with Priya Sarwal</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5</w:t>
            </w:r>
          </w:p>
        </w:tc>
        <w:tc>
          <w:tcPr>
            <w:tcW w:type="dxa" w:w="5112"/>
            <w:vAlign w:val="top"/>
          </w:tcPr>
          <w:p>
            <w:pPr>
              <w:spacing w:after="20" w:before="0" w:line="240" w:lineRule="auto"/>
            </w:pPr>
            <w:r/>
            <w:r>
              <w:rPr>
                <w:b w:val="0"/>
                <w:i w:val="0"/>
                <w:sz w:val="16"/>
              </w:rPr>
              <w:t>HGL Worksheet rerun (tailwater 2,859.273284 ft; S-15 rim 2,860.30 ft; S-15 dissipator) under G-5</w:t>
            </w:r>
          </w:p>
        </w:tc>
        <w:tc>
          <w:tcPr>
            <w:tcW w:type="dxa" w:w="2088"/>
            <w:vAlign w:val="top"/>
          </w:tcPr>
          <w:p>
            <w:pPr>
              <w:spacing w:after="20" w:before="0" w:line="240" w:lineRule="auto"/>
            </w:pPr>
            <w:r/>
            <w:r>
              <w:rPr>
                <w:b w:val="0"/>
                <w:i w:val="0"/>
                <w:sz w:val="16"/>
              </w:rPr>
              <w:t>Drainage lead</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6</w:t>
            </w:r>
          </w:p>
        </w:tc>
        <w:tc>
          <w:tcPr>
            <w:tcW w:type="dxa" w:w="5112"/>
            <w:vAlign w:val="top"/>
          </w:tcPr>
          <w:p>
            <w:pPr>
              <w:spacing w:after="20" w:before="0" w:line="240" w:lineRule="auto"/>
            </w:pPr>
            <w:r/>
            <w:r>
              <w:rPr>
                <w:b w:val="0"/>
                <w:i w:val="0"/>
                <w:sz w:val="16"/>
              </w:rPr>
              <w:t>Clear zone at the overflow crossing on Sheet L-2, Section C</w:t>
            </w:r>
          </w:p>
        </w:tc>
        <w:tc>
          <w:tcPr>
            <w:tcW w:type="dxa" w:w="2088"/>
            <w:vAlign w:val="top"/>
          </w:tcPr>
          <w:p>
            <w:pPr>
              <w:spacing w:after="20" w:before="0" w:line="240" w:lineRule="auto"/>
            </w:pPr>
            <w:r/>
            <w:r>
              <w:rPr>
                <w:b w:val="0"/>
                <w:i w:val="0"/>
                <w:sz w:val="16"/>
              </w:rPr>
              <w:t>Bea Cortland, PLA</w:t>
            </w:r>
          </w:p>
        </w:tc>
        <w:tc>
          <w:tcPr>
            <w:tcW w:type="dxa" w:w="1584"/>
            <w:vAlign w:val="top"/>
          </w:tcPr>
          <w:p>
            <w:pPr>
              <w:spacing w:after="20" w:before="0" w:line="240" w:lineRule="auto"/>
            </w:pPr>
            <w:r/>
            <w:r>
              <w:rPr>
                <w:b w:val="0"/>
                <w:i w:val="0"/>
                <w:sz w:val="16"/>
              </w:rPr>
              <w:t>11/13/2026</w:t>
            </w:r>
          </w:p>
        </w:tc>
      </w:tr>
      <w:tr>
        <w:trPr>
          <w:cantSplit w:val="true"/>
        </w:trPr>
        <w:tc>
          <w:tcPr>
            <w:tcW w:type="dxa" w:w="576"/>
            <w:vAlign w:val="top"/>
          </w:tcPr>
          <w:p>
            <w:pPr>
              <w:spacing w:after="20" w:before="0" w:line="240" w:lineRule="auto"/>
            </w:pPr>
            <w:r/>
            <w:r>
              <w:rPr>
                <w:b w:val="0"/>
                <w:i w:val="0"/>
                <w:sz w:val="16"/>
              </w:rPr>
              <w:t>7</w:t>
            </w:r>
          </w:p>
        </w:tc>
        <w:tc>
          <w:tcPr>
            <w:tcW w:type="dxa" w:w="5112"/>
            <w:vAlign w:val="top"/>
          </w:tcPr>
          <w:p>
            <w:pPr>
              <w:spacing w:after="20" w:before="0" w:line="240" w:lineRule="auto"/>
            </w:pPr>
            <w:r/>
            <w:r>
              <w:rPr>
                <w:b w:val="0"/>
                <w:i w:val="0"/>
                <w:sz w:val="16"/>
              </w:rPr>
              <w:t>Independent back-check of the revised C-9 against Attachment A by a reviewer who did not draft it; QA/QC Tab 3 items 26 through 29 re-run</w:t>
            </w:r>
          </w:p>
        </w:tc>
        <w:tc>
          <w:tcPr>
            <w:tcW w:type="dxa" w:w="2088"/>
            <w:vAlign w:val="top"/>
          </w:tcPr>
          <w:p>
            <w:pPr>
              <w:spacing w:after="20" w:before="0" w:line="240" w:lineRule="auto"/>
            </w:pPr>
            <w:r/>
            <w:r>
              <w:rPr>
                <w:b w:val="0"/>
                <w:i w:val="0"/>
                <w:sz w:val="16"/>
              </w:rPr>
              <w:t>Jonathan R. Kessler, PE, with Priya Sarwal</w:t>
            </w:r>
          </w:p>
        </w:tc>
        <w:tc>
          <w:tcPr>
            <w:tcW w:type="dxa" w:w="1584"/>
            <w:vAlign w:val="top"/>
          </w:tcPr>
          <w:p>
            <w:pPr>
              <w:spacing w:after="20" w:before="0" w:line="240" w:lineRule="auto"/>
            </w:pPr>
            <w:r/>
            <w:r>
              <w:rPr>
                <w:b w:val="0"/>
                <w:i w:val="0"/>
                <w:sz w:val="16"/>
              </w:rPr>
              <w:t>11/20/2026</w:t>
            </w:r>
          </w:p>
        </w:tc>
      </w:tr>
      <w:tr>
        <w:trPr>
          <w:cantSplit w:val="true"/>
        </w:trPr>
        <w:tc>
          <w:tcPr>
            <w:tcW w:type="dxa" w:w="576"/>
            <w:vAlign w:val="top"/>
          </w:tcPr>
          <w:p>
            <w:pPr>
              <w:spacing w:after="20" w:before="0" w:line="240" w:lineRule="auto"/>
            </w:pPr>
            <w:r/>
            <w:r>
              <w:rPr>
                <w:b w:val="0"/>
                <w:i w:val="0"/>
                <w:sz w:val="16"/>
              </w:rPr>
              <w:t>8</w:t>
            </w:r>
          </w:p>
        </w:tc>
        <w:tc>
          <w:tcPr>
            <w:tcW w:type="dxa" w:w="5112"/>
            <w:vAlign w:val="top"/>
          </w:tcPr>
          <w:p>
            <w:pPr>
              <w:spacing w:after="20" w:before="0" w:line="240" w:lineRule="auto"/>
            </w:pPr>
            <w:r/>
            <w:r>
              <w:rPr>
                <w:b w:val="0"/>
                <w:i w:val="0"/>
                <w:sz w:val="16"/>
              </w:rPr>
              <w:t>Engineer’s Estimate quantities updated to the revised C-9; revised bond figure to Callaway</w:t>
            </w:r>
          </w:p>
        </w:tc>
        <w:tc>
          <w:tcPr>
            <w:tcW w:type="dxa" w:w="2088"/>
            <w:vAlign w:val="top"/>
          </w:tcPr>
          <w:p>
            <w:pPr>
              <w:spacing w:after="20" w:before="0" w:line="240" w:lineRule="auto"/>
            </w:pPr>
            <w:r/>
            <w:r>
              <w:rPr>
                <w:b w:val="0"/>
                <w:i w:val="0"/>
                <w:sz w:val="16"/>
              </w:rPr>
              <w:t>Max Braddock</w:t>
            </w:r>
          </w:p>
        </w:tc>
        <w:tc>
          <w:tcPr>
            <w:tcW w:type="dxa" w:w="1584"/>
            <w:vAlign w:val="top"/>
          </w:tcPr>
          <w:p>
            <w:pPr>
              <w:spacing w:after="20" w:before="0" w:line="240" w:lineRule="auto"/>
            </w:pPr>
            <w:r/>
            <w:r>
              <w:rPr>
                <w:b w:val="0"/>
                <w:i w:val="0"/>
                <w:sz w:val="16"/>
              </w:rPr>
              <w:t>11/22/2026</w:t>
            </w:r>
          </w:p>
        </w:tc>
      </w:tr>
      <w:tr>
        <w:trPr>
          <w:cantSplit w:val="true"/>
        </w:trPr>
        <w:tc>
          <w:tcPr>
            <w:tcW w:type="dxa" w:w="576"/>
            <w:vAlign w:val="top"/>
          </w:tcPr>
          <w:p>
            <w:pPr>
              <w:spacing w:after="20" w:before="0" w:line="240" w:lineRule="auto"/>
            </w:pPr>
            <w:r/>
            <w:r>
              <w:rPr>
                <w:b w:val="0"/>
                <w:i w:val="0"/>
                <w:sz w:val="16"/>
              </w:rPr>
              <w:t>9</w:t>
            </w:r>
          </w:p>
        </w:tc>
        <w:tc>
          <w:tcPr>
            <w:tcW w:type="dxa" w:w="5112"/>
            <w:vAlign w:val="top"/>
          </w:tcPr>
          <w:p>
            <w:pPr>
              <w:spacing w:after="20" w:before="0" w:line="240" w:lineRule="auto"/>
            </w:pPr>
            <w:r/>
            <w:r>
              <w:rPr>
                <w:b w:val="0"/>
                <w:i w:val="0"/>
                <w:sz w:val="16"/>
              </w:rPr>
              <w:t>Preliminary detention calculation (09/25/2026) marked superseded, not for use</w:t>
            </w:r>
          </w:p>
        </w:tc>
        <w:tc>
          <w:tcPr>
            <w:tcW w:type="dxa" w:w="2088"/>
            <w:vAlign w:val="top"/>
          </w:tcPr>
          <w:p>
            <w:pPr>
              <w:spacing w:after="20" w:before="0" w:line="240" w:lineRule="auto"/>
            </w:pPr>
            <w:r/>
            <w:r>
              <w:rPr>
                <w:b w:val="0"/>
                <w:i w:val="0"/>
                <w:sz w:val="16"/>
              </w:rPr>
              <w:t>Max Braddock</w:t>
            </w:r>
          </w:p>
        </w:tc>
        <w:tc>
          <w:tcPr>
            <w:tcW w:type="dxa" w:w="1584"/>
            <w:vAlign w:val="top"/>
          </w:tcPr>
          <w:p>
            <w:pPr>
              <w:spacing w:after="20" w:before="0" w:line="240" w:lineRule="auto"/>
            </w:pPr>
            <w:r/>
            <w:r>
              <w:rPr>
                <w:b w:val="0"/>
                <w:i w:val="0"/>
                <w:sz w:val="16"/>
              </w:rPr>
              <w:t>11/02/2026</w:t>
            </w:r>
          </w:p>
        </w:tc>
      </w:tr>
      <w:tr>
        <w:trPr>
          <w:cantSplit w:val="true"/>
        </w:trPr>
        <w:tc>
          <w:tcPr>
            <w:tcW w:type="dxa" w:w="576"/>
            <w:vAlign w:val="top"/>
          </w:tcPr>
          <w:p>
            <w:pPr>
              <w:spacing w:after="20" w:before="0" w:line="240" w:lineRule="auto"/>
            </w:pPr>
            <w:r/>
            <w:r>
              <w:rPr>
                <w:b w:val="0"/>
                <w:i w:val="0"/>
                <w:sz w:val="16"/>
              </w:rPr>
              <w:t>10</w:t>
            </w:r>
          </w:p>
        </w:tc>
        <w:tc>
          <w:tcPr>
            <w:tcW w:type="dxa" w:w="5112"/>
            <w:vAlign w:val="top"/>
          </w:tcPr>
          <w:p>
            <w:pPr>
              <w:spacing w:after="20" w:before="0" w:line="240" w:lineRule="auto"/>
            </w:pPr>
            <w:r/>
            <w:r>
              <w:rPr>
                <w:b w:val="0"/>
                <w:i w:val="0"/>
                <w:sz w:val="16"/>
              </w:rPr>
              <w:t>Phase 3 supplemental declaration adding Parcel E and its drainage facilities to CC&amp;R Exhibit B (TM COA Condition 16; CC&amp;Rs §3.3)</w:t>
            </w:r>
          </w:p>
        </w:tc>
        <w:tc>
          <w:tcPr>
            <w:tcW w:type="dxa" w:w="2088"/>
            <w:vAlign w:val="top"/>
          </w:tcPr>
          <w:p>
            <w:pPr>
              <w:spacing w:after="20" w:before="0" w:line="240" w:lineRule="auto"/>
            </w:pPr>
            <w:r/>
            <w:r>
              <w:rPr>
                <w:b w:val="0"/>
                <w:i w:val="0"/>
                <w:sz w:val="16"/>
              </w:rPr>
              <w:t>Callaway Land Partners, with Vogel &amp; Marsh LLP</w:t>
            </w:r>
          </w:p>
        </w:tc>
        <w:tc>
          <w:tcPr>
            <w:tcW w:type="dxa" w:w="1584"/>
            <w:vAlign w:val="top"/>
          </w:tcPr>
          <w:p>
            <w:pPr>
              <w:spacing w:after="20" w:before="0" w:line="240" w:lineRule="auto"/>
            </w:pPr>
            <w:r/>
            <w:r>
              <w:rPr>
                <w:b w:val="0"/>
                <w:i w:val="0"/>
                <w:sz w:val="16"/>
              </w:rPr>
              <w:t>With the FM-26-100290 recordation package (target 12/18/2026)</w:t>
            </w:r>
          </w:p>
        </w:tc>
      </w:tr>
    </w:tbl>
    <w:p>
      <w:pPr>
        <w:spacing w:after="40"/>
      </w:pPr>
    </w:p>
    <w:p>
      <w:r>
        <w:rPr>
          <w:b w:val="0"/>
          <w:i w:val="0"/>
        </w:rPr>
        <w:t>Nothing in the engineering needs a decision from Callaway; the one item on your side is Action 10. If the fit check in Action 3 shows the raised embankment cannot be held inside Parcel E with a longer crest, I will call you the same day, before anything goes to the County. The G-4 calculation package is sealed by the Engineer of Record.</w:t>
      </w:r>
    </w:p>
    <w:p>
      <w:r>
        <w:rPr>
          <w:b w:val="0"/>
          <w:i/>
          <w:sz w:val="18"/>
        </w:rPr>
        <w:t>This review is a desk check of the records in Attachment C; it involved no field verification. The Parcel E fit and the Windmill Lane capacity are confirmed under Actions 3 and 4.</w:t>
      </w:r>
    </w:p>
    <w:p>
      <w:pPr>
        <w:spacing w:after="280"/>
      </w:pPr>
    </w:p>
    <w:p>
      <w:pPr>
        <w:spacing w:after="0"/>
      </w:pPr>
      <w:r>
        <w:rPr>
          <w:b w:val="0"/>
          <w:i w:val="0"/>
        </w:rPr>
        <w:t>______________________________________</w:t>
      </w:r>
    </w:p>
    <w:p>
      <w:pPr>
        <w:spacing w:after="0"/>
      </w:pPr>
      <w:r>
        <w:rPr>
          <w:b/>
          <w:i w:val="0"/>
        </w:rPr>
        <w:t>Max Braddock</w:t>
      </w:r>
    </w:p>
    <w:p>
      <w:pPr>
        <w:spacing w:after="0"/>
      </w:pPr>
      <w:r>
        <w:rPr>
          <w:b w:val="0"/>
          <w:i w:val="0"/>
        </w:rPr>
        <w:t>Project Manager, Sundial Engineering &amp; Survey</w:t>
      </w:r>
    </w:p>
    <w:p>
      <w:pPr>
        <w:spacing w:after="160"/>
      </w:pPr>
      <w:r>
        <w:rPr>
          <w:b w:val="0"/>
          <w:i w:val="0"/>
        </w:rPr>
        <w:t>(702) 555-0144 · mbraddock@sundialensv.com</w:t>
      </w:r>
    </w:p>
    <w:p>
      <w:r>
        <w:rPr>
          <w:b w:val="0"/>
          <w:i w:val="0"/>
          <w:sz w:val="19"/>
        </w:rPr>
        <w:t>Attachments:  A — Calculations.  B — Draft text for the revised Sheet C-9 spillway detail and basin notes.  C — Records relied on.</w:t>
      </w:r>
    </w:p>
    <w:p>
      <w:r>
        <w:br w:type="page"/>
      </w:r>
    </w:p>
    <w:p>
      <w:pPr>
        <w:spacing w:after="40"/>
      </w:pPr>
      <w:r>
        <w:rPr>
          <w:b/>
          <w:i w:val="0"/>
          <w:color w:val="1F3864"/>
          <w:sz w:val="25"/>
        </w:rPr>
        <w:t>ATTACHMENT A — CALCULATIONS</w:t>
      </w:r>
    </w:p>
    <w:p>
      <w:r>
        <w:rPr>
          <w:b w:val="0"/>
          <w:i/>
          <w:sz w:val="19"/>
        </w:rPr>
        <w:t>Conventions: elevations in ft, NAVD 88 (C-1); g = 32.2 ft/s</w:t>
      </w:r>
      <w:r>
        <w:rPr>
          <w:b w:val="0"/>
          <w:i/>
          <w:sz w:val="19"/>
          <w:vertAlign w:val="superscript"/>
        </w:rPr>
        <w:t>2</w:t>
      </w:r>
      <w:r>
        <w:rPr>
          <w:b w:val="0"/>
          <w:i/>
          <w:sz w:val="19"/>
        </w:rPr>
        <w:t>; intermediate values are carried unrounded and shown to six decimal places; head H is measured above the crest from the basin pool with approach velocity head neglected; adopted sheet values are rounded to 0.01 ft per C-1 General Notes (spot elevations to two decimal places), with the top of berm rounded up.</w:t>
      </w:r>
    </w:p>
    <w:p>
      <w:pPr>
        <w:keepNext/>
        <w:spacing w:after="40" w:before="80"/>
      </w:pPr>
      <w:r>
        <w:rPr>
          <w:b/>
          <w:i w:val="0"/>
          <w:sz w:val="20"/>
        </w:rPr>
        <w:t>A-1  Freeboard arithmetic, C-9 as drawn  (inputs: C-6; C-9; MDS App. D-2)</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520"/>
        <w:gridCol w:w="2664"/>
        <w:gridCol w:w="1152"/>
        <w:gridCol w:w="3024"/>
      </w:tblGrid>
      <w:tr>
        <w:trPr>
          <w:tblHeader w:val="true"/>
        </w:trPr>
        <w:tc>
          <w:tcPr>
            <w:tcW w:type="dxa" w:w="2520"/>
            <w:vAlign w:val="top"/>
            <w:shd w:val="clear" w:color="auto" w:fill="D9E2F3"/>
          </w:tcPr>
          <w:p>
            <w:pPr>
              <w:spacing w:after="20" w:before="0" w:line="240" w:lineRule="auto"/>
            </w:pPr>
            <w:r/>
            <w:r>
              <w:rPr>
                <w:b/>
                <w:i w:val="0"/>
                <w:sz w:val="16"/>
              </w:rPr>
              <w:t>Quantity</w:t>
            </w:r>
          </w:p>
        </w:tc>
        <w:tc>
          <w:tcPr>
            <w:tcW w:type="dxa" w:w="2664"/>
            <w:vAlign w:val="top"/>
            <w:shd w:val="clear" w:color="auto" w:fill="D9E2F3"/>
          </w:tcPr>
          <w:p>
            <w:pPr>
              <w:spacing w:after="20" w:before="0" w:line="240" w:lineRule="auto"/>
            </w:pPr>
            <w:r/>
            <w:r>
              <w:rPr>
                <w:b/>
                <w:i w:val="0"/>
                <w:sz w:val="16"/>
              </w:rPr>
              <w:t>Computation</w:t>
            </w:r>
          </w:p>
        </w:tc>
        <w:tc>
          <w:tcPr>
            <w:tcW w:type="dxa" w:w="1152"/>
            <w:vAlign w:val="top"/>
            <w:shd w:val="clear" w:color="auto" w:fill="D9E2F3"/>
          </w:tcPr>
          <w:p>
            <w:pPr>
              <w:spacing w:after="20" w:before="0" w:line="240" w:lineRule="auto"/>
            </w:pPr>
            <w:r/>
            <w:r>
              <w:rPr>
                <w:b/>
                <w:i w:val="0"/>
                <w:sz w:val="16"/>
              </w:rPr>
              <w:t>Result</w:t>
            </w:r>
          </w:p>
        </w:tc>
        <w:tc>
          <w:tcPr>
            <w:tcW w:type="dxa" w:w="3024"/>
            <w:vAlign w:val="top"/>
            <w:shd w:val="clear" w:color="auto" w:fill="D9E2F3"/>
          </w:tcPr>
          <w:p>
            <w:pPr>
              <w:spacing w:after="20" w:before="0" w:line="240" w:lineRule="auto"/>
            </w:pPr>
            <w:r/>
            <w:r>
              <w:rPr>
                <w:b/>
                <w:i w:val="0"/>
                <w:sz w:val="16"/>
              </w:rPr>
              <w:t>C-9 states</w:t>
            </w:r>
          </w:p>
        </w:tc>
      </w:tr>
      <w:tr>
        <w:trPr>
          <w:cantSplit w:val="true"/>
        </w:trPr>
        <w:tc>
          <w:tcPr>
            <w:tcW w:type="dxa" w:w="2520"/>
            <w:vAlign w:val="top"/>
          </w:tcPr>
          <w:p>
            <w:pPr>
              <w:spacing w:after="20" w:before="0" w:line="240" w:lineRule="auto"/>
            </w:pPr>
            <w:r/>
            <w:r>
              <w:rPr>
                <w:b w:val="0"/>
                <w:i w:val="0"/>
                <w:sz w:val="16"/>
              </w:rPr>
              <w:t>Crest above 100-yr WSEL</w:t>
            </w:r>
          </w:p>
        </w:tc>
        <w:tc>
          <w:tcPr>
            <w:tcW w:type="dxa" w:w="2664"/>
            <w:vAlign w:val="top"/>
          </w:tcPr>
          <w:p>
            <w:pPr>
              <w:spacing w:after="20" w:before="0" w:line="240" w:lineRule="auto"/>
            </w:pPr>
            <w:r/>
            <w:r>
              <w:rPr>
                <w:b w:val="0"/>
                <w:i w:val="0"/>
                <w:sz w:val="16"/>
              </w:rPr>
              <w:t>2,858.50 ft − 2,857.91 ft</w:t>
            </w:r>
          </w:p>
        </w:tc>
        <w:tc>
          <w:tcPr>
            <w:tcW w:type="dxa" w:w="1152"/>
            <w:vAlign w:val="top"/>
          </w:tcPr>
          <w:p>
            <w:pPr>
              <w:spacing w:after="20" w:before="0" w:line="240" w:lineRule="auto"/>
            </w:pPr>
            <w:r/>
            <w:r>
              <w:rPr>
                <w:b w:val="0"/>
                <w:i w:val="0"/>
                <w:sz w:val="16"/>
              </w:rPr>
              <w:t>0.59 ft</w:t>
            </w:r>
          </w:p>
        </w:tc>
        <w:tc>
          <w:tcPr>
            <w:tcW w:type="dxa" w:w="3024"/>
            <w:vAlign w:val="top"/>
          </w:tcPr>
          <w:p>
            <w:pPr>
              <w:spacing w:after="20" w:before="0" w:line="240" w:lineRule="auto"/>
            </w:pPr>
            <w:r/>
            <w:r>
              <w:rPr>
                <w:b w:val="0"/>
                <w:i w:val="0"/>
                <w:sz w:val="16"/>
              </w:rPr>
              <w:t>0.71 ft (spillway detail); 0.60 ft (Basin Notes)</w:t>
            </w:r>
          </w:p>
        </w:tc>
      </w:tr>
      <w:tr>
        <w:trPr>
          <w:cantSplit w:val="true"/>
        </w:trPr>
        <w:tc>
          <w:tcPr>
            <w:tcW w:type="dxa" w:w="2520"/>
            <w:vAlign w:val="top"/>
          </w:tcPr>
          <w:p>
            <w:pPr>
              <w:spacing w:after="20" w:before="0" w:line="240" w:lineRule="auto"/>
            </w:pPr>
            <w:r/>
            <w:r>
              <w:rPr>
                <w:b w:val="0"/>
                <w:i w:val="0"/>
                <w:sz w:val="16"/>
              </w:rPr>
              <w:t>Top of berm above crest</w:t>
            </w:r>
          </w:p>
        </w:tc>
        <w:tc>
          <w:tcPr>
            <w:tcW w:type="dxa" w:w="2664"/>
            <w:vAlign w:val="top"/>
          </w:tcPr>
          <w:p>
            <w:pPr>
              <w:spacing w:after="20" w:before="0" w:line="240" w:lineRule="auto"/>
            </w:pPr>
            <w:r/>
            <w:r>
              <w:rPr>
                <w:b w:val="0"/>
                <w:i w:val="0"/>
                <w:sz w:val="16"/>
              </w:rPr>
              <w:t>2,859.20 ft − 2,858.50 ft</w:t>
            </w:r>
          </w:p>
        </w:tc>
        <w:tc>
          <w:tcPr>
            <w:tcW w:type="dxa" w:w="1152"/>
            <w:vAlign w:val="top"/>
          </w:tcPr>
          <w:p>
            <w:pPr>
              <w:spacing w:after="20" w:before="0" w:line="240" w:lineRule="auto"/>
            </w:pPr>
            <w:r/>
            <w:r>
              <w:rPr>
                <w:b w:val="0"/>
                <w:i w:val="0"/>
                <w:sz w:val="16"/>
              </w:rPr>
              <w:t>0.70 ft</w:t>
            </w:r>
          </w:p>
        </w:tc>
        <w:tc>
          <w:tcPr>
            <w:tcW w:type="dxa" w:w="3024"/>
            <w:vAlign w:val="top"/>
          </w:tcPr>
          <w:p>
            <w:pPr>
              <w:spacing w:after="20" w:before="0" w:line="240" w:lineRule="auto"/>
            </w:pPr>
            <w:r/>
            <w:r>
              <w:rPr>
                <w:b w:val="0"/>
                <w:i w:val="0"/>
                <w:sz w:val="16"/>
              </w:rPr>
              <w:t>0.70 ft (Basin Notes)</w:t>
            </w:r>
          </w:p>
        </w:tc>
      </w:tr>
      <w:tr>
        <w:trPr>
          <w:cantSplit w:val="true"/>
        </w:trPr>
        <w:tc>
          <w:tcPr>
            <w:tcW w:type="dxa" w:w="2520"/>
            <w:vAlign w:val="top"/>
          </w:tcPr>
          <w:p>
            <w:pPr>
              <w:spacing w:after="20" w:before="0" w:line="240" w:lineRule="auto"/>
            </w:pPr>
            <w:r/>
            <w:r>
              <w:rPr>
                <w:b w:val="0"/>
                <w:i w:val="0"/>
                <w:sz w:val="16"/>
              </w:rPr>
              <w:t>Top of berm above 100-yr WSEL</w:t>
            </w:r>
          </w:p>
        </w:tc>
        <w:tc>
          <w:tcPr>
            <w:tcW w:type="dxa" w:w="2664"/>
            <w:vAlign w:val="top"/>
          </w:tcPr>
          <w:p>
            <w:pPr>
              <w:spacing w:after="20" w:before="0" w:line="240" w:lineRule="auto"/>
            </w:pPr>
            <w:r/>
            <w:r>
              <w:rPr>
                <w:b w:val="0"/>
                <w:i w:val="0"/>
                <w:sz w:val="16"/>
              </w:rPr>
              <w:t>2,859.20 ft − 2,857.91 ft</w:t>
            </w:r>
          </w:p>
        </w:tc>
        <w:tc>
          <w:tcPr>
            <w:tcW w:type="dxa" w:w="1152"/>
            <w:vAlign w:val="top"/>
          </w:tcPr>
          <w:p>
            <w:pPr>
              <w:spacing w:after="20" w:before="0" w:line="240" w:lineRule="auto"/>
            </w:pPr>
            <w:r/>
            <w:r>
              <w:rPr>
                <w:b w:val="0"/>
                <w:i w:val="0"/>
                <w:sz w:val="16"/>
              </w:rPr>
              <w:t>1.29 ft</w:t>
            </w:r>
          </w:p>
        </w:tc>
        <w:tc>
          <w:tcPr>
            <w:tcW w:type="dxa" w:w="3024"/>
            <w:vAlign w:val="top"/>
          </w:tcPr>
          <w:p>
            <w:pPr>
              <w:spacing w:after="20" w:before="0" w:line="240" w:lineRule="auto"/>
            </w:pPr>
            <w:r/>
            <w:r>
              <w:rPr>
                <w:b w:val="0"/>
                <w:i w:val="0"/>
                <w:sz w:val="16"/>
              </w:rPr>
              <w:t>1.29 ft (Basin Notes)</w:t>
            </w:r>
          </w:p>
        </w:tc>
      </w:tr>
      <w:tr>
        <w:trPr>
          <w:cantSplit w:val="true"/>
        </w:trPr>
        <w:tc>
          <w:tcPr>
            <w:tcW w:type="dxa" w:w="2520"/>
            <w:vAlign w:val="top"/>
          </w:tcPr>
          <w:p>
            <w:pPr>
              <w:spacing w:after="20" w:before="0" w:line="240" w:lineRule="auto"/>
            </w:pPr>
            <w:r/>
            <w:r>
              <w:rPr>
                <w:b w:val="0"/>
                <w:i w:val="0"/>
                <w:sz w:val="16"/>
              </w:rPr>
              <w:t>100-yr WSEL above basin bottom</w:t>
            </w:r>
          </w:p>
        </w:tc>
        <w:tc>
          <w:tcPr>
            <w:tcW w:type="dxa" w:w="2664"/>
            <w:vAlign w:val="top"/>
          </w:tcPr>
          <w:p>
            <w:pPr>
              <w:spacing w:after="20" w:before="0" w:line="240" w:lineRule="auto"/>
            </w:pPr>
            <w:r/>
            <w:r>
              <w:rPr>
                <w:b w:val="0"/>
                <w:i w:val="0"/>
                <w:sz w:val="16"/>
              </w:rPr>
              <w:t>2,857.91 ft − 2,851.00 ft</w:t>
            </w:r>
          </w:p>
        </w:tc>
        <w:tc>
          <w:tcPr>
            <w:tcW w:type="dxa" w:w="1152"/>
            <w:vAlign w:val="top"/>
          </w:tcPr>
          <w:p>
            <w:pPr>
              <w:spacing w:after="20" w:before="0" w:line="240" w:lineRule="auto"/>
            </w:pPr>
            <w:r/>
            <w:r>
              <w:rPr>
                <w:b w:val="0"/>
                <w:i w:val="0"/>
                <w:sz w:val="16"/>
              </w:rPr>
              <w:t>6.91 ft</w:t>
            </w:r>
          </w:p>
        </w:tc>
        <w:tc>
          <w:tcPr>
            <w:tcW w:type="dxa" w:w="3024"/>
            <w:vAlign w:val="top"/>
          </w:tcPr>
          <w:p>
            <w:pPr>
              <w:spacing w:after="20" w:before="0" w:line="240" w:lineRule="auto"/>
            </w:pPr>
            <w:r/>
            <w:r>
              <w:rPr>
                <w:b w:val="0"/>
                <w:i w:val="0"/>
                <w:sz w:val="16"/>
              </w:rPr>
              <w:t>—</w:t>
            </w:r>
          </w:p>
        </w:tc>
      </w:tr>
    </w:tbl>
    <w:p>
      <w:pPr>
        <w:spacing w:after="40"/>
      </w:pPr>
    </w:p>
    <w:p>
      <w:pPr>
        <w:keepNext/>
        <w:spacing w:after="40" w:before="80"/>
      </w:pPr>
      <w:r>
        <w:rPr>
          <w:b/>
          <w:i w:val="0"/>
          <w:sz w:val="20"/>
        </w:rPr>
        <w:t>A-2  Capacity of the spillway as drawn</w:t>
      </w:r>
    </w:p>
    <w:p>
      <w:r>
        <w:rPr>
          <w:b w:val="0"/>
          <w:i w:val="0"/>
          <w:sz w:val="19"/>
        </w:rPr>
        <w:t>Q = C L H</w:t>
      </w:r>
      <w:r>
        <w:rPr>
          <w:b w:val="0"/>
          <w:i w:val="0"/>
          <w:sz w:val="19"/>
          <w:vertAlign w:val="superscript"/>
        </w:rPr>
        <w:t>1.5</w:t>
      </w:r>
      <w:r>
        <w:rPr>
          <w:b w:val="0"/>
          <w:i w:val="0"/>
          <w:sz w:val="19"/>
        </w:rPr>
        <w:t>; L = 20.0 ft (C-6; C-9); H</w:t>
      </w:r>
      <w:r>
        <w:rPr>
          <w:b w:val="0"/>
          <w:i w:val="0"/>
          <w:sz w:val="19"/>
          <w:vertAlign w:val="subscript"/>
        </w:rPr>
        <w:t>max</w:t>
      </w:r>
      <w:r>
        <w:rPr>
          <w:b w:val="0"/>
          <w:i w:val="0"/>
          <w:sz w:val="19"/>
        </w:rPr>
        <w:t xml:space="preserve"> = 0.70 ft (A-1); design discharge 88.4 cfs (MDS App. C-2, D-1; Hydrology Worksheet B13).</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736"/>
        <w:gridCol w:w="3456"/>
        <w:gridCol w:w="3168"/>
      </w:tblGrid>
      <w:tr>
        <w:trPr>
          <w:tblHeader w:val="true"/>
        </w:trPr>
        <w:tc>
          <w:tcPr>
            <w:tcW w:type="dxa" w:w="2736"/>
            <w:vAlign w:val="top"/>
            <w:shd w:val="clear" w:color="auto" w:fill="D9E2F3"/>
          </w:tcPr>
          <w:p>
            <w:pPr>
              <w:spacing w:after="20" w:before="0" w:line="240" w:lineRule="auto"/>
            </w:pPr>
            <w:r/>
            <w:r>
              <w:rPr>
                <w:b/>
                <w:i w:val="0"/>
                <w:sz w:val="16"/>
              </w:rPr>
              <w:t>Step</w:t>
            </w:r>
          </w:p>
        </w:tc>
        <w:tc>
          <w:tcPr>
            <w:tcW w:type="dxa" w:w="3456"/>
            <w:vAlign w:val="top"/>
            <w:shd w:val="clear" w:color="auto" w:fill="D9E2F3"/>
          </w:tcPr>
          <w:p>
            <w:pPr>
              <w:spacing w:after="20" w:before="0" w:line="240" w:lineRule="auto"/>
            </w:pPr>
            <w:r/>
            <w:r>
              <w:rPr>
                <w:b/>
                <w:i w:val="0"/>
                <w:sz w:val="16"/>
              </w:rPr>
              <w:t>Computation</w:t>
            </w:r>
          </w:p>
        </w:tc>
        <w:tc>
          <w:tcPr>
            <w:tcW w:type="dxa" w:w="3168"/>
            <w:vAlign w:val="top"/>
            <w:shd w:val="clear" w:color="auto" w:fill="D9E2F3"/>
          </w:tcPr>
          <w:p>
            <w:pPr>
              <w:spacing w:after="20" w:before="0" w:line="240" w:lineRule="auto"/>
            </w:pPr>
            <w:r/>
            <w:r>
              <w:rPr>
                <w:b/>
                <w:i w:val="0"/>
                <w:sz w:val="16"/>
              </w:rPr>
              <w:t>Result</w:t>
            </w:r>
          </w:p>
        </w:tc>
      </w:tr>
      <w:tr>
        <w:trPr>
          <w:cantSplit w:val="true"/>
        </w:trPr>
        <w:tc>
          <w:tcPr>
            <w:tcW w:type="dxa" w:w="2736"/>
            <w:vAlign w:val="top"/>
          </w:tcPr>
          <w:p>
            <w:pPr>
              <w:spacing w:after="20" w:before="0" w:line="240" w:lineRule="auto"/>
            </w:pPr>
            <w:r/>
            <w:r>
              <w:rPr>
                <w:b w:val="0"/>
                <w:i w:val="0"/>
                <w:sz w:val="16"/>
              </w:rPr>
              <w:t>H</w:t>
            </w:r>
            <w:r>
              <w:rPr>
                <w:b w:val="0"/>
                <w:i w:val="0"/>
                <w:sz w:val="16"/>
                <w:vertAlign w:val="subscript"/>
              </w:rPr>
              <w:t>max</w:t>
            </w:r>
            <w:r>
              <w:rPr>
                <w:b w:val="0"/>
                <w:i w:val="0"/>
                <w:sz w:val="16"/>
                <w:vertAlign w:val="superscript"/>
              </w:rPr>
              <w:t>1.5</w:t>
            </w:r>
          </w:p>
        </w:tc>
        <w:tc>
          <w:tcPr>
            <w:tcW w:type="dxa" w:w="3456"/>
            <w:vAlign w:val="top"/>
          </w:tcPr>
          <w:p>
            <w:pPr>
              <w:spacing w:after="20" w:before="0" w:line="240" w:lineRule="auto"/>
            </w:pPr>
            <w:r/>
            <w:r>
              <w:rPr>
                <w:b w:val="0"/>
                <w:i w:val="0"/>
                <w:sz w:val="16"/>
              </w:rPr>
              <w:t>(0.70 ft)</w:t>
            </w:r>
            <w:r>
              <w:rPr>
                <w:b w:val="0"/>
                <w:i w:val="0"/>
                <w:sz w:val="16"/>
                <w:vertAlign w:val="superscript"/>
              </w:rPr>
              <w:t>1.5</w:t>
            </w:r>
          </w:p>
        </w:tc>
        <w:tc>
          <w:tcPr>
            <w:tcW w:type="dxa" w:w="3168"/>
            <w:vAlign w:val="top"/>
          </w:tcPr>
          <w:p>
            <w:pPr>
              <w:spacing w:after="20" w:before="0" w:line="240" w:lineRule="auto"/>
            </w:pPr>
            <w:r/>
            <w:r>
              <w:rPr>
                <w:b w:val="0"/>
                <w:i w:val="0"/>
                <w:sz w:val="16"/>
              </w:rPr>
              <w:t>0.585662 ft</w:t>
            </w:r>
            <w:r>
              <w:rPr>
                <w:b w:val="0"/>
                <w:i w:val="0"/>
                <w:sz w:val="16"/>
                <w:vertAlign w:val="superscript"/>
              </w:rPr>
              <w:t>1.5</w:t>
            </w:r>
          </w:p>
        </w:tc>
      </w:tr>
      <w:tr>
        <w:trPr>
          <w:cantSplit w:val="true"/>
        </w:trPr>
        <w:tc>
          <w:tcPr>
            <w:tcW w:type="dxa" w:w="2736"/>
            <w:vAlign w:val="top"/>
          </w:tcPr>
          <w:p>
            <w:pPr>
              <w:spacing w:after="20" w:before="0" w:line="240" w:lineRule="auto"/>
            </w:pPr>
            <w:r/>
            <w:r>
              <w:rPr>
                <w:b w:val="0"/>
                <w:i w:val="0"/>
                <w:sz w:val="16"/>
              </w:rPr>
              <w:t>Q</w:t>
            </w:r>
            <w:r>
              <w:rPr>
                <w:b w:val="0"/>
                <w:i w:val="0"/>
                <w:sz w:val="16"/>
                <w:vertAlign w:val="subscript"/>
              </w:rPr>
              <w:t>max</w:t>
            </w:r>
            <w:r>
              <w:rPr>
                <w:b w:val="0"/>
                <w:i w:val="0"/>
                <w:sz w:val="16"/>
              </w:rPr>
              <w:t>, C = 2.6 ft</w:t>
            </w:r>
            <w:r>
              <w:rPr>
                <w:b w:val="0"/>
                <w:i w:val="0"/>
                <w:sz w:val="16"/>
                <w:vertAlign w:val="superscript"/>
              </w:rPr>
              <w:t>0.5</w:t>
            </w:r>
            <w:r>
              <w:rPr>
                <w:b w:val="0"/>
                <w:i w:val="0"/>
                <w:sz w:val="16"/>
              </w:rPr>
              <w:t>/s</w:t>
            </w:r>
          </w:p>
        </w:tc>
        <w:tc>
          <w:tcPr>
            <w:tcW w:type="dxa" w:w="3456"/>
            <w:vAlign w:val="top"/>
          </w:tcPr>
          <w:p>
            <w:pPr>
              <w:spacing w:after="20" w:before="0" w:line="240" w:lineRule="auto"/>
            </w:pPr>
            <w:r/>
            <w:r>
              <w:rPr>
                <w:b w:val="0"/>
                <w:i w:val="0"/>
                <w:sz w:val="16"/>
              </w:rPr>
              <w:t>2.6 ft</w:t>
            </w:r>
            <w:r>
              <w:rPr>
                <w:b w:val="0"/>
                <w:i w:val="0"/>
                <w:sz w:val="16"/>
                <w:vertAlign w:val="superscript"/>
              </w:rPr>
              <w:t>0.5</w:t>
            </w:r>
            <w:r>
              <w:rPr>
                <w:b w:val="0"/>
                <w:i w:val="0"/>
                <w:sz w:val="16"/>
              </w:rPr>
              <w:t>/s × 20.0 ft × 0.585662 ft</w:t>
            </w:r>
            <w:r>
              <w:rPr>
                <w:b w:val="0"/>
                <w:i w:val="0"/>
                <w:sz w:val="16"/>
                <w:vertAlign w:val="superscript"/>
              </w:rPr>
              <w:t>1.5</w:t>
            </w:r>
          </w:p>
        </w:tc>
        <w:tc>
          <w:tcPr>
            <w:tcW w:type="dxa" w:w="3168"/>
            <w:vAlign w:val="top"/>
          </w:tcPr>
          <w:p>
            <w:pPr>
              <w:spacing w:after="20" w:before="0" w:line="240" w:lineRule="auto"/>
            </w:pPr>
            <w:r/>
            <w:r>
              <w:rPr>
                <w:b w:val="0"/>
                <w:i w:val="0"/>
                <w:sz w:val="16"/>
              </w:rPr>
              <w:t>30.454425 cfs = 34.450707 % of 88.4 cfs</w:t>
            </w:r>
          </w:p>
        </w:tc>
      </w:tr>
      <w:tr>
        <w:trPr>
          <w:cantSplit w:val="true"/>
        </w:trPr>
        <w:tc>
          <w:tcPr>
            <w:tcW w:type="dxa" w:w="2736"/>
            <w:vAlign w:val="top"/>
          </w:tcPr>
          <w:p>
            <w:pPr>
              <w:spacing w:after="20" w:before="0" w:line="240" w:lineRule="auto"/>
            </w:pPr>
            <w:r/>
            <w:r>
              <w:rPr>
                <w:b w:val="0"/>
                <w:i w:val="0"/>
                <w:sz w:val="16"/>
              </w:rPr>
              <w:t>Theoretical ceiling C</w:t>
            </w:r>
          </w:p>
        </w:tc>
        <w:tc>
          <w:tcPr>
            <w:tcW w:type="dxa" w:w="3456"/>
            <w:vAlign w:val="top"/>
          </w:tcPr>
          <w:p>
            <w:pPr>
              <w:spacing w:after="20" w:before="0" w:line="240" w:lineRule="auto"/>
            </w:pPr>
            <w:r/>
            <w:r>
              <w:rPr>
                <w:b w:val="0"/>
                <w:i w:val="0"/>
                <w:sz w:val="16"/>
              </w:rPr>
              <w:t>(2/3)</w:t>
            </w:r>
            <w:r>
              <w:rPr>
                <w:b w:val="0"/>
                <w:i w:val="0"/>
                <w:sz w:val="16"/>
                <w:vertAlign w:val="superscript"/>
              </w:rPr>
              <w:t>1.5</w:t>
            </w:r>
            <w:r>
              <w:rPr>
                <w:b w:val="0"/>
                <w:i w:val="0"/>
                <w:sz w:val="16"/>
              </w:rPr>
              <w:t xml:space="preserve"> × (32.2 ft/s</w:t>
            </w:r>
            <w:r>
              <w:rPr>
                <w:b w:val="0"/>
                <w:i w:val="0"/>
                <w:sz w:val="16"/>
                <w:vertAlign w:val="superscript"/>
              </w:rPr>
              <w:t>2</w:t>
            </w:r>
            <w:r>
              <w:rPr>
                <w:b w:val="0"/>
                <w:i w:val="0"/>
                <w:sz w:val="16"/>
              </w:rPr>
              <w:t>)</w:t>
            </w:r>
            <w:r>
              <w:rPr>
                <w:b w:val="0"/>
                <w:i w:val="0"/>
                <w:sz w:val="16"/>
                <w:vertAlign w:val="superscript"/>
              </w:rPr>
              <w:t>0.5</w:t>
            </w:r>
          </w:p>
        </w:tc>
        <w:tc>
          <w:tcPr>
            <w:tcW w:type="dxa" w:w="3168"/>
            <w:vAlign w:val="top"/>
          </w:tcPr>
          <w:p>
            <w:pPr>
              <w:spacing w:after="20" w:before="0" w:line="240" w:lineRule="auto"/>
            </w:pPr>
            <w:r/>
            <w:r>
              <w:rPr>
                <w:b w:val="0"/>
                <w:i w:val="0"/>
                <w:sz w:val="16"/>
              </w:rPr>
              <w:t>3.088809 ft</w:t>
            </w:r>
            <w:r>
              <w:rPr>
                <w:b w:val="0"/>
                <w:i w:val="0"/>
                <w:sz w:val="16"/>
                <w:vertAlign w:val="superscript"/>
              </w:rPr>
              <w:t>0.5</w:t>
            </w:r>
            <w:r>
              <w:rPr>
                <w:b w:val="0"/>
                <w:i w:val="0"/>
                <w:sz w:val="16"/>
              </w:rPr>
              <w:t>/s</w:t>
            </w:r>
          </w:p>
        </w:tc>
      </w:tr>
      <w:tr>
        <w:trPr>
          <w:cantSplit w:val="true"/>
        </w:trPr>
        <w:tc>
          <w:tcPr>
            <w:tcW w:type="dxa" w:w="2736"/>
            <w:vAlign w:val="top"/>
          </w:tcPr>
          <w:p>
            <w:pPr>
              <w:spacing w:after="20" w:before="0" w:line="240" w:lineRule="auto"/>
            </w:pPr>
            <w:r/>
            <w:r>
              <w:rPr>
                <w:b w:val="0"/>
                <w:i w:val="0"/>
                <w:sz w:val="16"/>
              </w:rPr>
              <w:t>Q</w:t>
            </w:r>
            <w:r>
              <w:rPr>
                <w:b w:val="0"/>
                <w:i w:val="0"/>
                <w:sz w:val="16"/>
                <w:vertAlign w:val="subscript"/>
              </w:rPr>
              <w:t>max</w:t>
            </w:r>
            <w:r>
              <w:rPr>
                <w:b w:val="0"/>
                <w:i w:val="0"/>
                <w:sz w:val="16"/>
              </w:rPr>
              <w:t>, C = 3.088809 ft</w:t>
            </w:r>
            <w:r>
              <w:rPr>
                <w:b w:val="0"/>
                <w:i w:val="0"/>
                <w:sz w:val="16"/>
                <w:vertAlign w:val="superscript"/>
              </w:rPr>
              <w:t>0.5</w:t>
            </w:r>
            <w:r>
              <w:rPr>
                <w:b w:val="0"/>
                <w:i w:val="0"/>
                <w:sz w:val="16"/>
              </w:rPr>
              <w:t>/s</w:t>
            </w:r>
          </w:p>
        </w:tc>
        <w:tc>
          <w:tcPr>
            <w:tcW w:type="dxa" w:w="3456"/>
            <w:vAlign w:val="top"/>
          </w:tcPr>
          <w:p>
            <w:pPr>
              <w:spacing w:after="20" w:before="0" w:line="240" w:lineRule="auto"/>
            </w:pPr>
            <w:r/>
            <w:r>
              <w:rPr>
                <w:b w:val="0"/>
                <w:i w:val="0"/>
                <w:sz w:val="16"/>
              </w:rPr>
              <w:t>3.088809 ft</w:t>
            </w:r>
            <w:r>
              <w:rPr>
                <w:b w:val="0"/>
                <w:i w:val="0"/>
                <w:sz w:val="16"/>
                <w:vertAlign w:val="superscript"/>
              </w:rPr>
              <w:t>0.5</w:t>
            </w:r>
            <w:r>
              <w:rPr>
                <w:b w:val="0"/>
                <w:i w:val="0"/>
                <w:sz w:val="16"/>
              </w:rPr>
              <w:t>/s × 20.0 ft × 0.585662 ft</w:t>
            </w:r>
            <w:r>
              <w:rPr>
                <w:b w:val="0"/>
                <w:i w:val="0"/>
                <w:sz w:val="16"/>
                <w:vertAlign w:val="superscript"/>
              </w:rPr>
              <w:t>1.5</w:t>
            </w:r>
          </w:p>
        </w:tc>
        <w:tc>
          <w:tcPr>
            <w:tcW w:type="dxa" w:w="3168"/>
            <w:vAlign w:val="top"/>
          </w:tcPr>
          <w:p>
            <w:pPr>
              <w:spacing w:after="20" w:before="0" w:line="240" w:lineRule="auto"/>
            </w:pPr>
            <w:r/>
            <w:r>
              <w:rPr>
                <w:b w:val="0"/>
                <w:i w:val="0"/>
                <w:sz w:val="16"/>
              </w:rPr>
              <w:t>36.179962 cfs = 40.927559 % of 88.4 cfs</w:t>
            </w:r>
          </w:p>
        </w:tc>
      </w:tr>
      <w:tr>
        <w:trPr>
          <w:cantSplit w:val="true"/>
        </w:trPr>
        <w:tc>
          <w:tcPr>
            <w:tcW w:type="dxa" w:w="2736"/>
            <w:vAlign w:val="top"/>
          </w:tcPr>
          <w:p>
            <w:pPr>
              <w:spacing w:after="20" w:before="0" w:line="240" w:lineRule="auto"/>
            </w:pPr>
            <w:r/>
            <w:r>
              <w:rPr>
                <w:b w:val="0"/>
                <w:i w:val="0"/>
                <w:sz w:val="16"/>
              </w:rPr>
              <w:t>Head to pass 88.4 cfs, C = 2.6 ft</w:t>
            </w:r>
            <w:r>
              <w:rPr>
                <w:b w:val="0"/>
                <w:i w:val="0"/>
                <w:sz w:val="16"/>
                <w:vertAlign w:val="superscript"/>
              </w:rPr>
              <w:t>0.5</w:t>
            </w:r>
            <w:r>
              <w:rPr>
                <w:b w:val="0"/>
                <w:i w:val="0"/>
                <w:sz w:val="16"/>
              </w:rPr>
              <w:t>/s</w:t>
            </w:r>
          </w:p>
        </w:tc>
        <w:tc>
          <w:tcPr>
            <w:tcW w:type="dxa" w:w="3456"/>
            <w:vAlign w:val="top"/>
          </w:tcPr>
          <w:p>
            <w:pPr>
              <w:spacing w:after="20" w:before="0" w:line="240" w:lineRule="auto"/>
            </w:pPr>
            <w:r/>
            <w:r>
              <w:rPr>
                <w:b w:val="0"/>
                <w:i w:val="0"/>
                <w:sz w:val="16"/>
              </w:rPr>
              <w:t>[88.4 cfs / (2.6 ft</w:t>
            </w:r>
            <w:r>
              <w:rPr>
                <w:b w:val="0"/>
                <w:i w:val="0"/>
                <w:sz w:val="16"/>
                <w:vertAlign w:val="superscript"/>
              </w:rPr>
              <w:t>0.5</w:t>
            </w:r>
            <w:r>
              <w:rPr>
                <w:b w:val="0"/>
                <w:i w:val="0"/>
                <w:sz w:val="16"/>
              </w:rPr>
              <w:t>/s × 20.0 ft)]</w:t>
            </w:r>
            <w:r>
              <w:rPr>
                <w:b w:val="0"/>
                <w:i w:val="0"/>
                <w:sz w:val="16"/>
                <w:vertAlign w:val="superscript"/>
              </w:rPr>
              <w:t>2/3</w:t>
            </w:r>
            <w:r>
              <w:rPr>
                <w:b w:val="0"/>
                <w:i w:val="0"/>
                <w:sz w:val="16"/>
              </w:rPr>
              <w:t xml:space="preserve"> = (1.700000 ft</w:t>
            </w:r>
            <w:r>
              <w:rPr>
                <w:b w:val="0"/>
                <w:i w:val="0"/>
                <w:sz w:val="16"/>
                <w:vertAlign w:val="superscript"/>
              </w:rPr>
              <w:t>1.5</w:t>
            </w:r>
            <w:r>
              <w:rPr>
                <w:b w:val="0"/>
                <w:i w:val="0"/>
                <w:sz w:val="16"/>
              </w:rPr>
              <w:t>)</w:t>
            </w:r>
            <w:r>
              <w:rPr>
                <w:b w:val="0"/>
                <w:i w:val="0"/>
                <w:sz w:val="16"/>
                <w:vertAlign w:val="superscript"/>
              </w:rPr>
              <w:t>2/3</w:t>
            </w:r>
          </w:p>
        </w:tc>
        <w:tc>
          <w:tcPr>
            <w:tcW w:type="dxa" w:w="3168"/>
            <w:vAlign w:val="top"/>
          </w:tcPr>
          <w:p>
            <w:pPr>
              <w:spacing w:after="20" w:before="0" w:line="240" w:lineRule="auto"/>
            </w:pPr>
            <w:r/>
            <w:r>
              <w:rPr>
                <w:b w:val="0"/>
                <w:i w:val="0"/>
                <w:sz w:val="16"/>
              </w:rPr>
              <w:t>1.424402 ft → WS 2,859.924402 ft, 0.724402 ft above 2,859.20 ft</w:t>
            </w:r>
          </w:p>
        </w:tc>
      </w:tr>
      <w:tr>
        <w:trPr>
          <w:cantSplit w:val="true"/>
        </w:trPr>
        <w:tc>
          <w:tcPr>
            <w:tcW w:type="dxa" w:w="2736"/>
            <w:vAlign w:val="top"/>
          </w:tcPr>
          <w:p>
            <w:pPr>
              <w:spacing w:after="20" w:before="0" w:line="240" w:lineRule="auto"/>
            </w:pPr>
            <w:r/>
            <w:r>
              <w:rPr>
                <w:b w:val="0"/>
                <w:i w:val="0"/>
                <w:sz w:val="16"/>
              </w:rPr>
              <w:t>Head to pass 88.4 cfs, C = 3.088809 ft</w:t>
            </w:r>
            <w:r>
              <w:rPr>
                <w:b w:val="0"/>
                <w:i w:val="0"/>
                <w:sz w:val="16"/>
                <w:vertAlign w:val="superscript"/>
              </w:rPr>
              <w:t>0.5</w:t>
            </w:r>
            <w:r>
              <w:rPr>
                <w:b w:val="0"/>
                <w:i w:val="0"/>
                <w:sz w:val="16"/>
              </w:rPr>
              <w:t>/s</w:t>
            </w:r>
          </w:p>
        </w:tc>
        <w:tc>
          <w:tcPr>
            <w:tcW w:type="dxa" w:w="3456"/>
            <w:vAlign w:val="top"/>
          </w:tcPr>
          <w:p>
            <w:pPr>
              <w:spacing w:after="20" w:before="0" w:line="240" w:lineRule="auto"/>
            </w:pPr>
            <w:r/>
            <w:r>
              <w:rPr>
                <w:b w:val="0"/>
                <w:i w:val="0"/>
                <w:sz w:val="16"/>
              </w:rPr>
              <w:t>[88.4 cfs / (3.088809 ft</w:t>
            </w:r>
            <w:r>
              <w:rPr>
                <w:b w:val="0"/>
                <w:i w:val="0"/>
                <w:sz w:val="16"/>
                <w:vertAlign w:val="superscript"/>
              </w:rPr>
              <w:t>0.5</w:t>
            </w:r>
            <w:r>
              <w:rPr>
                <w:b w:val="0"/>
                <w:i w:val="0"/>
                <w:sz w:val="16"/>
              </w:rPr>
              <w:t>/s × 20.0 ft)]</w:t>
            </w:r>
            <w:r>
              <w:rPr>
                <w:b w:val="0"/>
                <w:i w:val="0"/>
                <w:sz w:val="16"/>
                <w:vertAlign w:val="superscript"/>
              </w:rPr>
              <w:t>2/3</w:t>
            </w:r>
          </w:p>
        </w:tc>
        <w:tc>
          <w:tcPr>
            <w:tcW w:type="dxa" w:w="3168"/>
            <w:vAlign w:val="top"/>
          </w:tcPr>
          <w:p>
            <w:pPr>
              <w:spacing w:after="20" w:before="0" w:line="240" w:lineRule="auto"/>
            </w:pPr>
            <w:r/>
            <w:r>
              <w:rPr>
                <w:b w:val="0"/>
                <w:i w:val="0"/>
                <w:sz w:val="16"/>
              </w:rPr>
              <w:t>1.269855 ft → WS 2,859.769855 ft, 0.569855 ft above 2,859.20 ft</w:t>
            </w:r>
          </w:p>
        </w:tc>
      </w:tr>
    </w:tbl>
    <w:p>
      <w:pPr>
        <w:spacing w:after="40"/>
      </w:pPr>
    </w:p>
    <w:p>
      <w:pPr>
        <w:keepNext/>
        <w:spacing w:after="40" w:before="80"/>
      </w:pPr>
      <w:r>
        <w:rPr>
          <w:b/>
          <w:i w:val="0"/>
          <w:sz w:val="20"/>
        </w:rPr>
        <w:t>A-3  Freeboard floor with the crest held at 2,858.50 ft</w:t>
      </w:r>
    </w:p>
    <w:p>
      <w:r>
        <w:rPr>
          <w:b w:val="0"/>
          <w:i w:val="0"/>
          <w:sz w:val="19"/>
        </w:rPr>
        <w:t>Required top of berm = crest + H + 1.0 ft ≥ 2,858.50 ft + 0 ft + 1.0 ft = 2,859.50 ft for any crest length. The existing 2,859.20 ft (C-6; C-9) is 0.30 ft short before any head is added.</w:t>
      </w:r>
    </w:p>
    <w:p>
      <w:pPr>
        <w:keepNext/>
        <w:spacing w:after="40" w:before="80"/>
      </w:pPr>
      <w:r>
        <w:rPr>
          <w:b/>
          <w:i w:val="0"/>
          <w:sz w:val="20"/>
        </w:rPr>
        <w:t>A-4  Revised spillway: L = 50.0 ft, C = 2.6 ft</w:t>
      </w:r>
      <w:r>
        <w:rPr>
          <w:b/>
          <w:i w:val="0"/>
          <w:sz w:val="20"/>
          <w:vertAlign w:val="superscript"/>
        </w:rPr>
        <w:t>0.5</w:t>
      </w:r>
      <w:r>
        <w:rPr>
          <w:b/>
          <w:i w:val="0"/>
          <w:sz w:val="20"/>
        </w:rPr>
        <w:t>/s, b = 6.0 ft</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736"/>
        <w:gridCol w:w="3744"/>
        <w:gridCol w:w="2880"/>
      </w:tblGrid>
      <w:tr>
        <w:trPr>
          <w:tblHeader w:val="true"/>
        </w:trPr>
        <w:tc>
          <w:tcPr>
            <w:tcW w:type="dxa" w:w="2736"/>
            <w:vAlign w:val="top"/>
            <w:shd w:val="clear" w:color="auto" w:fill="D9E2F3"/>
          </w:tcPr>
          <w:p>
            <w:pPr>
              <w:spacing w:after="20" w:before="0" w:line="240" w:lineRule="auto"/>
            </w:pPr>
            <w:r/>
            <w:r>
              <w:rPr>
                <w:b/>
                <w:i w:val="0"/>
                <w:sz w:val="16"/>
              </w:rPr>
              <w:t>Step</w:t>
            </w:r>
          </w:p>
        </w:tc>
        <w:tc>
          <w:tcPr>
            <w:tcW w:type="dxa" w:w="3744"/>
            <w:vAlign w:val="top"/>
            <w:shd w:val="clear" w:color="auto" w:fill="D9E2F3"/>
          </w:tcPr>
          <w:p>
            <w:pPr>
              <w:spacing w:after="20" w:before="0" w:line="240" w:lineRule="auto"/>
            </w:pPr>
            <w:r/>
            <w:r>
              <w:rPr>
                <w:b/>
                <w:i w:val="0"/>
                <w:sz w:val="16"/>
              </w:rPr>
              <w:t>Computation</w:t>
            </w:r>
          </w:p>
        </w:tc>
        <w:tc>
          <w:tcPr>
            <w:tcW w:type="dxa" w:w="2880"/>
            <w:vAlign w:val="top"/>
            <w:shd w:val="clear" w:color="auto" w:fill="D9E2F3"/>
          </w:tcPr>
          <w:p>
            <w:pPr>
              <w:spacing w:after="20" w:before="0" w:line="240" w:lineRule="auto"/>
            </w:pPr>
            <w:r/>
            <w:r>
              <w:rPr>
                <w:b/>
                <w:i w:val="0"/>
                <w:sz w:val="16"/>
              </w:rPr>
              <w:t>Result</w:t>
            </w:r>
          </w:p>
        </w:tc>
      </w:tr>
      <w:tr>
        <w:trPr>
          <w:cantSplit w:val="true"/>
        </w:trPr>
        <w:tc>
          <w:tcPr>
            <w:tcW w:type="dxa" w:w="2736"/>
            <w:vAlign w:val="top"/>
          </w:tcPr>
          <w:p>
            <w:pPr>
              <w:spacing w:after="20" w:before="0" w:line="240" w:lineRule="auto"/>
            </w:pPr>
            <w:r/>
            <w:r>
              <w:rPr>
                <w:b w:val="0"/>
                <w:i w:val="0"/>
                <w:sz w:val="16"/>
              </w:rPr>
              <w:t>Q / (C L)</w:t>
            </w:r>
          </w:p>
        </w:tc>
        <w:tc>
          <w:tcPr>
            <w:tcW w:type="dxa" w:w="3744"/>
            <w:vAlign w:val="top"/>
          </w:tcPr>
          <w:p>
            <w:pPr>
              <w:spacing w:after="20" w:before="0" w:line="240" w:lineRule="auto"/>
            </w:pPr>
            <w:r/>
            <w:r>
              <w:rPr>
                <w:b w:val="0"/>
                <w:i w:val="0"/>
                <w:sz w:val="16"/>
              </w:rPr>
              <w:t>88.4 cfs / (2.6 ft</w:t>
            </w:r>
            <w:r>
              <w:rPr>
                <w:b w:val="0"/>
                <w:i w:val="0"/>
                <w:sz w:val="16"/>
                <w:vertAlign w:val="superscript"/>
              </w:rPr>
              <w:t>0.5</w:t>
            </w:r>
            <w:r>
              <w:rPr>
                <w:b w:val="0"/>
                <w:i w:val="0"/>
                <w:sz w:val="16"/>
              </w:rPr>
              <w:t>/s × 50.0 ft)</w:t>
            </w:r>
          </w:p>
        </w:tc>
        <w:tc>
          <w:tcPr>
            <w:tcW w:type="dxa" w:w="2880"/>
            <w:vAlign w:val="top"/>
          </w:tcPr>
          <w:p>
            <w:pPr>
              <w:spacing w:after="20" w:before="0" w:line="240" w:lineRule="auto"/>
            </w:pPr>
            <w:r/>
            <w:r>
              <w:rPr>
                <w:b w:val="0"/>
                <w:i w:val="0"/>
                <w:sz w:val="16"/>
              </w:rPr>
              <w:t>0.680000 ft</w:t>
            </w:r>
            <w:r>
              <w:rPr>
                <w:b w:val="0"/>
                <w:i w:val="0"/>
                <w:sz w:val="16"/>
                <w:vertAlign w:val="superscript"/>
              </w:rPr>
              <w:t>1.5</w:t>
            </w:r>
          </w:p>
        </w:tc>
      </w:tr>
      <w:tr>
        <w:trPr>
          <w:cantSplit w:val="true"/>
        </w:trPr>
        <w:tc>
          <w:tcPr>
            <w:tcW w:type="dxa" w:w="2736"/>
            <w:vAlign w:val="top"/>
          </w:tcPr>
          <w:p>
            <w:pPr>
              <w:spacing w:after="20" w:before="0" w:line="240" w:lineRule="auto"/>
            </w:pPr>
            <w:r/>
            <w:r>
              <w:rPr>
                <w:b w:val="0"/>
                <w:i w:val="0"/>
                <w:sz w:val="16"/>
              </w:rPr>
              <w:t>Design head H</w:t>
            </w:r>
          </w:p>
        </w:tc>
        <w:tc>
          <w:tcPr>
            <w:tcW w:type="dxa" w:w="3744"/>
            <w:vAlign w:val="top"/>
          </w:tcPr>
          <w:p>
            <w:pPr>
              <w:spacing w:after="20" w:before="0" w:line="240" w:lineRule="auto"/>
            </w:pPr>
            <w:r/>
            <w:r>
              <w:rPr>
                <w:b w:val="0"/>
                <w:i w:val="0"/>
                <w:sz w:val="16"/>
              </w:rPr>
              <w:t>(0.680000 ft</w:t>
            </w:r>
            <w:r>
              <w:rPr>
                <w:b w:val="0"/>
                <w:i w:val="0"/>
                <w:sz w:val="16"/>
                <w:vertAlign w:val="superscript"/>
              </w:rPr>
              <w:t>1.5</w:t>
            </w:r>
            <w:r>
              <w:rPr>
                <w:b w:val="0"/>
                <w:i w:val="0"/>
                <w:sz w:val="16"/>
              </w:rPr>
              <w:t>)</w:t>
            </w:r>
            <w:r>
              <w:rPr>
                <w:b w:val="0"/>
                <w:i w:val="0"/>
                <w:sz w:val="16"/>
                <w:vertAlign w:val="superscript"/>
              </w:rPr>
              <w:t>2/3</w:t>
            </w:r>
          </w:p>
        </w:tc>
        <w:tc>
          <w:tcPr>
            <w:tcW w:type="dxa" w:w="2880"/>
            <w:vAlign w:val="top"/>
          </w:tcPr>
          <w:p>
            <w:pPr>
              <w:spacing w:after="20" w:before="0" w:line="240" w:lineRule="auto"/>
            </w:pPr>
            <w:r/>
            <w:r>
              <w:rPr>
                <w:b w:val="0"/>
                <w:i w:val="0"/>
                <w:sz w:val="16"/>
              </w:rPr>
              <w:t>0.773284 ft</w:t>
            </w:r>
          </w:p>
        </w:tc>
      </w:tr>
      <w:tr>
        <w:trPr>
          <w:cantSplit w:val="true"/>
        </w:trPr>
        <w:tc>
          <w:tcPr>
            <w:tcW w:type="dxa" w:w="2736"/>
            <w:vAlign w:val="top"/>
          </w:tcPr>
          <w:p>
            <w:pPr>
              <w:spacing w:after="20" w:before="0" w:line="240" w:lineRule="auto"/>
            </w:pPr>
            <w:r/>
            <w:r>
              <w:rPr>
                <w:b w:val="0"/>
                <w:i w:val="0"/>
                <w:sz w:val="16"/>
              </w:rPr>
              <w:t>H/b</w:t>
            </w:r>
          </w:p>
        </w:tc>
        <w:tc>
          <w:tcPr>
            <w:tcW w:type="dxa" w:w="3744"/>
            <w:vAlign w:val="top"/>
          </w:tcPr>
          <w:p>
            <w:pPr>
              <w:spacing w:after="20" w:before="0" w:line="240" w:lineRule="auto"/>
            </w:pPr>
            <w:r/>
            <w:r>
              <w:rPr>
                <w:b w:val="0"/>
                <w:i w:val="0"/>
                <w:sz w:val="16"/>
              </w:rPr>
              <w:t>0.773284 ft / 6.0 ft</w:t>
            </w:r>
          </w:p>
        </w:tc>
        <w:tc>
          <w:tcPr>
            <w:tcW w:type="dxa" w:w="2880"/>
            <w:vAlign w:val="top"/>
          </w:tcPr>
          <w:p>
            <w:pPr>
              <w:spacing w:after="20" w:before="0" w:line="240" w:lineRule="auto"/>
            </w:pPr>
            <w:r/>
            <w:r>
              <w:rPr>
                <w:b w:val="0"/>
                <w:i w:val="0"/>
                <w:sz w:val="16"/>
              </w:rPr>
              <w:t>0.128881 (dimensionless)</w:t>
            </w:r>
          </w:p>
        </w:tc>
      </w:tr>
      <w:tr>
        <w:trPr>
          <w:cantSplit w:val="true"/>
        </w:trPr>
        <w:tc>
          <w:tcPr>
            <w:tcW w:type="dxa" w:w="2736"/>
            <w:vAlign w:val="top"/>
          </w:tcPr>
          <w:p>
            <w:pPr>
              <w:spacing w:after="20" w:before="0" w:line="240" w:lineRule="auto"/>
            </w:pPr>
            <w:r/>
            <w:r>
              <w:rPr>
                <w:b w:val="0"/>
                <w:i w:val="0"/>
                <w:sz w:val="16"/>
              </w:rPr>
              <w:t>Design water surface</w:t>
            </w:r>
          </w:p>
        </w:tc>
        <w:tc>
          <w:tcPr>
            <w:tcW w:type="dxa" w:w="3744"/>
            <w:vAlign w:val="top"/>
          </w:tcPr>
          <w:p>
            <w:pPr>
              <w:spacing w:after="20" w:before="0" w:line="240" w:lineRule="auto"/>
            </w:pPr>
            <w:r/>
            <w:r>
              <w:rPr>
                <w:b w:val="0"/>
                <w:i w:val="0"/>
                <w:sz w:val="16"/>
              </w:rPr>
              <w:t>2,858.50 ft + 0.773284 ft</w:t>
            </w:r>
          </w:p>
        </w:tc>
        <w:tc>
          <w:tcPr>
            <w:tcW w:type="dxa" w:w="2880"/>
            <w:vAlign w:val="top"/>
          </w:tcPr>
          <w:p>
            <w:pPr>
              <w:spacing w:after="20" w:before="0" w:line="240" w:lineRule="auto"/>
            </w:pPr>
            <w:r/>
            <w:r>
              <w:rPr>
                <w:b w:val="0"/>
                <w:i w:val="0"/>
                <w:sz w:val="16"/>
              </w:rPr>
              <w:t>2,859.273284 ft</w:t>
            </w:r>
          </w:p>
        </w:tc>
      </w:tr>
      <w:tr>
        <w:trPr>
          <w:cantSplit w:val="true"/>
        </w:trPr>
        <w:tc>
          <w:tcPr>
            <w:tcW w:type="dxa" w:w="2736"/>
            <w:vAlign w:val="top"/>
          </w:tcPr>
          <w:p>
            <w:pPr>
              <w:spacing w:after="20" w:before="0" w:line="240" w:lineRule="auto"/>
            </w:pPr>
            <w:r/>
            <w:r>
              <w:rPr>
                <w:b w:val="0"/>
                <w:i w:val="0"/>
                <w:sz w:val="16"/>
              </w:rPr>
              <w:t>Required top of berm</w:t>
            </w:r>
          </w:p>
        </w:tc>
        <w:tc>
          <w:tcPr>
            <w:tcW w:type="dxa" w:w="3744"/>
            <w:vAlign w:val="top"/>
          </w:tcPr>
          <w:p>
            <w:pPr>
              <w:spacing w:after="20" w:before="0" w:line="240" w:lineRule="auto"/>
            </w:pPr>
            <w:r/>
            <w:r>
              <w:rPr>
                <w:b w:val="0"/>
                <w:i w:val="0"/>
                <w:sz w:val="16"/>
              </w:rPr>
              <w:t>2,859.273284 ft + 1.0 ft</w:t>
            </w:r>
          </w:p>
        </w:tc>
        <w:tc>
          <w:tcPr>
            <w:tcW w:type="dxa" w:w="2880"/>
            <w:vAlign w:val="top"/>
          </w:tcPr>
          <w:p>
            <w:pPr>
              <w:spacing w:after="20" w:before="0" w:line="240" w:lineRule="auto"/>
            </w:pPr>
            <w:r/>
            <w:r>
              <w:rPr>
                <w:b w:val="0"/>
                <w:i w:val="0"/>
                <w:sz w:val="16"/>
              </w:rPr>
              <w:t>2,860.273284 ft → adopted 2,860.30 ft</w:t>
            </w:r>
          </w:p>
        </w:tc>
      </w:tr>
      <w:tr>
        <w:trPr>
          <w:cantSplit w:val="true"/>
        </w:trPr>
        <w:tc>
          <w:tcPr>
            <w:tcW w:type="dxa" w:w="2736"/>
            <w:vAlign w:val="top"/>
          </w:tcPr>
          <w:p>
            <w:pPr>
              <w:spacing w:after="20" w:before="0" w:line="240" w:lineRule="auto"/>
            </w:pPr>
            <w:r/>
            <w:r>
              <w:rPr>
                <w:b w:val="0"/>
                <w:i w:val="0"/>
                <w:sz w:val="16"/>
              </w:rPr>
              <w:t>Freeboard provided</w:t>
            </w:r>
          </w:p>
        </w:tc>
        <w:tc>
          <w:tcPr>
            <w:tcW w:type="dxa" w:w="3744"/>
            <w:vAlign w:val="top"/>
          </w:tcPr>
          <w:p>
            <w:pPr>
              <w:spacing w:after="20" w:before="0" w:line="240" w:lineRule="auto"/>
            </w:pPr>
            <w:r/>
            <w:r>
              <w:rPr>
                <w:b w:val="0"/>
                <w:i w:val="0"/>
                <w:sz w:val="16"/>
              </w:rPr>
              <w:t>2,860.30 ft − 2,859.273284 ft</w:t>
            </w:r>
          </w:p>
        </w:tc>
        <w:tc>
          <w:tcPr>
            <w:tcW w:type="dxa" w:w="2880"/>
            <w:vAlign w:val="top"/>
          </w:tcPr>
          <w:p>
            <w:pPr>
              <w:spacing w:after="20" w:before="0" w:line="240" w:lineRule="auto"/>
            </w:pPr>
            <w:r/>
            <w:r>
              <w:rPr>
                <w:b w:val="0"/>
                <w:i w:val="0"/>
                <w:sz w:val="16"/>
              </w:rPr>
              <w:t>1.026716 ft</w:t>
            </w:r>
          </w:p>
        </w:tc>
      </w:tr>
      <w:tr>
        <w:trPr>
          <w:cantSplit w:val="true"/>
        </w:trPr>
        <w:tc>
          <w:tcPr>
            <w:tcW w:type="dxa" w:w="2736"/>
            <w:vAlign w:val="top"/>
          </w:tcPr>
          <w:p>
            <w:pPr>
              <w:spacing w:after="20" w:before="0" w:line="240" w:lineRule="auto"/>
            </w:pPr>
            <w:r/>
            <w:r>
              <w:rPr>
                <w:b w:val="0"/>
                <w:i w:val="0"/>
                <w:sz w:val="16"/>
              </w:rPr>
              <w:t>Berm raise</w:t>
            </w:r>
          </w:p>
        </w:tc>
        <w:tc>
          <w:tcPr>
            <w:tcW w:type="dxa" w:w="3744"/>
            <w:vAlign w:val="top"/>
          </w:tcPr>
          <w:p>
            <w:pPr>
              <w:spacing w:after="20" w:before="0" w:line="240" w:lineRule="auto"/>
            </w:pPr>
            <w:r/>
            <w:r>
              <w:rPr>
                <w:b w:val="0"/>
                <w:i w:val="0"/>
                <w:sz w:val="16"/>
              </w:rPr>
              <w:t>2,860.30 ft − 2,859.20 ft</w:t>
            </w:r>
          </w:p>
        </w:tc>
        <w:tc>
          <w:tcPr>
            <w:tcW w:type="dxa" w:w="2880"/>
            <w:vAlign w:val="top"/>
          </w:tcPr>
          <w:p>
            <w:pPr>
              <w:spacing w:after="20" w:before="0" w:line="240" w:lineRule="auto"/>
            </w:pPr>
            <w:r/>
            <w:r>
              <w:rPr>
                <w:b w:val="0"/>
                <w:i w:val="0"/>
                <w:sz w:val="16"/>
              </w:rPr>
              <w:t>1.10 ft</w:t>
            </w:r>
          </w:p>
        </w:tc>
      </w:tr>
      <w:tr>
        <w:trPr>
          <w:cantSplit w:val="true"/>
        </w:trPr>
        <w:tc>
          <w:tcPr>
            <w:tcW w:type="dxa" w:w="2736"/>
            <w:vAlign w:val="top"/>
          </w:tcPr>
          <w:p>
            <w:pPr>
              <w:spacing w:after="20" w:before="0" w:line="240" w:lineRule="auto"/>
            </w:pPr>
            <w:r/>
            <w:r>
              <w:rPr>
                <w:b w:val="0"/>
                <w:i w:val="0"/>
                <w:sz w:val="16"/>
              </w:rPr>
              <w:t>Freeboard, 100-yr WSEL</w:t>
            </w:r>
          </w:p>
        </w:tc>
        <w:tc>
          <w:tcPr>
            <w:tcW w:type="dxa" w:w="3744"/>
            <w:vAlign w:val="top"/>
          </w:tcPr>
          <w:p>
            <w:pPr>
              <w:spacing w:after="20" w:before="0" w:line="240" w:lineRule="auto"/>
            </w:pPr>
            <w:r/>
            <w:r>
              <w:rPr>
                <w:b w:val="0"/>
                <w:i w:val="0"/>
                <w:sz w:val="16"/>
              </w:rPr>
              <w:t>2,860.30 ft − 2,857.91 ft</w:t>
            </w:r>
          </w:p>
        </w:tc>
        <w:tc>
          <w:tcPr>
            <w:tcW w:type="dxa" w:w="2880"/>
            <w:vAlign w:val="top"/>
          </w:tcPr>
          <w:p>
            <w:pPr>
              <w:spacing w:after="20" w:before="0" w:line="240" w:lineRule="auto"/>
            </w:pPr>
            <w:r/>
            <w:r>
              <w:rPr>
                <w:b w:val="0"/>
                <w:i w:val="0"/>
                <w:sz w:val="16"/>
              </w:rPr>
              <w:t>2.39 ft</w:t>
            </w:r>
          </w:p>
        </w:tc>
      </w:tr>
      <w:tr>
        <w:trPr>
          <w:cantSplit w:val="true"/>
        </w:trPr>
        <w:tc>
          <w:tcPr>
            <w:tcW w:type="dxa" w:w="2736"/>
            <w:vAlign w:val="top"/>
          </w:tcPr>
          <w:p>
            <w:pPr>
              <w:spacing w:after="20" w:before="0" w:line="240" w:lineRule="auto"/>
            </w:pPr>
            <w:r/>
            <w:r>
              <w:rPr>
                <w:b w:val="0"/>
                <w:i w:val="0"/>
                <w:sz w:val="16"/>
              </w:rPr>
              <w:t>Notch top width (4H:1V)</w:t>
            </w:r>
          </w:p>
        </w:tc>
        <w:tc>
          <w:tcPr>
            <w:tcW w:type="dxa" w:w="3744"/>
            <w:vAlign w:val="top"/>
          </w:tcPr>
          <w:p>
            <w:pPr>
              <w:spacing w:after="20" w:before="0" w:line="240" w:lineRule="auto"/>
            </w:pPr>
            <w:r/>
            <w:r>
              <w:rPr>
                <w:b w:val="0"/>
                <w:i w:val="0"/>
                <w:sz w:val="16"/>
              </w:rPr>
              <w:t>50.0 ft + 2 × 4 × (2,860.30 ft − 2,858.50 ft)</w:t>
            </w:r>
          </w:p>
        </w:tc>
        <w:tc>
          <w:tcPr>
            <w:tcW w:type="dxa" w:w="2880"/>
            <w:vAlign w:val="top"/>
          </w:tcPr>
          <w:p>
            <w:pPr>
              <w:spacing w:after="20" w:before="0" w:line="240" w:lineRule="auto"/>
            </w:pPr>
            <w:r/>
            <w:r>
              <w:rPr>
                <w:b w:val="0"/>
                <w:i w:val="0"/>
                <w:sz w:val="16"/>
              </w:rPr>
              <w:t>64.40 ft</w:t>
            </w:r>
          </w:p>
        </w:tc>
      </w:tr>
      <w:tr>
        <w:trPr>
          <w:cantSplit w:val="true"/>
        </w:trPr>
        <w:tc>
          <w:tcPr>
            <w:tcW w:type="dxa" w:w="2736"/>
            <w:vAlign w:val="top"/>
          </w:tcPr>
          <w:p>
            <w:pPr>
              <w:spacing w:after="20" w:before="0" w:line="240" w:lineRule="auto"/>
            </w:pPr>
            <w:r/>
            <w:r>
              <w:rPr>
                <w:b w:val="0"/>
                <w:i w:val="0"/>
                <w:sz w:val="16"/>
              </w:rPr>
              <w:t>Flow top width at design WS</w:t>
            </w:r>
          </w:p>
        </w:tc>
        <w:tc>
          <w:tcPr>
            <w:tcW w:type="dxa" w:w="3744"/>
            <w:vAlign w:val="top"/>
          </w:tcPr>
          <w:p>
            <w:pPr>
              <w:spacing w:after="20" w:before="0" w:line="240" w:lineRule="auto"/>
            </w:pPr>
            <w:r/>
            <w:r>
              <w:rPr>
                <w:b w:val="0"/>
                <w:i w:val="0"/>
                <w:sz w:val="16"/>
              </w:rPr>
              <w:t>50.0 ft + 2 × 4 × 0.773284 ft</w:t>
            </w:r>
          </w:p>
        </w:tc>
        <w:tc>
          <w:tcPr>
            <w:tcW w:type="dxa" w:w="2880"/>
            <w:vAlign w:val="top"/>
          </w:tcPr>
          <w:p>
            <w:pPr>
              <w:spacing w:after="20" w:before="0" w:line="240" w:lineRule="auto"/>
            </w:pPr>
            <w:r/>
            <w:r>
              <w:rPr>
                <w:b w:val="0"/>
                <w:i w:val="0"/>
                <w:sz w:val="16"/>
              </w:rPr>
              <w:t>56.186276 ft</w:t>
            </w:r>
          </w:p>
        </w:tc>
      </w:tr>
      <w:tr>
        <w:trPr>
          <w:cantSplit w:val="true"/>
        </w:trPr>
        <w:tc>
          <w:tcPr>
            <w:tcW w:type="dxa" w:w="2736"/>
            <w:vAlign w:val="top"/>
          </w:tcPr>
          <w:p>
            <w:pPr>
              <w:spacing w:after="20" w:before="0" w:line="240" w:lineRule="auto"/>
            </w:pPr>
            <w:r/>
            <w:r>
              <w:rPr>
                <w:b w:val="0"/>
                <w:i w:val="0"/>
                <w:sz w:val="16"/>
              </w:rPr>
              <w:t>Unit discharge q</w:t>
            </w:r>
          </w:p>
        </w:tc>
        <w:tc>
          <w:tcPr>
            <w:tcW w:type="dxa" w:w="3744"/>
            <w:vAlign w:val="top"/>
          </w:tcPr>
          <w:p>
            <w:pPr>
              <w:spacing w:after="20" w:before="0" w:line="240" w:lineRule="auto"/>
            </w:pPr>
            <w:r/>
            <w:r>
              <w:rPr>
                <w:b w:val="0"/>
                <w:i w:val="0"/>
                <w:sz w:val="16"/>
              </w:rPr>
              <w:t>88.4 cfs / 50.0 ft</w:t>
            </w:r>
          </w:p>
        </w:tc>
        <w:tc>
          <w:tcPr>
            <w:tcW w:type="dxa" w:w="2880"/>
            <w:vAlign w:val="top"/>
          </w:tcPr>
          <w:p>
            <w:pPr>
              <w:spacing w:after="20" w:before="0" w:line="240" w:lineRule="auto"/>
            </w:pPr>
            <w:r/>
            <w:r>
              <w:rPr>
                <w:b w:val="0"/>
                <w:i w:val="0"/>
                <w:sz w:val="16"/>
              </w:rPr>
              <w:t>1.768 cfs/ft</w:t>
            </w:r>
          </w:p>
        </w:tc>
      </w:tr>
      <w:tr>
        <w:trPr>
          <w:cantSplit w:val="true"/>
        </w:trPr>
        <w:tc>
          <w:tcPr>
            <w:tcW w:type="dxa" w:w="2736"/>
            <w:vAlign w:val="top"/>
          </w:tcPr>
          <w:p>
            <w:pPr>
              <w:spacing w:after="20" w:before="0" w:line="240" w:lineRule="auto"/>
            </w:pPr>
            <w:r/>
            <w:r>
              <w:rPr>
                <w:b w:val="0"/>
                <w:i w:val="0"/>
                <w:sz w:val="16"/>
              </w:rPr>
              <w:t>Critical depth on crest</w:t>
            </w:r>
          </w:p>
        </w:tc>
        <w:tc>
          <w:tcPr>
            <w:tcW w:type="dxa" w:w="3744"/>
            <w:vAlign w:val="top"/>
          </w:tcPr>
          <w:p>
            <w:pPr>
              <w:spacing w:after="20" w:before="0" w:line="240" w:lineRule="auto"/>
            </w:pPr>
            <w:r/>
            <w:r>
              <w:rPr>
                <w:b w:val="0"/>
                <w:i w:val="0"/>
                <w:sz w:val="16"/>
              </w:rPr>
              <w:t>[(1.768 cfs/ft)</w:t>
            </w:r>
            <w:r>
              <w:rPr>
                <w:b w:val="0"/>
                <w:i w:val="0"/>
                <w:sz w:val="16"/>
                <w:vertAlign w:val="superscript"/>
              </w:rPr>
              <w:t>2</w:t>
            </w:r>
            <w:r>
              <w:rPr>
                <w:b w:val="0"/>
                <w:i w:val="0"/>
                <w:sz w:val="16"/>
              </w:rPr>
              <w:t xml:space="preserve"> / 32.2 ft/s</w:t>
            </w:r>
            <w:r>
              <w:rPr>
                <w:b w:val="0"/>
                <w:i w:val="0"/>
                <w:sz w:val="16"/>
                <w:vertAlign w:val="superscript"/>
              </w:rPr>
              <w:t>2</w:t>
            </w:r>
            <w:r>
              <w:rPr>
                <w:b w:val="0"/>
                <w:i w:val="0"/>
                <w:sz w:val="16"/>
              </w:rPr>
              <w:t>]</w:t>
            </w:r>
            <w:r>
              <w:rPr>
                <w:b w:val="0"/>
                <w:i w:val="0"/>
                <w:sz w:val="16"/>
                <w:vertAlign w:val="superscript"/>
              </w:rPr>
              <w:t>1/3</w:t>
            </w:r>
          </w:p>
        </w:tc>
        <w:tc>
          <w:tcPr>
            <w:tcW w:type="dxa" w:w="2880"/>
            <w:vAlign w:val="top"/>
          </w:tcPr>
          <w:p>
            <w:pPr>
              <w:spacing w:after="20" w:before="0" w:line="240" w:lineRule="auto"/>
            </w:pPr>
            <w:r/>
            <w:r>
              <w:rPr>
                <w:b w:val="0"/>
                <w:i w:val="0"/>
                <w:sz w:val="16"/>
              </w:rPr>
              <w:t>0.459589 ft; velocity 3.846916 ft/s</w:t>
            </w:r>
          </w:p>
        </w:tc>
      </w:tr>
    </w:tbl>
    <w:p>
      <w:pPr>
        <w:spacing w:after="40"/>
      </w:pPr>
    </w:p>
    <w:p>
      <w:pPr>
        <w:keepNext/>
      </w:pPr>
      <w:r>
        <w:rPr>
          <w:b w:val="0"/>
          <w:i w:val="0"/>
          <w:sz w:val="19"/>
        </w:rPr>
        <w:t>Rating, rectangular crest only (notch side slopes not counted):</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880"/>
        <w:gridCol w:w="2304"/>
        <w:gridCol w:w="4176"/>
      </w:tblGrid>
      <w:tr>
        <w:trPr>
          <w:tblHeader w:val="true"/>
        </w:trPr>
        <w:tc>
          <w:tcPr>
            <w:tcW w:type="dxa" w:w="2880"/>
            <w:vAlign w:val="top"/>
            <w:shd w:val="clear" w:color="auto" w:fill="D9E2F3"/>
          </w:tcPr>
          <w:p>
            <w:pPr>
              <w:spacing w:after="20" w:before="0" w:line="240" w:lineRule="auto"/>
            </w:pPr>
            <w:r/>
            <w:r>
              <w:rPr>
                <w:b/>
                <w:i w:val="0"/>
                <w:sz w:val="16"/>
              </w:rPr>
              <w:t>Stage (ft)</w:t>
            </w:r>
          </w:p>
        </w:tc>
        <w:tc>
          <w:tcPr>
            <w:tcW w:type="dxa" w:w="2304"/>
            <w:vAlign w:val="top"/>
            <w:shd w:val="clear" w:color="auto" w:fill="D9E2F3"/>
          </w:tcPr>
          <w:p>
            <w:pPr>
              <w:spacing w:after="20" w:before="0" w:line="240" w:lineRule="auto"/>
            </w:pPr>
            <w:r/>
            <w:r>
              <w:rPr>
                <w:b/>
                <w:i w:val="0"/>
                <w:sz w:val="16"/>
              </w:rPr>
              <w:t>H (ft)</w:t>
            </w:r>
          </w:p>
        </w:tc>
        <w:tc>
          <w:tcPr>
            <w:tcW w:type="dxa" w:w="4176"/>
            <w:vAlign w:val="top"/>
            <w:shd w:val="clear" w:color="auto" w:fill="D9E2F3"/>
          </w:tcPr>
          <w:p>
            <w:pPr>
              <w:spacing w:after="20" w:before="0" w:line="240" w:lineRule="auto"/>
            </w:pPr>
            <w:r/>
            <w:r>
              <w:rPr>
                <w:b/>
                <w:i w:val="0"/>
                <w:sz w:val="16"/>
              </w:rPr>
              <w:t>Q = C L H</w:t>
            </w:r>
            <w:r>
              <w:rPr>
                <w:b/>
                <w:i w:val="0"/>
                <w:sz w:val="16"/>
                <w:vertAlign w:val="superscript"/>
              </w:rPr>
              <w:t>1.5</w:t>
            </w:r>
            <w:r>
              <w:rPr>
                <w:b/>
                <w:i w:val="0"/>
                <w:sz w:val="16"/>
              </w:rPr>
              <w:t>, C L = 130.0 ft</w:t>
            </w:r>
            <w:r>
              <w:rPr>
                <w:b/>
                <w:i w:val="0"/>
                <w:sz w:val="16"/>
                <w:vertAlign w:val="superscript"/>
              </w:rPr>
              <w:t>1.5</w:t>
            </w:r>
            <w:r>
              <w:rPr>
                <w:b/>
                <w:i w:val="0"/>
                <w:sz w:val="16"/>
              </w:rPr>
              <w:t>/s (cfs)</w:t>
            </w:r>
          </w:p>
        </w:tc>
      </w:tr>
      <w:tr>
        <w:trPr>
          <w:cantSplit w:val="true"/>
        </w:trPr>
        <w:tc>
          <w:tcPr>
            <w:tcW w:type="dxa" w:w="2880"/>
            <w:vAlign w:val="top"/>
          </w:tcPr>
          <w:p>
            <w:pPr>
              <w:spacing w:after="20" w:before="0" w:line="240" w:lineRule="auto"/>
            </w:pPr>
            <w:r/>
            <w:r>
              <w:rPr>
                <w:b w:val="0"/>
                <w:i w:val="0"/>
                <w:sz w:val="16"/>
              </w:rPr>
              <w:t>2,858.50</w:t>
            </w:r>
          </w:p>
        </w:tc>
        <w:tc>
          <w:tcPr>
            <w:tcW w:type="dxa" w:w="2304"/>
            <w:vAlign w:val="top"/>
          </w:tcPr>
          <w:p>
            <w:pPr>
              <w:spacing w:after="20" w:before="0" w:line="240" w:lineRule="auto"/>
            </w:pPr>
            <w:r/>
            <w:r>
              <w:rPr>
                <w:b w:val="0"/>
                <w:i w:val="0"/>
                <w:sz w:val="16"/>
              </w:rPr>
              <w:t>0.000000</w:t>
            </w:r>
          </w:p>
        </w:tc>
        <w:tc>
          <w:tcPr>
            <w:tcW w:type="dxa" w:w="4176"/>
            <w:vAlign w:val="top"/>
          </w:tcPr>
          <w:p>
            <w:pPr>
              <w:spacing w:after="20" w:before="0" w:line="240" w:lineRule="auto"/>
            </w:pPr>
            <w:r/>
            <w:r>
              <w:rPr>
                <w:b w:val="0"/>
                <w:i w:val="0"/>
                <w:sz w:val="16"/>
              </w:rPr>
              <w:t>0.000000</w:t>
            </w:r>
          </w:p>
        </w:tc>
      </w:tr>
      <w:tr>
        <w:trPr>
          <w:cantSplit w:val="true"/>
        </w:trPr>
        <w:tc>
          <w:tcPr>
            <w:tcW w:type="dxa" w:w="2880"/>
            <w:vAlign w:val="top"/>
          </w:tcPr>
          <w:p>
            <w:pPr>
              <w:spacing w:after="20" w:before="0" w:line="240" w:lineRule="auto"/>
            </w:pPr>
            <w:r/>
            <w:r>
              <w:rPr>
                <w:b w:val="0"/>
                <w:i w:val="0"/>
                <w:sz w:val="16"/>
              </w:rPr>
              <w:t>2,858.75</w:t>
            </w:r>
          </w:p>
        </w:tc>
        <w:tc>
          <w:tcPr>
            <w:tcW w:type="dxa" w:w="2304"/>
            <w:vAlign w:val="top"/>
          </w:tcPr>
          <w:p>
            <w:pPr>
              <w:spacing w:after="20" w:before="0" w:line="240" w:lineRule="auto"/>
            </w:pPr>
            <w:r/>
            <w:r>
              <w:rPr>
                <w:b w:val="0"/>
                <w:i w:val="0"/>
                <w:sz w:val="16"/>
              </w:rPr>
              <w:t>0.250000</w:t>
            </w:r>
          </w:p>
        </w:tc>
        <w:tc>
          <w:tcPr>
            <w:tcW w:type="dxa" w:w="4176"/>
            <w:vAlign w:val="top"/>
          </w:tcPr>
          <w:p>
            <w:pPr>
              <w:spacing w:after="20" w:before="0" w:line="240" w:lineRule="auto"/>
            </w:pPr>
            <w:r/>
            <w:r>
              <w:rPr>
                <w:b w:val="0"/>
                <w:i w:val="0"/>
                <w:sz w:val="16"/>
              </w:rPr>
              <w:t>16.250000</w:t>
            </w:r>
          </w:p>
        </w:tc>
      </w:tr>
      <w:tr>
        <w:trPr>
          <w:cantSplit w:val="true"/>
        </w:trPr>
        <w:tc>
          <w:tcPr>
            <w:tcW w:type="dxa" w:w="2880"/>
            <w:vAlign w:val="top"/>
          </w:tcPr>
          <w:p>
            <w:pPr>
              <w:spacing w:after="20" w:before="0" w:line="240" w:lineRule="auto"/>
            </w:pPr>
            <w:r/>
            <w:r>
              <w:rPr>
                <w:b w:val="0"/>
                <w:i w:val="0"/>
                <w:sz w:val="16"/>
              </w:rPr>
              <w:t>2,859.00</w:t>
            </w:r>
          </w:p>
        </w:tc>
        <w:tc>
          <w:tcPr>
            <w:tcW w:type="dxa" w:w="2304"/>
            <w:vAlign w:val="top"/>
          </w:tcPr>
          <w:p>
            <w:pPr>
              <w:spacing w:after="20" w:before="0" w:line="240" w:lineRule="auto"/>
            </w:pPr>
            <w:r/>
            <w:r>
              <w:rPr>
                <w:b w:val="0"/>
                <w:i w:val="0"/>
                <w:sz w:val="16"/>
              </w:rPr>
              <w:t>0.500000</w:t>
            </w:r>
          </w:p>
        </w:tc>
        <w:tc>
          <w:tcPr>
            <w:tcW w:type="dxa" w:w="4176"/>
            <w:vAlign w:val="top"/>
          </w:tcPr>
          <w:p>
            <w:pPr>
              <w:spacing w:after="20" w:before="0" w:line="240" w:lineRule="auto"/>
            </w:pPr>
            <w:r/>
            <w:r>
              <w:rPr>
                <w:b w:val="0"/>
                <w:i w:val="0"/>
                <w:sz w:val="16"/>
              </w:rPr>
              <w:t>45.961941</w:t>
            </w:r>
          </w:p>
        </w:tc>
      </w:tr>
      <w:tr>
        <w:trPr>
          <w:cantSplit w:val="true"/>
        </w:trPr>
        <w:tc>
          <w:tcPr>
            <w:tcW w:type="dxa" w:w="2880"/>
            <w:vAlign w:val="top"/>
          </w:tcPr>
          <w:p>
            <w:pPr>
              <w:spacing w:after="20" w:before="0" w:line="240" w:lineRule="auto"/>
            </w:pPr>
            <w:r/>
            <w:r>
              <w:rPr>
                <w:b w:val="0"/>
                <w:i w:val="0"/>
                <w:sz w:val="16"/>
              </w:rPr>
              <w:t>2,859.273284</w:t>
            </w:r>
          </w:p>
        </w:tc>
        <w:tc>
          <w:tcPr>
            <w:tcW w:type="dxa" w:w="2304"/>
            <w:vAlign w:val="top"/>
          </w:tcPr>
          <w:p>
            <w:pPr>
              <w:spacing w:after="20" w:before="0" w:line="240" w:lineRule="auto"/>
            </w:pPr>
            <w:r/>
            <w:r>
              <w:rPr>
                <w:b w:val="0"/>
                <w:i w:val="0"/>
                <w:sz w:val="16"/>
              </w:rPr>
              <w:t>0.773284</w:t>
            </w:r>
          </w:p>
        </w:tc>
        <w:tc>
          <w:tcPr>
            <w:tcW w:type="dxa" w:w="4176"/>
            <w:vAlign w:val="top"/>
          </w:tcPr>
          <w:p>
            <w:pPr>
              <w:spacing w:after="20" w:before="0" w:line="240" w:lineRule="auto"/>
            </w:pPr>
            <w:r/>
            <w:r>
              <w:rPr>
                <w:b w:val="0"/>
                <w:i w:val="0"/>
                <w:sz w:val="16"/>
              </w:rPr>
              <w:t>88.400000 (design)</w:t>
            </w:r>
          </w:p>
        </w:tc>
      </w:tr>
      <w:tr>
        <w:trPr>
          <w:cantSplit w:val="true"/>
        </w:trPr>
        <w:tc>
          <w:tcPr>
            <w:tcW w:type="dxa" w:w="2880"/>
            <w:vAlign w:val="top"/>
          </w:tcPr>
          <w:p>
            <w:pPr>
              <w:spacing w:after="20" w:before="0" w:line="240" w:lineRule="auto"/>
            </w:pPr>
            <w:r/>
            <w:r>
              <w:rPr>
                <w:b w:val="0"/>
                <w:i w:val="0"/>
                <w:sz w:val="16"/>
              </w:rPr>
              <w:t>2,859.50</w:t>
            </w:r>
          </w:p>
        </w:tc>
        <w:tc>
          <w:tcPr>
            <w:tcW w:type="dxa" w:w="2304"/>
            <w:vAlign w:val="top"/>
          </w:tcPr>
          <w:p>
            <w:pPr>
              <w:spacing w:after="20" w:before="0" w:line="240" w:lineRule="auto"/>
            </w:pPr>
            <w:r/>
            <w:r>
              <w:rPr>
                <w:b w:val="0"/>
                <w:i w:val="0"/>
                <w:sz w:val="16"/>
              </w:rPr>
              <w:t>1.000000</w:t>
            </w:r>
          </w:p>
        </w:tc>
        <w:tc>
          <w:tcPr>
            <w:tcW w:type="dxa" w:w="4176"/>
            <w:vAlign w:val="top"/>
          </w:tcPr>
          <w:p>
            <w:pPr>
              <w:spacing w:after="20" w:before="0" w:line="240" w:lineRule="auto"/>
            </w:pPr>
            <w:r/>
            <w:r>
              <w:rPr>
                <w:b w:val="0"/>
                <w:i w:val="0"/>
                <w:sz w:val="16"/>
              </w:rPr>
              <w:t>130.000000</w:t>
            </w:r>
          </w:p>
        </w:tc>
      </w:tr>
      <w:tr>
        <w:trPr>
          <w:cantSplit w:val="true"/>
        </w:trPr>
        <w:tc>
          <w:tcPr>
            <w:tcW w:type="dxa" w:w="2880"/>
            <w:vAlign w:val="top"/>
          </w:tcPr>
          <w:p>
            <w:pPr>
              <w:spacing w:after="20" w:before="0" w:line="240" w:lineRule="auto"/>
            </w:pPr>
            <w:r/>
            <w:r>
              <w:rPr>
                <w:b w:val="0"/>
                <w:i w:val="0"/>
                <w:sz w:val="16"/>
              </w:rPr>
              <w:t>2,860.30 (top of berm)</w:t>
            </w:r>
          </w:p>
        </w:tc>
        <w:tc>
          <w:tcPr>
            <w:tcW w:type="dxa" w:w="2304"/>
            <w:vAlign w:val="top"/>
          </w:tcPr>
          <w:p>
            <w:pPr>
              <w:spacing w:after="20" w:before="0" w:line="240" w:lineRule="auto"/>
            </w:pPr>
            <w:r/>
            <w:r>
              <w:rPr>
                <w:b w:val="0"/>
                <w:i w:val="0"/>
                <w:sz w:val="16"/>
              </w:rPr>
              <w:t>1.800000</w:t>
            </w:r>
          </w:p>
        </w:tc>
        <w:tc>
          <w:tcPr>
            <w:tcW w:type="dxa" w:w="4176"/>
            <w:vAlign w:val="top"/>
          </w:tcPr>
          <w:p>
            <w:pPr>
              <w:spacing w:after="20" w:before="0" w:line="240" w:lineRule="auto"/>
            </w:pPr>
            <w:r/>
            <w:r>
              <w:rPr>
                <w:b w:val="0"/>
                <w:i w:val="0"/>
                <w:sz w:val="16"/>
              </w:rPr>
              <w:t>313.943944 (3.551402 × design)</w:t>
            </w:r>
          </w:p>
        </w:tc>
      </w:tr>
    </w:tbl>
    <w:p>
      <w:pPr>
        <w:spacing w:after="40"/>
      </w:pPr>
    </w:p>
    <w:p>
      <w:pPr>
        <w:keepNext/>
      </w:pPr>
      <w:r>
        <w:rPr>
          <w:b w:val="0"/>
          <w:i w:val="0"/>
          <w:sz w:val="19"/>
        </w:rPr>
        <w:t>Required top of berm versus crest length (supports the fit rule in Section 5.5; C = 2.6 ft</w:t>
      </w:r>
      <w:r>
        <w:rPr>
          <w:b w:val="0"/>
          <w:i w:val="0"/>
          <w:sz w:val="19"/>
          <w:vertAlign w:val="superscript"/>
        </w:rPr>
        <w:t>0.5</w:t>
      </w:r>
      <w:r>
        <w:rPr>
          <w:b w:val="0"/>
          <w:i w:val="0"/>
          <w:sz w:val="19"/>
        </w:rPr>
        <w:t>/s, Q = 88.4 cfs):</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448"/>
        <w:gridCol w:w="1728"/>
        <w:gridCol w:w="2304"/>
        <w:gridCol w:w="2880"/>
      </w:tblGrid>
      <w:tr>
        <w:trPr>
          <w:tblHeader w:val="true"/>
        </w:trPr>
        <w:tc>
          <w:tcPr>
            <w:tcW w:type="dxa" w:w="2448"/>
            <w:vAlign w:val="top"/>
            <w:shd w:val="clear" w:color="auto" w:fill="D9E2F3"/>
          </w:tcPr>
          <w:p>
            <w:pPr>
              <w:spacing w:after="20" w:before="0" w:line="240" w:lineRule="auto"/>
            </w:pPr>
            <w:r/>
            <w:r>
              <w:rPr>
                <w:b/>
                <w:i w:val="0"/>
                <w:sz w:val="16"/>
              </w:rPr>
              <w:t>Crest length L (ft)</w:t>
            </w:r>
          </w:p>
        </w:tc>
        <w:tc>
          <w:tcPr>
            <w:tcW w:type="dxa" w:w="1728"/>
            <w:vAlign w:val="top"/>
            <w:shd w:val="clear" w:color="auto" w:fill="D9E2F3"/>
          </w:tcPr>
          <w:p>
            <w:pPr>
              <w:spacing w:after="20" w:before="0" w:line="240" w:lineRule="auto"/>
            </w:pPr>
            <w:r/>
            <w:r>
              <w:rPr>
                <w:b/>
                <w:i w:val="0"/>
                <w:sz w:val="16"/>
              </w:rPr>
              <w:t>H (ft)</w:t>
            </w:r>
          </w:p>
        </w:tc>
        <w:tc>
          <w:tcPr>
            <w:tcW w:type="dxa" w:w="2304"/>
            <w:vAlign w:val="top"/>
            <w:shd w:val="clear" w:color="auto" w:fill="D9E2F3"/>
          </w:tcPr>
          <w:p>
            <w:pPr>
              <w:spacing w:after="20" w:before="0" w:line="240" w:lineRule="auto"/>
            </w:pPr>
            <w:r/>
            <w:r>
              <w:rPr>
                <w:b/>
                <w:i w:val="0"/>
                <w:sz w:val="16"/>
              </w:rPr>
              <w:t>Design WS (ft)</w:t>
            </w:r>
          </w:p>
        </w:tc>
        <w:tc>
          <w:tcPr>
            <w:tcW w:type="dxa" w:w="2880"/>
            <w:vAlign w:val="top"/>
            <w:shd w:val="clear" w:color="auto" w:fill="D9E2F3"/>
          </w:tcPr>
          <w:p>
            <w:pPr>
              <w:spacing w:after="20" w:before="0" w:line="240" w:lineRule="auto"/>
            </w:pPr>
            <w:r/>
            <w:r>
              <w:rPr>
                <w:b/>
                <w:i w:val="0"/>
                <w:sz w:val="16"/>
              </w:rPr>
              <w:t>Required top of berm (ft)</w:t>
            </w:r>
          </w:p>
        </w:tc>
      </w:tr>
      <w:tr>
        <w:trPr>
          <w:cantSplit w:val="true"/>
        </w:trPr>
        <w:tc>
          <w:tcPr>
            <w:tcW w:type="dxa" w:w="2448"/>
            <w:vAlign w:val="top"/>
          </w:tcPr>
          <w:p>
            <w:pPr>
              <w:spacing w:after="20" w:before="0" w:line="240" w:lineRule="auto"/>
            </w:pPr>
            <w:r/>
            <w:r>
              <w:rPr>
                <w:b w:val="0"/>
                <w:i w:val="0"/>
                <w:sz w:val="16"/>
              </w:rPr>
              <w:t>20.0 (as drawn)</w:t>
            </w:r>
          </w:p>
        </w:tc>
        <w:tc>
          <w:tcPr>
            <w:tcW w:type="dxa" w:w="1728"/>
            <w:vAlign w:val="top"/>
          </w:tcPr>
          <w:p>
            <w:pPr>
              <w:spacing w:after="20" w:before="0" w:line="240" w:lineRule="auto"/>
            </w:pPr>
            <w:r/>
            <w:r>
              <w:rPr>
                <w:b w:val="0"/>
                <w:i w:val="0"/>
                <w:sz w:val="16"/>
              </w:rPr>
              <w:t>1.424402</w:t>
            </w:r>
          </w:p>
        </w:tc>
        <w:tc>
          <w:tcPr>
            <w:tcW w:type="dxa" w:w="2304"/>
            <w:vAlign w:val="top"/>
          </w:tcPr>
          <w:p>
            <w:pPr>
              <w:spacing w:after="20" w:before="0" w:line="240" w:lineRule="auto"/>
            </w:pPr>
            <w:r/>
            <w:r>
              <w:rPr>
                <w:b w:val="0"/>
                <w:i w:val="0"/>
                <w:sz w:val="16"/>
              </w:rPr>
              <w:t>2,859.924402</w:t>
            </w:r>
          </w:p>
        </w:tc>
        <w:tc>
          <w:tcPr>
            <w:tcW w:type="dxa" w:w="2880"/>
            <w:vAlign w:val="top"/>
          </w:tcPr>
          <w:p>
            <w:pPr>
              <w:spacing w:after="20" w:before="0" w:line="240" w:lineRule="auto"/>
            </w:pPr>
            <w:r/>
            <w:r>
              <w:rPr>
                <w:b w:val="0"/>
                <w:i w:val="0"/>
                <w:sz w:val="16"/>
              </w:rPr>
              <w:t>2,860.924402</w:t>
            </w:r>
          </w:p>
        </w:tc>
      </w:tr>
      <w:tr>
        <w:trPr>
          <w:cantSplit w:val="true"/>
        </w:trPr>
        <w:tc>
          <w:tcPr>
            <w:tcW w:type="dxa" w:w="2448"/>
            <w:vAlign w:val="top"/>
          </w:tcPr>
          <w:p>
            <w:pPr>
              <w:spacing w:after="20" w:before="0" w:line="240" w:lineRule="auto"/>
            </w:pPr>
            <w:r/>
            <w:r>
              <w:rPr>
                <w:b w:val="0"/>
                <w:i w:val="0"/>
                <w:sz w:val="16"/>
              </w:rPr>
              <w:t>30.0</w:t>
            </w:r>
          </w:p>
        </w:tc>
        <w:tc>
          <w:tcPr>
            <w:tcW w:type="dxa" w:w="1728"/>
            <w:vAlign w:val="top"/>
          </w:tcPr>
          <w:p>
            <w:pPr>
              <w:spacing w:after="20" w:before="0" w:line="240" w:lineRule="auto"/>
            </w:pPr>
            <w:r/>
            <w:r>
              <w:rPr>
                <w:b w:val="0"/>
                <w:i w:val="0"/>
                <w:sz w:val="16"/>
              </w:rPr>
              <w:t>1.087022</w:t>
            </w:r>
          </w:p>
        </w:tc>
        <w:tc>
          <w:tcPr>
            <w:tcW w:type="dxa" w:w="2304"/>
            <w:vAlign w:val="top"/>
          </w:tcPr>
          <w:p>
            <w:pPr>
              <w:spacing w:after="20" w:before="0" w:line="240" w:lineRule="auto"/>
            </w:pPr>
            <w:r/>
            <w:r>
              <w:rPr>
                <w:b w:val="0"/>
                <w:i w:val="0"/>
                <w:sz w:val="16"/>
              </w:rPr>
              <w:t>2,859.587022</w:t>
            </w:r>
          </w:p>
        </w:tc>
        <w:tc>
          <w:tcPr>
            <w:tcW w:type="dxa" w:w="2880"/>
            <w:vAlign w:val="top"/>
          </w:tcPr>
          <w:p>
            <w:pPr>
              <w:spacing w:after="20" w:before="0" w:line="240" w:lineRule="auto"/>
            </w:pPr>
            <w:r/>
            <w:r>
              <w:rPr>
                <w:b w:val="0"/>
                <w:i w:val="0"/>
                <w:sz w:val="16"/>
              </w:rPr>
              <w:t>2,860.587022</w:t>
            </w:r>
          </w:p>
        </w:tc>
      </w:tr>
      <w:tr>
        <w:trPr>
          <w:cantSplit w:val="true"/>
        </w:trPr>
        <w:tc>
          <w:tcPr>
            <w:tcW w:type="dxa" w:w="2448"/>
            <w:vAlign w:val="top"/>
          </w:tcPr>
          <w:p>
            <w:pPr>
              <w:spacing w:after="20" w:before="0" w:line="240" w:lineRule="auto"/>
            </w:pPr>
            <w:r/>
            <w:r>
              <w:rPr>
                <w:b w:val="0"/>
                <w:i w:val="0"/>
                <w:sz w:val="16"/>
              </w:rPr>
              <w:t>40.0</w:t>
            </w:r>
          </w:p>
        </w:tc>
        <w:tc>
          <w:tcPr>
            <w:tcW w:type="dxa" w:w="1728"/>
            <w:vAlign w:val="top"/>
          </w:tcPr>
          <w:p>
            <w:pPr>
              <w:spacing w:after="20" w:before="0" w:line="240" w:lineRule="auto"/>
            </w:pPr>
            <w:r/>
            <w:r>
              <w:rPr>
                <w:b w:val="0"/>
                <w:i w:val="0"/>
                <w:sz w:val="16"/>
              </w:rPr>
              <w:t>0.897317</w:t>
            </w:r>
          </w:p>
        </w:tc>
        <w:tc>
          <w:tcPr>
            <w:tcW w:type="dxa" w:w="2304"/>
            <w:vAlign w:val="top"/>
          </w:tcPr>
          <w:p>
            <w:pPr>
              <w:spacing w:after="20" w:before="0" w:line="240" w:lineRule="auto"/>
            </w:pPr>
            <w:r/>
            <w:r>
              <w:rPr>
                <w:b w:val="0"/>
                <w:i w:val="0"/>
                <w:sz w:val="16"/>
              </w:rPr>
              <w:t>2,859.397317</w:t>
            </w:r>
          </w:p>
        </w:tc>
        <w:tc>
          <w:tcPr>
            <w:tcW w:type="dxa" w:w="2880"/>
            <w:vAlign w:val="top"/>
          </w:tcPr>
          <w:p>
            <w:pPr>
              <w:spacing w:after="20" w:before="0" w:line="240" w:lineRule="auto"/>
            </w:pPr>
            <w:r/>
            <w:r>
              <w:rPr>
                <w:b w:val="0"/>
                <w:i w:val="0"/>
                <w:sz w:val="16"/>
              </w:rPr>
              <w:t>2,860.397317</w:t>
            </w:r>
          </w:p>
        </w:tc>
      </w:tr>
      <w:tr>
        <w:trPr>
          <w:cantSplit w:val="true"/>
        </w:trPr>
        <w:tc>
          <w:tcPr>
            <w:tcW w:type="dxa" w:w="2448"/>
            <w:vAlign w:val="top"/>
          </w:tcPr>
          <w:p>
            <w:pPr>
              <w:spacing w:after="20" w:before="0" w:line="240" w:lineRule="auto"/>
            </w:pPr>
            <w:r/>
            <w:r>
              <w:rPr>
                <w:b w:val="0"/>
                <w:i w:val="0"/>
                <w:sz w:val="16"/>
              </w:rPr>
              <w:t>50.0 (adopted)</w:t>
            </w:r>
          </w:p>
        </w:tc>
        <w:tc>
          <w:tcPr>
            <w:tcW w:type="dxa" w:w="1728"/>
            <w:vAlign w:val="top"/>
          </w:tcPr>
          <w:p>
            <w:pPr>
              <w:spacing w:after="20" w:before="0" w:line="240" w:lineRule="auto"/>
            </w:pPr>
            <w:r/>
            <w:r>
              <w:rPr>
                <w:b w:val="0"/>
                <w:i w:val="0"/>
                <w:sz w:val="16"/>
              </w:rPr>
              <w:t>0.773284</w:t>
            </w:r>
          </w:p>
        </w:tc>
        <w:tc>
          <w:tcPr>
            <w:tcW w:type="dxa" w:w="2304"/>
            <w:vAlign w:val="top"/>
          </w:tcPr>
          <w:p>
            <w:pPr>
              <w:spacing w:after="20" w:before="0" w:line="240" w:lineRule="auto"/>
            </w:pPr>
            <w:r/>
            <w:r>
              <w:rPr>
                <w:b w:val="0"/>
                <w:i w:val="0"/>
                <w:sz w:val="16"/>
              </w:rPr>
              <w:t>2,859.273284</w:t>
            </w:r>
          </w:p>
        </w:tc>
        <w:tc>
          <w:tcPr>
            <w:tcW w:type="dxa" w:w="2880"/>
            <w:vAlign w:val="top"/>
          </w:tcPr>
          <w:p>
            <w:pPr>
              <w:spacing w:after="20" w:before="0" w:line="240" w:lineRule="auto"/>
            </w:pPr>
            <w:r/>
            <w:r>
              <w:rPr>
                <w:b w:val="0"/>
                <w:i w:val="0"/>
                <w:sz w:val="16"/>
              </w:rPr>
              <w:t>2,860.273284 → 2,860.30</w:t>
            </w:r>
          </w:p>
        </w:tc>
      </w:tr>
      <w:tr>
        <w:trPr>
          <w:cantSplit w:val="true"/>
        </w:trPr>
        <w:tc>
          <w:tcPr>
            <w:tcW w:type="dxa" w:w="2448"/>
            <w:vAlign w:val="top"/>
          </w:tcPr>
          <w:p>
            <w:pPr>
              <w:spacing w:after="20" w:before="0" w:line="240" w:lineRule="auto"/>
            </w:pPr>
            <w:r/>
            <w:r>
              <w:rPr>
                <w:b w:val="0"/>
                <w:i w:val="0"/>
                <w:sz w:val="16"/>
              </w:rPr>
              <w:t>60.0</w:t>
            </w:r>
          </w:p>
        </w:tc>
        <w:tc>
          <w:tcPr>
            <w:tcW w:type="dxa" w:w="1728"/>
            <w:vAlign w:val="top"/>
          </w:tcPr>
          <w:p>
            <w:pPr>
              <w:spacing w:after="20" w:before="0" w:line="240" w:lineRule="auto"/>
            </w:pPr>
            <w:r/>
            <w:r>
              <w:rPr>
                <w:b w:val="0"/>
                <w:i w:val="0"/>
                <w:sz w:val="16"/>
              </w:rPr>
              <w:t>0.684781</w:t>
            </w:r>
          </w:p>
        </w:tc>
        <w:tc>
          <w:tcPr>
            <w:tcW w:type="dxa" w:w="2304"/>
            <w:vAlign w:val="top"/>
          </w:tcPr>
          <w:p>
            <w:pPr>
              <w:spacing w:after="20" w:before="0" w:line="240" w:lineRule="auto"/>
            </w:pPr>
            <w:r/>
            <w:r>
              <w:rPr>
                <w:b w:val="0"/>
                <w:i w:val="0"/>
                <w:sz w:val="16"/>
              </w:rPr>
              <w:t>2,859.184781</w:t>
            </w:r>
          </w:p>
        </w:tc>
        <w:tc>
          <w:tcPr>
            <w:tcW w:type="dxa" w:w="2880"/>
            <w:vAlign w:val="top"/>
          </w:tcPr>
          <w:p>
            <w:pPr>
              <w:spacing w:after="20" w:before="0" w:line="240" w:lineRule="auto"/>
            </w:pPr>
            <w:r/>
            <w:r>
              <w:rPr>
                <w:b w:val="0"/>
                <w:i w:val="0"/>
                <w:sz w:val="16"/>
              </w:rPr>
              <w:t>2,860.184781</w:t>
            </w:r>
          </w:p>
        </w:tc>
      </w:tr>
      <w:tr>
        <w:trPr>
          <w:cantSplit w:val="true"/>
        </w:trPr>
        <w:tc>
          <w:tcPr>
            <w:tcW w:type="dxa" w:w="2448"/>
            <w:vAlign w:val="top"/>
          </w:tcPr>
          <w:p>
            <w:pPr>
              <w:spacing w:after="20" w:before="0" w:line="240" w:lineRule="auto"/>
            </w:pPr>
            <w:r/>
            <w:r>
              <w:rPr>
                <w:b w:val="0"/>
                <w:i w:val="0"/>
                <w:sz w:val="16"/>
              </w:rPr>
              <w:t>80.0</w:t>
            </w:r>
          </w:p>
        </w:tc>
        <w:tc>
          <w:tcPr>
            <w:tcW w:type="dxa" w:w="1728"/>
            <w:vAlign w:val="top"/>
          </w:tcPr>
          <w:p>
            <w:pPr>
              <w:spacing w:after="20" w:before="0" w:line="240" w:lineRule="auto"/>
            </w:pPr>
            <w:r/>
            <w:r>
              <w:rPr>
                <w:b w:val="0"/>
                <w:i w:val="0"/>
                <w:sz w:val="16"/>
              </w:rPr>
              <w:t>0.565274</w:t>
            </w:r>
          </w:p>
        </w:tc>
        <w:tc>
          <w:tcPr>
            <w:tcW w:type="dxa" w:w="2304"/>
            <w:vAlign w:val="top"/>
          </w:tcPr>
          <w:p>
            <w:pPr>
              <w:spacing w:after="20" w:before="0" w:line="240" w:lineRule="auto"/>
            </w:pPr>
            <w:r/>
            <w:r>
              <w:rPr>
                <w:b w:val="0"/>
                <w:i w:val="0"/>
                <w:sz w:val="16"/>
              </w:rPr>
              <w:t>2,859.065274</w:t>
            </w:r>
          </w:p>
        </w:tc>
        <w:tc>
          <w:tcPr>
            <w:tcW w:type="dxa" w:w="2880"/>
            <w:vAlign w:val="top"/>
          </w:tcPr>
          <w:p>
            <w:pPr>
              <w:spacing w:after="20" w:before="0" w:line="240" w:lineRule="auto"/>
            </w:pPr>
            <w:r/>
            <w:r>
              <w:rPr>
                <w:b w:val="0"/>
                <w:i w:val="0"/>
                <w:sz w:val="16"/>
              </w:rPr>
              <w:t>2,860.065274</w:t>
            </w:r>
          </w:p>
        </w:tc>
      </w:tr>
      <w:tr>
        <w:trPr>
          <w:cantSplit w:val="true"/>
        </w:trPr>
        <w:tc>
          <w:tcPr>
            <w:tcW w:type="dxa" w:w="2448"/>
            <w:vAlign w:val="top"/>
          </w:tcPr>
          <w:p>
            <w:pPr>
              <w:spacing w:after="20" w:before="0" w:line="240" w:lineRule="auto"/>
            </w:pPr>
            <w:r/>
            <w:r>
              <w:rPr>
                <w:b w:val="0"/>
                <w:i w:val="0"/>
                <w:sz w:val="16"/>
              </w:rPr>
              <w:t>100.0</w:t>
            </w:r>
          </w:p>
        </w:tc>
        <w:tc>
          <w:tcPr>
            <w:tcW w:type="dxa" w:w="1728"/>
            <w:vAlign w:val="top"/>
          </w:tcPr>
          <w:p>
            <w:pPr>
              <w:spacing w:after="20" w:before="0" w:line="240" w:lineRule="auto"/>
            </w:pPr>
            <w:r/>
            <w:r>
              <w:rPr>
                <w:b w:val="0"/>
                <w:i w:val="0"/>
                <w:sz w:val="16"/>
              </w:rPr>
              <w:t>0.487139</w:t>
            </w:r>
          </w:p>
        </w:tc>
        <w:tc>
          <w:tcPr>
            <w:tcW w:type="dxa" w:w="2304"/>
            <w:vAlign w:val="top"/>
          </w:tcPr>
          <w:p>
            <w:pPr>
              <w:spacing w:after="20" w:before="0" w:line="240" w:lineRule="auto"/>
            </w:pPr>
            <w:r/>
            <w:r>
              <w:rPr>
                <w:b w:val="0"/>
                <w:i w:val="0"/>
                <w:sz w:val="16"/>
              </w:rPr>
              <w:t>2,858.987139</w:t>
            </w:r>
          </w:p>
        </w:tc>
        <w:tc>
          <w:tcPr>
            <w:tcW w:type="dxa" w:w="2880"/>
            <w:vAlign w:val="top"/>
          </w:tcPr>
          <w:p>
            <w:pPr>
              <w:spacing w:after="20" w:before="0" w:line="240" w:lineRule="auto"/>
            </w:pPr>
            <w:r/>
            <w:r>
              <w:rPr>
                <w:b w:val="0"/>
                <w:i w:val="0"/>
                <w:sz w:val="16"/>
              </w:rPr>
              <w:t>2,859.987139</w:t>
            </w:r>
          </w:p>
        </w:tc>
      </w:tr>
      <w:tr>
        <w:trPr>
          <w:cantSplit w:val="true"/>
        </w:trPr>
        <w:tc>
          <w:tcPr>
            <w:tcW w:type="dxa" w:w="2448"/>
            <w:vAlign w:val="top"/>
          </w:tcPr>
          <w:p>
            <w:pPr>
              <w:spacing w:after="20" w:before="0" w:line="240" w:lineRule="auto"/>
            </w:pPr>
            <w:r/>
            <w:r>
              <w:rPr>
                <w:b w:val="0"/>
                <w:i w:val="0"/>
                <w:sz w:val="16"/>
              </w:rPr>
              <w:t>Limit, L → ∞</w:t>
            </w:r>
          </w:p>
        </w:tc>
        <w:tc>
          <w:tcPr>
            <w:tcW w:type="dxa" w:w="1728"/>
            <w:vAlign w:val="top"/>
          </w:tcPr>
          <w:p>
            <w:pPr>
              <w:spacing w:after="20" w:before="0" w:line="240" w:lineRule="auto"/>
            </w:pPr>
            <w:r/>
            <w:r>
              <w:rPr>
                <w:b w:val="0"/>
                <w:i w:val="0"/>
                <w:sz w:val="16"/>
              </w:rPr>
              <w:t>0.000000</w:t>
            </w:r>
          </w:p>
        </w:tc>
        <w:tc>
          <w:tcPr>
            <w:tcW w:type="dxa" w:w="2304"/>
            <w:vAlign w:val="top"/>
          </w:tcPr>
          <w:p>
            <w:pPr>
              <w:spacing w:after="20" w:before="0" w:line="240" w:lineRule="auto"/>
            </w:pPr>
            <w:r/>
            <w:r>
              <w:rPr>
                <w:b w:val="0"/>
                <w:i w:val="0"/>
                <w:sz w:val="16"/>
              </w:rPr>
              <w:t>2,858.50</w:t>
            </w:r>
          </w:p>
        </w:tc>
        <w:tc>
          <w:tcPr>
            <w:tcW w:type="dxa" w:w="2880"/>
            <w:vAlign w:val="top"/>
          </w:tcPr>
          <w:p>
            <w:pPr>
              <w:spacing w:after="20" w:before="0" w:line="240" w:lineRule="auto"/>
            </w:pPr>
            <w:r/>
            <w:r>
              <w:rPr>
                <w:b w:val="0"/>
                <w:i w:val="0"/>
                <w:sz w:val="16"/>
              </w:rPr>
              <w:t>2,859.50</w:t>
            </w:r>
          </w:p>
        </w:tc>
      </w:tr>
    </w:tbl>
    <w:p>
      <w:pPr>
        <w:spacing w:after="40"/>
      </w:pPr>
    </w:p>
    <w:p>
      <w:pPr>
        <w:keepNext/>
        <w:spacing w:after="40" w:before="80"/>
      </w:pPr>
      <w:r>
        <w:rPr>
          <w:b/>
          <w:i w:val="0"/>
          <w:sz w:val="20"/>
        </w:rPr>
        <w:t>A-5  Apron geometry as drawn  (inputs: C-9 apron and crest; C-6 exterior slope 3H:1V)</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736"/>
        <w:gridCol w:w="3456"/>
        <w:gridCol w:w="3168"/>
      </w:tblGrid>
      <w:tr>
        <w:trPr>
          <w:tblHeader w:val="true"/>
        </w:trPr>
        <w:tc>
          <w:tcPr>
            <w:tcW w:type="dxa" w:w="2736"/>
            <w:vAlign w:val="top"/>
            <w:shd w:val="clear" w:color="auto" w:fill="D9E2F3"/>
          </w:tcPr>
          <w:p>
            <w:pPr>
              <w:spacing w:after="20" w:before="0" w:line="240" w:lineRule="auto"/>
            </w:pPr>
            <w:r/>
            <w:r>
              <w:rPr>
                <w:b/>
                <w:i w:val="0"/>
                <w:sz w:val="16"/>
              </w:rPr>
              <w:t>Step</w:t>
            </w:r>
          </w:p>
        </w:tc>
        <w:tc>
          <w:tcPr>
            <w:tcW w:type="dxa" w:w="3456"/>
            <w:vAlign w:val="top"/>
            <w:shd w:val="clear" w:color="auto" w:fill="D9E2F3"/>
          </w:tcPr>
          <w:p>
            <w:pPr>
              <w:spacing w:after="20" w:before="0" w:line="240" w:lineRule="auto"/>
            </w:pPr>
            <w:r/>
            <w:r>
              <w:rPr>
                <w:b/>
                <w:i w:val="0"/>
                <w:sz w:val="16"/>
              </w:rPr>
              <w:t>Computation</w:t>
            </w:r>
          </w:p>
        </w:tc>
        <w:tc>
          <w:tcPr>
            <w:tcW w:type="dxa" w:w="3168"/>
            <w:vAlign w:val="top"/>
            <w:shd w:val="clear" w:color="auto" w:fill="D9E2F3"/>
          </w:tcPr>
          <w:p>
            <w:pPr>
              <w:spacing w:after="20" w:before="0" w:line="240" w:lineRule="auto"/>
            </w:pPr>
            <w:r/>
            <w:r>
              <w:rPr>
                <w:b/>
                <w:i w:val="0"/>
                <w:sz w:val="16"/>
              </w:rPr>
              <w:t>Result</w:t>
            </w:r>
          </w:p>
        </w:tc>
      </w:tr>
      <w:tr>
        <w:trPr>
          <w:cantSplit w:val="true"/>
        </w:trPr>
        <w:tc>
          <w:tcPr>
            <w:tcW w:type="dxa" w:w="2736"/>
            <w:vAlign w:val="top"/>
          </w:tcPr>
          <w:p>
            <w:pPr>
              <w:spacing w:after="20" w:before="0" w:line="240" w:lineRule="auto"/>
            </w:pPr>
            <w:r/>
            <w:r>
              <w:rPr>
                <w:b w:val="0"/>
                <w:i w:val="0"/>
                <w:sz w:val="16"/>
              </w:rPr>
              <w:t>Fall, crest to natural grade</w:t>
            </w:r>
          </w:p>
        </w:tc>
        <w:tc>
          <w:tcPr>
            <w:tcW w:type="dxa" w:w="3456"/>
            <w:vAlign w:val="top"/>
          </w:tcPr>
          <w:p>
            <w:pPr>
              <w:spacing w:after="20" w:before="0" w:line="240" w:lineRule="auto"/>
            </w:pPr>
            <w:r/>
            <w:r>
              <w:rPr>
                <w:b w:val="0"/>
                <w:i w:val="0"/>
                <w:sz w:val="16"/>
              </w:rPr>
              <w:t>2,858.50 ft − 2,853.00 ft</w:t>
            </w:r>
          </w:p>
        </w:tc>
        <w:tc>
          <w:tcPr>
            <w:tcW w:type="dxa" w:w="3168"/>
            <w:vAlign w:val="top"/>
          </w:tcPr>
          <w:p>
            <w:pPr>
              <w:spacing w:after="20" w:before="0" w:line="240" w:lineRule="auto"/>
            </w:pPr>
            <w:r/>
            <w:r>
              <w:rPr>
                <w:b w:val="0"/>
                <w:i w:val="0"/>
                <w:sz w:val="16"/>
              </w:rPr>
              <w:t>5.50 ft</w:t>
            </w:r>
          </w:p>
        </w:tc>
      </w:tr>
      <w:tr>
        <w:trPr>
          <w:cantSplit w:val="true"/>
        </w:trPr>
        <w:tc>
          <w:tcPr>
            <w:tcW w:type="dxa" w:w="2736"/>
            <w:vAlign w:val="top"/>
          </w:tcPr>
          <w:p>
            <w:pPr>
              <w:spacing w:after="20" w:before="0" w:line="240" w:lineRule="auto"/>
            </w:pPr>
            <w:r/>
            <w:r>
              <w:rPr>
                <w:b w:val="0"/>
                <w:i w:val="0"/>
                <w:sz w:val="16"/>
              </w:rPr>
              <w:t>Horizontal run at 3H:1V</w:t>
            </w:r>
          </w:p>
        </w:tc>
        <w:tc>
          <w:tcPr>
            <w:tcW w:type="dxa" w:w="3456"/>
            <w:vAlign w:val="top"/>
          </w:tcPr>
          <w:p>
            <w:pPr>
              <w:spacing w:after="20" w:before="0" w:line="240" w:lineRule="auto"/>
            </w:pPr>
            <w:r/>
            <w:r>
              <w:rPr>
                <w:b w:val="0"/>
                <w:i w:val="0"/>
                <w:sz w:val="16"/>
              </w:rPr>
              <w:t>3 × 5.50 ft</w:t>
            </w:r>
          </w:p>
        </w:tc>
        <w:tc>
          <w:tcPr>
            <w:tcW w:type="dxa" w:w="3168"/>
            <w:vAlign w:val="top"/>
          </w:tcPr>
          <w:p>
            <w:pPr>
              <w:spacing w:after="20" w:before="0" w:line="240" w:lineRule="auto"/>
            </w:pPr>
            <w:r/>
            <w:r>
              <w:rPr>
                <w:b w:val="0"/>
                <w:i w:val="0"/>
                <w:sz w:val="16"/>
              </w:rPr>
              <w:t>16.50 ft</w:t>
            </w:r>
          </w:p>
        </w:tc>
      </w:tr>
      <w:tr>
        <w:trPr>
          <w:cantSplit w:val="true"/>
        </w:trPr>
        <w:tc>
          <w:tcPr>
            <w:tcW w:type="dxa" w:w="2736"/>
            <w:vAlign w:val="top"/>
          </w:tcPr>
          <w:p>
            <w:pPr>
              <w:spacing w:after="20" w:before="0" w:line="240" w:lineRule="auto"/>
            </w:pPr>
            <w:r/>
            <w:r>
              <w:rPr>
                <w:b w:val="0"/>
                <w:i w:val="0"/>
                <w:sz w:val="16"/>
              </w:rPr>
              <w:t>Slope length</w:t>
            </w:r>
          </w:p>
        </w:tc>
        <w:tc>
          <w:tcPr>
            <w:tcW w:type="dxa" w:w="3456"/>
            <w:vAlign w:val="top"/>
          </w:tcPr>
          <w:p>
            <w:pPr>
              <w:spacing w:after="20" w:before="0" w:line="240" w:lineRule="auto"/>
            </w:pPr>
            <w:r/>
            <w:r>
              <w:rPr>
                <w:b w:val="0"/>
                <w:i w:val="0"/>
                <w:sz w:val="16"/>
              </w:rPr>
              <w:t>5.50 ft × 10</w:t>
            </w:r>
            <w:r>
              <w:rPr>
                <w:b w:val="0"/>
                <w:i w:val="0"/>
                <w:sz w:val="16"/>
                <w:vertAlign w:val="superscript"/>
              </w:rPr>
              <w:t>0.5</w:t>
            </w:r>
          </w:p>
        </w:tc>
        <w:tc>
          <w:tcPr>
            <w:tcW w:type="dxa" w:w="3168"/>
            <w:vAlign w:val="top"/>
          </w:tcPr>
          <w:p>
            <w:pPr>
              <w:spacing w:after="20" w:before="0" w:line="240" w:lineRule="auto"/>
            </w:pPr>
            <w:r/>
            <w:r>
              <w:rPr>
                <w:b w:val="0"/>
                <w:i w:val="0"/>
                <w:sz w:val="16"/>
              </w:rPr>
              <w:t>17.392527 ft</w:t>
            </w:r>
          </w:p>
        </w:tc>
      </w:tr>
      <w:tr>
        <w:trPr>
          <w:cantSplit w:val="true"/>
        </w:trPr>
        <w:tc>
          <w:tcPr>
            <w:tcW w:type="dxa" w:w="2736"/>
            <w:vAlign w:val="top"/>
          </w:tcPr>
          <w:p>
            <w:pPr>
              <w:spacing w:after="20" w:before="0" w:line="240" w:lineRule="auto"/>
            </w:pPr>
            <w:r/>
            <w:r>
              <w:rPr>
                <w:b w:val="0"/>
                <w:i w:val="0"/>
                <w:sz w:val="16"/>
              </w:rPr>
              <w:t>Shortfall of 15-ft apron</w:t>
            </w:r>
          </w:p>
        </w:tc>
        <w:tc>
          <w:tcPr>
            <w:tcW w:type="dxa" w:w="3456"/>
            <w:vAlign w:val="top"/>
          </w:tcPr>
          <w:p>
            <w:pPr>
              <w:spacing w:after="20" w:before="0" w:line="240" w:lineRule="auto"/>
            </w:pPr>
            <w:r/>
            <w:r>
              <w:rPr>
                <w:b w:val="0"/>
                <w:i w:val="0"/>
                <w:sz w:val="16"/>
              </w:rPr>
              <w:t>16.50 ft − 15.0 ft; 17.392527 ft − 15.0 ft</w:t>
            </w:r>
          </w:p>
        </w:tc>
        <w:tc>
          <w:tcPr>
            <w:tcW w:type="dxa" w:w="3168"/>
            <w:vAlign w:val="top"/>
          </w:tcPr>
          <w:p>
            <w:pPr>
              <w:spacing w:after="20" w:before="0" w:line="240" w:lineRule="auto"/>
            </w:pPr>
            <w:r/>
            <w:r>
              <w:rPr>
                <w:b w:val="0"/>
                <w:i w:val="0"/>
                <w:sz w:val="16"/>
              </w:rPr>
              <w:t>1.50 ft horizontal; 2.392527 ft along slope</w:t>
            </w:r>
          </w:p>
        </w:tc>
      </w:tr>
    </w:tbl>
    <w:p>
      <w:pPr>
        <w:spacing w:after="40"/>
      </w:pPr>
    </w:p>
    <w:p>
      <w:pPr>
        <w:keepNext/>
        <w:spacing w:after="40" w:before="80"/>
      </w:pPr>
      <w:r>
        <w:rPr>
          <w:b/>
          <w:i w:val="0"/>
          <w:sz w:val="20"/>
        </w:rPr>
        <w:t>A-6  C-9 outlet orifice versus MDS App. D-2</w:t>
      </w:r>
    </w:p>
    <w:p>
      <w:r>
        <w:rPr>
          <w:b w:val="0"/>
          <w:i w:val="0"/>
          <w:sz w:val="19"/>
        </w:rPr>
        <w:t>Q = C</w:t>
      </w:r>
      <w:r>
        <w:rPr>
          <w:b w:val="0"/>
          <w:i w:val="0"/>
          <w:sz w:val="19"/>
          <w:vertAlign w:val="subscript"/>
        </w:rPr>
        <w:t>d</w:t>
      </w:r>
      <w:r>
        <w:rPr>
          <w:b w:val="0"/>
          <w:i w:val="0"/>
          <w:sz w:val="19"/>
        </w:rPr>
        <w:t xml:space="preserve"> A (2 g h)</w:t>
      </w:r>
      <w:r>
        <w:rPr>
          <w:b w:val="0"/>
          <w:i w:val="0"/>
          <w:sz w:val="19"/>
          <w:vertAlign w:val="superscript"/>
        </w:rPr>
        <w:t>0.5</w:t>
      </w:r>
      <w:r>
        <w:rPr>
          <w:b w:val="0"/>
          <w:i w:val="0"/>
          <w:sz w:val="19"/>
        </w:rPr>
        <w:t>; C</w:t>
      </w:r>
      <w:r>
        <w:rPr>
          <w:b w:val="0"/>
          <w:i w:val="0"/>
          <w:sz w:val="19"/>
          <w:vertAlign w:val="subscript"/>
        </w:rPr>
        <w:t>d</w:t>
      </w:r>
      <w:r>
        <w:rPr>
          <w:b w:val="0"/>
          <w:i w:val="0"/>
          <w:sz w:val="19"/>
        </w:rPr>
        <w:t xml:space="preserve"> = 0.60 (dimensionless, sharp-edged plate, assumed); A = 1.0 ft × 1.5 ft = 1.5 sf; h = stage − 2,851.50 ft (C-9 outlet detail, centroid of opening).</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1224"/>
        <w:gridCol w:w="1080"/>
        <w:gridCol w:w="1440"/>
        <w:gridCol w:w="1655"/>
        <w:gridCol w:w="1512"/>
        <w:gridCol w:w="2448"/>
      </w:tblGrid>
      <w:tr>
        <w:trPr>
          <w:tblHeader w:val="true"/>
        </w:trPr>
        <w:tc>
          <w:tcPr>
            <w:tcW w:type="dxa" w:w="1224"/>
            <w:vAlign w:val="top"/>
            <w:shd w:val="clear" w:color="auto" w:fill="D9E2F3"/>
          </w:tcPr>
          <w:p>
            <w:pPr>
              <w:spacing w:after="20" w:before="0" w:line="240" w:lineRule="auto"/>
            </w:pPr>
            <w:r/>
            <w:r>
              <w:rPr>
                <w:b/>
                <w:i w:val="0"/>
                <w:sz w:val="16"/>
              </w:rPr>
              <w:t>Stage (ft)</w:t>
            </w:r>
          </w:p>
        </w:tc>
        <w:tc>
          <w:tcPr>
            <w:tcW w:type="dxa" w:w="1080"/>
            <w:vAlign w:val="top"/>
            <w:shd w:val="clear" w:color="auto" w:fill="D9E2F3"/>
          </w:tcPr>
          <w:p>
            <w:pPr>
              <w:spacing w:after="20" w:before="0" w:line="240" w:lineRule="auto"/>
            </w:pPr>
            <w:r/>
            <w:r>
              <w:rPr>
                <w:b/>
                <w:i w:val="0"/>
                <w:sz w:val="16"/>
              </w:rPr>
              <w:t>h (ft)</w:t>
            </w:r>
          </w:p>
        </w:tc>
        <w:tc>
          <w:tcPr>
            <w:tcW w:type="dxa" w:w="1440"/>
            <w:vAlign w:val="top"/>
            <w:shd w:val="clear" w:color="auto" w:fill="D9E2F3"/>
          </w:tcPr>
          <w:p>
            <w:pPr>
              <w:spacing w:after="20" w:before="0" w:line="240" w:lineRule="auto"/>
            </w:pPr>
            <w:r/>
            <w:r>
              <w:rPr>
                <w:b/>
                <w:i w:val="0"/>
                <w:sz w:val="16"/>
              </w:rPr>
              <w:t>(2gh)</w:t>
            </w:r>
            <w:r>
              <w:rPr>
                <w:b/>
                <w:i w:val="0"/>
                <w:sz w:val="16"/>
                <w:vertAlign w:val="superscript"/>
              </w:rPr>
              <w:t>0.5</w:t>
            </w:r>
            <w:r>
              <w:rPr>
                <w:b/>
                <w:i w:val="0"/>
                <w:sz w:val="16"/>
              </w:rPr>
              <w:t xml:space="preserve"> (ft/s)</w:t>
            </w:r>
          </w:p>
        </w:tc>
        <w:tc>
          <w:tcPr>
            <w:tcW w:type="dxa" w:w="1656"/>
            <w:vAlign w:val="top"/>
            <w:shd w:val="clear" w:color="auto" w:fill="D9E2F3"/>
          </w:tcPr>
          <w:p>
            <w:pPr>
              <w:spacing w:after="20" w:before="0" w:line="240" w:lineRule="auto"/>
            </w:pPr>
            <w:r/>
            <w:r>
              <w:rPr>
                <w:b/>
                <w:i w:val="0"/>
                <w:sz w:val="16"/>
              </w:rPr>
              <w:t>Q, C-9 orifice (cfs)</w:t>
            </w:r>
          </w:p>
        </w:tc>
        <w:tc>
          <w:tcPr>
            <w:tcW w:type="dxa" w:w="1512"/>
            <w:vAlign w:val="top"/>
            <w:shd w:val="clear" w:color="auto" w:fill="D9E2F3"/>
          </w:tcPr>
          <w:p>
            <w:pPr>
              <w:spacing w:after="20" w:before="0" w:line="240" w:lineRule="auto"/>
            </w:pPr>
            <w:r/>
            <w:r>
              <w:rPr>
                <w:b/>
                <w:i w:val="0"/>
                <w:sz w:val="16"/>
              </w:rPr>
              <w:t>Q, App. D-2 (cfs)</w:t>
            </w:r>
          </w:p>
        </w:tc>
        <w:tc>
          <w:tcPr>
            <w:tcW w:type="dxa" w:w="2448"/>
            <w:vAlign w:val="top"/>
            <w:shd w:val="clear" w:color="auto" w:fill="D9E2F3"/>
          </w:tcPr>
          <w:p>
            <w:pPr>
              <w:spacing w:after="20" w:before="0" w:line="240" w:lineRule="auto"/>
            </w:pPr>
            <w:r/>
            <w:r>
              <w:rPr>
                <w:b/>
                <w:i w:val="0"/>
                <w:sz w:val="16"/>
              </w:rPr>
              <w:t>Difference</w:t>
            </w:r>
          </w:p>
        </w:tc>
      </w:tr>
      <w:tr>
        <w:trPr>
          <w:cantSplit w:val="true"/>
        </w:trPr>
        <w:tc>
          <w:tcPr>
            <w:tcW w:type="dxa" w:w="1224"/>
            <w:vAlign w:val="top"/>
          </w:tcPr>
          <w:p>
            <w:pPr>
              <w:spacing w:after="20" w:before="0" w:line="240" w:lineRule="auto"/>
            </w:pPr>
            <w:r/>
            <w:r>
              <w:rPr>
                <w:b w:val="0"/>
                <w:i w:val="0"/>
                <w:sz w:val="16"/>
              </w:rPr>
              <w:t>2,853.00</w:t>
            </w:r>
          </w:p>
        </w:tc>
        <w:tc>
          <w:tcPr>
            <w:tcW w:type="dxa" w:w="1080"/>
            <w:vAlign w:val="top"/>
          </w:tcPr>
          <w:p>
            <w:pPr>
              <w:spacing w:after="20" w:before="0" w:line="240" w:lineRule="auto"/>
            </w:pPr>
            <w:r/>
            <w:r>
              <w:rPr>
                <w:b w:val="0"/>
                <w:i w:val="0"/>
                <w:sz w:val="16"/>
              </w:rPr>
              <w:t>1.500000</w:t>
            </w:r>
          </w:p>
        </w:tc>
        <w:tc>
          <w:tcPr>
            <w:tcW w:type="dxa" w:w="1440"/>
            <w:vAlign w:val="top"/>
          </w:tcPr>
          <w:p>
            <w:pPr>
              <w:spacing w:after="20" w:before="0" w:line="240" w:lineRule="auto"/>
            </w:pPr>
            <w:r/>
            <w:r>
              <w:rPr>
                <w:b w:val="0"/>
                <w:i w:val="0"/>
                <w:sz w:val="16"/>
              </w:rPr>
              <w:t>9.828530</w:t>
            </w:r>
          </w:p>
        </w:tc>
        <w:tc>
          <w:tcPr>
            <w:tcW w:type="dxa" w:w="1656"/>
            <w:vAlign w:val="top"/>
          </w:tcPr>
          <w:p>
            <w:pPr>
              <w:spacing w:after="20" w:before="0" w:line="240" w:lineRule="auto"/>
            </w:pPr>
            <w:r/>
            <w:r>
              <w:rPr>
                <w:b w:val="0"/>
                <w:i w:val="0"/>
                <w:sz w:val="16"/>
              </w:rPr>
              <w:t>8.845677</w:t>
            </w:r>
          </w:p>
        </w:tc>
        <w:tc>
          <w:tcPr>
            <w:tcW w:type="dxa" w:w="1512"/>
            <w:vAlign w:val="top"/>
          </w:tcPr>
          <w:p>
            <w:pPr>
              <w:spacing w:after="20" w:before="0" w:line="240" w:lineRule="auto"/>
            </w:pPr>
            <w:r/>
            <w:r>
              <w:rPr>
                <w:b w:val="0"/>
                <w:i w:val="0"/>
                <w:sz w:val="16"/>
              </w:rPr>
              <w:t>4.9</w:t>
            </w:r>
          </w:p>
        </w:tc>
        <w:tc>
          <w:tcPr>
            <w:tcW w:type="dxa" w:w="2448"/>
            <w:vAlign w:val="top"/>
          </w:tcPr>
          <w:p>
            <w:pPr>
              <w:spacing w:after="20" w:before="0" w:line="240" w:lineRule="auto"/>
            </w:pPr>
            <w:r/>
            <w:r>
              <w:rPr>
                <w:b w:val="0"/>
                <w:i w:val="0"/>
                <w:sz w:val="16"/>
              </w:rPr>
              <w:t>+3.945677 cfs (+80.524019 %)</w:t>
            </w:r>
          </w:p>
        </w:tc>
      </w:tr>
      <w:tr>
        <w:trPr>
          <w:cantSplit w:val="true"/>
        </w:trPr>
        <w:tc>
          <w:tcPr>
            <w:tcW w:type="dxa" w:w="1224"/>
            <w:vAlign w:val="top"/>
          </w:tcPr>
          <w:p>
            <w:pPr>
              <w:spacing w:after="20" w:before="0" w:line="240" w:lineRule="auto"/>
            </w:pPr>
            <w:r/>
            <w:r>
              <w:rPr>
                <w:b w:val="0"/>
                <w:i w:val="0"/>
                <w:sz w:val="16"/>
              </w:rPr>
              <w:t>2,855.00</w:t>
            </w:r>
          </w:p>
        </w:tc>
        <w:tc>
          <w:tcPr>
            <w:tcW w:type="dxa" w:w="1080"/>
            <w:vAlign w:val="top"/>
          </w:tcPr>
          <w:p>
            <w:pPr>
              <w:spacing w:after="20" w:before="0" w:line="240" w:lineRule="auto"/>
            </w:pPr>
            <w:r/>
            <w:r>
              <w:rPr>
                <w:b w:val="0"/>
                <w:i w:val="0"/>
                <w:sz w:val="16"/>
              </w:rPr>
              <w:t>3.500000</w:t>
            </w:r>
          </w:p>
        </w:tc>
        <w:tc>
          <w:tcPr>
            <w:tcW w:type="dxa" w:w="1440"/>
            <w:vAlign w:val="top"/>
          </w:tcPr>
          <w:p>
            <w:pPr>
              <w:spacing w:after="20" w:before="0" w:line="240" w:lineRule="auto"/>
            </w:pPr>
            <w:r/>
            <w:r>
              <w:rPr>
                <w:b w:val="0"/>
                <w:i w:val="0"/>
                <w:sz w:val="16"/>
              </w:rPr>
              <w:t>15.013327</w:t>
            </w:r>
          </w:p>
        </w:tc>
        <w:tc>
          <w:tcPr>
            <w:tcW w:type="dxa" w:w="1656"/>
            <w:vAlign w:val="top"/>
          </w:tcPr>
          <w:p>
            <w:pPr>
              <w:spacing w:after="20" w:before="0" w:line="240" w:lineRule="auto"/>
            </w:pPr>
            <w:r/>
            <w:r>
              <w:rPr>
                <w:b w:val="0"/>
                <w:i w:val="0"/>
                <w:sz w:val="16"/>
              </w:rPr>
              <w:t>13.511995</w:t>
            </w:r>
          </w:p>
        </w:tc>
        <w:tc>
          <w:tcPr>
            <w:tcW w:type="dxa" w:w="1512"/>
            <w:vAlign w:val="top"/>
          </w:tcPr>
          <w:p>
            <w:pPr>
              <w:spacing w:after="20" w:before="0" w:line="240" w:lineRule="auto"/>
            </w:pPr>
            <w:r/>
            <w:r>
              <w:rPr>
                <w:b w:val="0"/>
                <w:i w:val="0"/>
                <w:sz w:val="16"/>
              </w:rPr>
              <w:t>12.6</w:t>
            </w:r>
          </w:p>
        </w:tc>
        <w:tc>
          <w:tcPr>
            <w:tcW w:type="dxa" w:w="2448"/>
            <w:vAlign w:val="top"/>
          </w:tcPr>
          <w:p>
            <w:pPr>
              <w:spacing w:after="20" w:before="0" w:line="240" w:lineRule="auto"/>
            </w:pPr>
            <w:r/>
            <w:r>
              <w:rPr>
                <w:b w:val="0"/>
                <w:i w:val="0"/>
                <w:sz w:val="16"/>
              </w:rPr>
              <w:t>+0.911995 cfs (+7.238053 %)</w:t>
            </w:r>
          </w:p>
        </w:tc>
      </w:tr>
      <w:tr>
        <w:trPr>
          <w:cantSplit w:val="true"/>
        </w:trPr>
        <w:tc>
          <w:tcPr>
            <w:tcW w:type="dxa" w:w="1224"/>
            <w:vAlign w:val="top"/>
          </w:tcPr>
          <w:p>
            <w:pPr>
              <w:spacing w:after="20" w:before="0" w:line="240" w:lineRule="auto"/>
            </w:pPr>
            <w:r/>
            <w:r>
              <w:rPr>
                <w:b w:val="0"/>
                <w:i w:val="0"/>
                <w:sz w:val="16"/>
              </w:rPr>
              <w:t>2,857.00</w:t>
            </w:r>
          </w:p>
        </w:tc>
        <w:tc>
          <w:tcPr>
            <w:tcW w:type="dxa" w:w="1080"/>
            <w:vAlign w:val="top"/>
          </w:tcPr>
          <w:p>
            <w:pPr>
              <w:spacing w:after="20" w:before="0" w:line="240" w:lineRule="auto"/>
            </w:pPr>
            <w:r/>
            <w:r>
              <w:rPr>
                <w:b w:val="0"/>
                <w:i w:val="0"/>
                <w:sz w:val="16"/>
              </w:rPr>
              <w:t>5.500000</w:t>
            </w:r>
          </w:p>
        </w:tc>
        <w:tc>
          <w:tcPr>
            <w:tcW w:type="dxa" w:w="1440"/>
            <w:vAlign w:val="top"/>
          </w:tcPr>
          <w:p>
            <w:pPr>
              <w:spacing w:after="20" w:before="0" w:line="240" w:lineRule="auto"/>
            </w:pPr>
            <w:r/>
            <w:r>
              <w:rPr>
                <w:b w:val="0"/>
                <w:i w:val="0"/>
                <w:sz w:val="16"/>
              </w:rPr>
              <w:t>18.820202</w:t>
            </w:r>
          </w:p>
        </w:tc>
        <w:tc>
          <w:tcPr>
            <w:tcW w:type="dxa" w:w="1656"/>
            <w:vAlign w:val="top"/>
          </w:tcPr>
          <w:p>
            <w:pPr>
              <w:spacing w:after="20" w:before="0" w:line="240" w:lineRule="auto"/>
            </w:pPr>
            <w:r/>
            <w:r>
              <w:rPr>
                <w:b w:val="0"/>
                <w:i w:val="0"/>
                <w:sz w:val="16"/>
              </w:rPr>
              <w:t>16.938182</w:t>
            </w:r>
          </w:p>
        </w:tc>
        <w:tc>
          <w:tcPr>
            <w:tcW w:type="dxa" w:w="1512"/>
            <w:vAlign w:val="top"/>
          </w:tcPr>
          <w:p>
            <w:pPr>
              <w:spacing w:after="20" w:before="0" w:line="240" w:lineRule="auto"/>
            </w:pPr>
            <w:r/>
            <w:r>
              <w:rPr>
                <w:b w:val="0"/>
                <w:i w:val="0"/>
                <w:sz w:val="16"/>
              </w:rPr>
              <w:t>23.1</w:t>
            </w:r>
          </w:p>
        </w:tc>
        <w:tc>
          <w:tcPr>
            <w:tcW w:type="dxa" w:w="2448"/>
            <w:vAlign w:val="top"/>
          </w:tcPr>
          <w:p>
            <w:pPr>
              <w:spacing w:after="20" w:before="0" w:line="240" w:lineRule="auto"/>
            </w:pPr>
            <w:r/>
            <w:r>
              <w:rPr>
                <w:b w:val="0"/>
                <w:i w:val="0"/>
                <w:sz w:val="16"/>
              </w:rPr>
              <w:t>−6.161818 cfs (−26.674538 %)</w:t>
            </w:r>
          </w:p>
        </w:tc>
      </w:tr>
      <w:tr>
        <w:trPr>
          <w:cantSplit w:val="true"/>
        </w:trPr>
        <w:tc>
          <w:tcPr>
            <w:tcW w:type="dxa" w:w="1224"/>
            <w:vAlign w:val="top"/>
          </w:tcPr>
          <w:p>
            <w:pPr>
              <w:spacing w:after="20" w:before="0" w:line="240" w:lineRule="auto"/>
            </w:pPr>
            <w:r/>
            <w:r>
              <w:rPr>
                <w:b w:val="0"/>
                <w:i w:val="0"/>
                <w:sz w:val="16"/>
              </w:rPr>
              <w:t>2,857.91</w:t>
            </w:r>
          </w:p>
        </w:tc>
        <w:tc>
          <w:tcPr>
            <w:tcW w:type="dxa" w:w="1080"/>
            <w:vAlign w:val="top"/>
          </w:tcPr>
          <w:p>
            <w:pPr>
              <w:spacing w:after="20" w:before="0" w:line="240" w:lineRule="auto"/>
            </w:pPr>
            <w:r/>
            <w:r>
              <w:rPr>
                <w:b w:val="0"/>
                <w:i w:val="0"/>
                <w:sz w:val="16"/>
              </w:rPr>
              <w:t>6.410000</w:t>
            </w:r>
          </w:p>
        </w:tc>
        <w:tc>
          <w:tcPr>
            <w:tcW w:type="dxa" w:w="1440"/>
            <w:vAlign w:val="top"/>
          </w:tcPr>
          <w:p>
            <w:pPr>
              <w:spacing w:after="20" w:before="0" w:line="240" w:lineRule="auto"/>
            </w:pPr>
            <w:r/>
            <w:r>
              <w:rPr>
                <w:b w:val="0"/>
                <w:i w:val="0"/>
                <w:sz w:val="16"/>
              </w:rPr>
              <w:t>20.317579</w:t>
            </w:r>
          </w:p>
        </w:tc>
        <w:tc>
          <w:tcPr>
            <w:tcW w:type="dxa" w:w="1656"/>
            <w:vAlign w:val="top"/>
          </w:tcPr>
          <w:p>
            <w:pPr>
              <w:spacing w:after="20" w:before="0" w:line="240" w:lineRule="auto"/>
            </w:pPr>
            <w:r/>
            <w:r>
              <w:rPr>
                <w:b w:val="0"/>
                <w:i w:val="0"/>
                <w:sz w:val="16"/>
              </w:rPr>
              <w:t>18.285821</w:t>
            </w:r>
          </w:p>
        </w:tc>
        <w:tc>
          <w:tcPr>
            <w:tcW w:type="dxa" w:w="1512"/>
            <w:vAlign w:val="top"/>
          </w:tcPr>
          <w:p>
            <w:pPr>
              <w:spacing w:after="20" w:before="0" w:line="240" w:lineRule="auto"/>
            </w:pPr>
            <w:r/>
            <w:r>
              <w:rPr>
                <w:b w:val="0"/>
                <w:i w:val="0"/>
                <w:sz w:val="16"/>
              </w:rPr>
              <w:t>27.9</w:t>
            </w:r>
          </w:p>
        </w:tc>
        <w:tc>
          <w:tcPr>
            <w:tcW w:type="dxa" w:w="2448"/>
            <w:vAlign w:val="top"/>
          </w:tcPr>
          <w:p>
            <w:pPr>
              <w:spacing w:after="20" w:before="0" w:line="240" w:lineRule="auto"/>
            </w:pPr>
            <w:r/>
            <w:r>
              <w:rPr>
                <w:b w:val="0"/>
                <w:i w:val="0"/>
                <w:sz w:val="16"/>
              </w:rPr>
              <w:t>−9.614179 cfs (−34.459424 %)</w:t>
            </w:r>
          </w:p>
        </w:tc>
      </w:tr>
      <w:tr>
        <w:trPr>
          <w:cantSplit w:val="true"/>
        </w:trPr>
        <w:tc>
          <w:tcPr>
            <w:tcW w:type="dxa" w:w="1224"/>
            <w:vAlign w:val="top"/>
          </w:tcPr>
          <w:p>
            <w:pPr>
              <w:spacing w:after="20" w:before="0" w:line="240" w:lineRule="auto"/>
            </w:pPr>
            <w:r/>
            <w:r>
              <w:rPr>
                <w:b w:val="0"/>
                <w:i w:val="0"/>
                <w:sz w:val="16"/>
              </w:rPr>
              <w:t>2,858.50</w:t>
            </w:r>
          </w:p>
        </w:tc>
        <w:tc>
          <w:tcPr>
            <w:tcW w:type="dxa" w:w="1080"/>
            <w:vAlign w:val="top"/>
          </w:tcPr>
          <w:p>
            <w:pPr>
              <w:spacing w:after="20" w:before="0" w:line="240" w:lineRule="auto"/>
            </w:pPr>
            <w:r/>
            <w:r>
              <w:rPr>
                <w:b w:val="0"/>
                <w:i w:val="0"/>
                <w:sz w:val="16"/>
              </w:rPr>
              <w:t>7.000000</w:t>
            </w:r>
          </w:p>
        </w:tc>
        <w:tc>
          <w:tcPr>
            <w:tcW w:type="dxa" w:w="1440"/>
            <w:vAlign w:val="top"/>
          </w:tcPr>
          <w:p>
            <w:pPr>
              <w:spacing w:after="20" w:before="0" w:line="240" w:lineRule="auto"/>
            </w:pPr>
            <w:r/>
            <w:r>
              <w:rPr>
                <w:b w:val="0"/>
                <w:i w:val="0"/>
                <w:sz w:val="16"/>
              </w:rPr>
              <w:t>21.232051</w:t>
            </w:r>
          </w:p>
        </w:tc>
        <w:tc>
          <w:tcPr>
            <w:tcW w:type="dxa" w:w="1656"/>
            <w:vAlign w:val="top"/>
          </w:tcPr>
          <w:p>
            <w:pPr>
              <w:spacing w:after="20" w:before="0" w:line="240" w:lineRule="auto"/>
            </w:pPr>
            <w:r/>
            <w:r>
              <w:rPr>
                <w:b w:val="0"/>
                <w:i w:val="0"/>
                <w:sz w:val="16"/>
              </w:rPr>
              <w:t>19.108846</w:t>
            </w:r>
          </w:p>
        </w:tc>
        <w:tc>
          <w:tcPr>
            <w:tcW w:type="dxa" w:w="1512"/>
            <w:vAlign w:val="top"/>
          </w:tcPr>
          <w:p>
            <w:pPr>
              <w:spacing w:after="20" w:before="0" w:line="240" w:lineRule="auto"/>
            </w:pPr>
            <w:r/>
            <w:r>
              <w:rPr>
                <w:b w:val="0"/>
                <w:i w:val="0"/>
                <w:sz w:val="16"/>
              </w:rPr>
              <w:t>41.5</w:t>
            </w:r>
          </w:p>
        </w:tc>
        <w:tc>
          <w:tcPr>
            <w:tcW w:type="dxa" w:w="2448"/>
            <w:vAlign w:val="top"/>
          </w:tcPr>
          <w:p>
            <w:pPr>
              <w:spacing w:after="20" w:before="0" w:line="240" w:lineRule="auto"/>
            </w:pPr>
            <w:r/>
            <w:r>
              <w:rPr>
                <w:b w:val="0"/>
                <w:i w:val="0"/>
                <w:sz w:val="16"/>
              </w:rPr>
              <w:t>−22.391154 cfs (−53.954588 %)</w:t>
            </w:r>
          </w:p>
        </w:tc>
      </w:tr>
    </w:tbl>
    <w:p>
      <w:pPr>
        <w:spacing w:after="40"/>
      </w:pPr>
    </w:p>
    <w:p>
      <w:r>
        <w:rPr>
          <w:b w:val="0"/>
          <w:i w:val="0"/>
          <w:sz w:val="19"/>
        </w:rPr>
        <w:t>C</w:t>
      </w:r>
      <w:r>
        <w:rPr>
          <w:b w:val="0"/>
          <w:i w:val="0"/>
          <w:sz w:val="19"/>
          <w:vertAlign w:val="subscript"/>
        </w:rPr>
        <w:t>d</w:t>
      </w:r>
      <w:r>
        <w:rPr>
          <w:b w:val="0"/>
          <w:i w:val="0"/>
          <w:sz w:val="19"/>
        </w:rPr>
        <w:t xml:space="preserve"> needed for 27.9 cfs at 2,857.91 ft = 27.9 cfs / (1.5 sf × 20.317579 ft/s) = 0.915463 (dimensionless).</w:t>
      </w:r>
    </w:p>
    <w:p>
      <w:pPr>
        <w:keepNext/>
        <w:spacing w:after="40" w:before="80"/>
      </w:pPr>
      <w:r>
        <w:rPr>
          <w:b/>
          <w:i w:val="0"/>
          <w:sz w:val="20"/>
        </w:rPr>
        <w:t>A-7  Storage check (average end area, C-9 contour areas) and preliminary-calculation comparison</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1584"/>
        <w:gridCol w:w="1728"/>
        <w:gridCol w:w="1728"/>
        <w:gridCol w:w="1872"/>
        <w:gridCol w:w="2448"/>
      </w:tblGrid>
      <w:tr>
        <w:trPr>
          <w:tblHeader w:val="true"/>
        </w:trPr>
        <w:tc>
          <w:tcPr>
            <w:tcW w:type="dxa" w:w="1584"/>
            <w:vAlign w:val="top"/>
            <w:shd w:val="clear" w:color="auto" w:fill="D9E2F3"/>
          </w:tcPr>
          <w:p>
            <w:pPr>
              <w:spacing w:after="20" w:before="0" w:line="240" w:lineRule="auto"/>
            </w:pPr>
            <w:r/>
            <w:r>
              <w:rPr>
                <w:b/>
                <w:i w:val="0"/>
                <w:sz w:val="16"/>
              </w:rPr>
              <w:t>Elevation (ft)</w:t>
            </w:r>
          </w:p>
        </w:tc>
        <w:tc>
          <w:tcPr>
            <w:tcW w:type="dxa" w:w="1728"/>
            <w:vAlign w:val="top"/>
            <w:shd w:val="clear" w:color="auto" w:fill="D9E2F3"/>
          </w:tcPr>
          <w:p>
            <w:pPr>
              <w:spacing w:after="20" w:before="0" w:line="240" w:lineRule="auto"/>
            </w:pPr>
            <w:r/>
            <w:r>
              <w:rPr>
                <w:b/>
                <w:i w:val="0"/>
                <w:sz w:val="16"/>
              </w:rPr>
              <w:t>Contour area (sf)</w:t>
            </w:r>
          </w:p>
        </w:tc>
        <w:tc>
          <w:tcPr>
            <w:tcW w:type="dxa" w:w="1728"/>
            <w:vAlign w:val="top"/>
            <w:shd w:val="clear" w:color="auto" w:fill="D9E2F3"/>
          </w:tcPr>
          <w:p>
            <w:pPr>
              <w:spacing w:after="20" w:before="0" w:line="240" w:lineRule="auto"/>
            </w:pPr>
            <w:r/>
            <w:r>
              <w:rPr>
                <w:b/>
                <w:i w:val="0"/>
                <w:sz w:val="16"/>
              </w:rPr>
              <w:t>Increment (ac-ft)</w:t>
            </w:r>
          </w:p>
        </w:tc>
        <w:tc>
          <w:tcPr>
            <w:tcW w:type="dxa" w:w="1872"/>
            <w:vAlign w:val="top"/>
            <w:shd w:val="clear" w:color="auto" w:fill="D9E2F3"/>
          </w:tcPr>
          <w:p>
            <w:pPr>
              <w:spacing w:after="20" w:before="0" w:line="240" w:lineRule="auto"/>
            </w:pPr>
            <w:r/>
            <w:r>
              <w:rPr>
                <w:b/>
                <w:i w:val="0"/>
                <w:sz w:val="16"/>
              </w:rPr>
              <w:t>Cumulative (ac-ft)</w:t>
            </w:r>
          </w:p>
        </w:tc>
        <w:tc>
          <w:tcPr>
            <w:tcW w:type="dxa" w:w="2448"/>
            <w:vAlign w:val="top"/>
            <w:shd w:val="clear" w:color="auto" w:fill="D9E2F3"/>
          </w:tcPr>
          <w:p>
            <w:pPr>
              <w:spacing w:after="20" w:before="0" w:line="240" w:lineRule="auto"/>
            </w:pPr>
            <w:r/>
            <w:r>
              <w:rPr>
                <w:b/>
                <w:i w:val="0"/>
                <w:sz w:val="16"/>
              </w:rPr>
              <w:t>C-9 / MDS App. D-2 (ac-ft)</w:t>
            </w:r>
          </w:p>
        </w:tc>
      </w:tr>
      <w:tr>
        <w:trPr>
          <w:cantSplit w:val="true"/>
        </w:trPr>
        <w:tc>
          <w:tcPr>
            <w:tcW w:type="dxa" w:w="1584"/>
            <w:vAlign w:val="top"/>
          </w:tcPr>
          <w:p>
            <w:pPr>
              <w:spacing w:after="20" w:before="0" w:line="240" w:lineRule="auto"/>
            </w:pPr>
            <w:r/>
            <w:r>
              <w:rPr>
                <w:b w:val="0"/>
                <w:i w:val="0"/>
                <w:sz w:val="16"/>
              </w:rPr>
              <w:t>2,851.00</w:t>
            </w:r>
          </w:p>
        </w:tc>
        <w:tc>
          <w:tcPr>
            <w:tcW w:type="dxa" w:w="1728"/>
            <w:vAlign w:val="top"/>
          </w:tcPr>
          <w:p>
            <w:pPr>
              <w:spacing w:after="20" w:before="0" w:line="240" w:lineRule="auto"/>
            </w:pPr>
            <w:r/>
            <w:r>
              <w:rPr>
                <w:b w:val="0"/>
                <w:i w:val="0"/>
                <w:sz w:val="16"/>
              </w:rPr>
              <w:t>29,450</w:t>
            </w:r>
          </w:p>
        </w:tc>
        <w:tc>
          <w:tcPr>
            <w:tcW w:type="dxa" w:w="1728"/>
            <w:vAlign w:val="top"/>
          </w:tcPr>
          <w:p>
            <w:pPr>
              <w:spacing w:after="20" w:before="0" w:line="240" w:lineRule="auto"/>
            </w:pPr>
            <w:r/>
            <w:r>
              <w:rPr>
                <w:b w:val="0"/>
                <w:i w:val="0"/>
                <w:sz w:val="16"/>
              </w:rPr>
              <w:t>—</w:t>
            </w:r>
          </w:p>
        </w:tc>
        <w:tc>
          <w:tcPr>
            <w:tcW w:type="dxa" w:w="1872"/>
            <w:vAlign w:val="top"/>
          </w:tcPr>
          <w:p>
            <w:pPr>
              <w:spacing w:after="20" w:before="0" w:line="240" w:lineRule="auto"/>
            </w:pPr>
            <w:r/>
            <w:r>
              <w:rPr>
                <w:b w:val="0"/>
                <w:i w:val="0"/>
                <w:sz w:val="16"/>
              </w:rPr>
              <w:t>0.000000</w:t>
            </w:r>
          </w:p>
        </w:tc>
        <w:tc>
          <w:tcPr>
            <w:tcW w:type="dxa" w:w="2448"/>
            <w:vAlign w:val="top"/>
          </w:tcPr>
          <w:p>
            <w:pPr>
              <w:spacing w:after="20" w:before="0" w:line="240" w:lineRule="auto"/>
            </w:pPr>
            <w:r/>
            <w:r>
              <w:rPr>
                <w:b w:val="0"/>
                <w:i w:val="0"/>
                <w:sz w:val="16"/>
              </w:rPr>
              <w:t>0.00</w:t>
            </w:r>
          </w:p>
        </w:tc>
      </w:tr>
      <w:tr>
        <w:trPr>
          <w:cantSplit w:val="true"/>
        </w:trPr>
        <w:tc>
          <w:tcPr>
            <w:tcW w:type="dxa" w:w="1584"/>
            <w:vAlign w:val="top"/>
          </w:tcPr>
          <w:p>
            <w:pPr>
              <w:spacing w:after="20" w:before="0" w:line="240" w:lineRule="auto"/>
            </w:pPr>
            <w:r/>
            <w:r>
              <w:rPr>
                <w:b w:val="0"/>
                <w:i w:val="0"/>
                <w:sz w:val="16"/>
              </w:rPr>
              <w:t>2,852.00</w:t>
            </w:r>
          </w:p>
        </w:tc>
        <w:tc>
          <w:tcPr>
            <w:tcW w:type="dxa" w:w="1728"/>
            <w:vAlign w:val="top"/>
          </w:tcPr>
          <w:p>
            <w:pPr>
              <w:spacing w:after="20" w:before="0" w:line="240" w:lineRule="auto"/>
            </w:pPr>
            <w:r/>
            <w:r>
              <w:rPr>
                <w:b w:val="0"/>
                <w:i w:val="0"/>
                <w:sz w:val="16"/>
              </w:rPr>
              <w:t>32,380</w:t>
            </w:r>
          </w:p>
        </w:tc>
        <w:tc>
          <w:tcPr>
            <w:tcW w:type="dxa" w:w="1728"/>
            <w:vAlign w:val="top"/>
          </w:tcPr>
          <w:p>
            <w:pPr>
              <w:spacing w:after="20" w:before="0" w:line="240" w:lineRule="auto"/>
            </w:pPr>
            <w:r/>
            <w:r>
              <w:rPr>
                <w:b w:val="0"/>
                <w:i w:val="0"/>
                <w:sz w:val="16"/>
              </w:rPr>
              <w:t>0.709711</w:t>
            </w:r>
          </w:p>
        </w:tc>
        <w:tc>
          <w:tcPr>
            <w:tcW w:type="dxa" w:w="1872"/>
            <w:vAlign w:val="top"/>
          </w:tcPr>
          <w:p>
            <w:pPr>
              <w:spacing w:after="20" w:before="0" w:line="240" w:lineRule="auto"/>
            </w:pPr>
            <w:r/>
            <w:r>
              <w:rPr>
                <w:b w:val="0"/>
                <w:i w:val="0"/>
                <w:sz w:val="16"/>
              </w:rPr>
              <w:t>0.709711</w:t>
            </w:r>
          </w:p>
        </w:tc>
        <w:tc>
          <w:tcPr>
            <w:tcW w:type="dxa" w:w="2448"/>
            <w:vAlign w:val="top"/>
          </w:tcPr>
          <w:p>
            <w:pPr>
              <w:spacing w:after="20" w:before="0" w:line="240" w:lineRule="auto"/>
            </w:pPr>
            <w:r/>
            <w:r>
              <w:rPr>
                <w:b w:val="0"/>
                <w:i w:val="0"/>
                <w:sz w:val="16"/>
              </w:rPr>
              <w:t>0.71</w:t>
            </w:r>
          </w:p>
        </w:tc>
      </w:tr>
      <w:tr>
        <w:trPr>
          <w:cantSplit w:val="true"/>
        </w:trPr>
        <w:tc>
          <w:tcPr>
            <w:tcW w:type="dxa" w:w="1584"/>
            <w:vAlign w:val="top"/>
          </w:tcPr>
          <w:p>
            <w:pPr>
              <w:spacing w:after="20" w:before="0" w:line="240" w:lineRule="auto"/>
            </w:pPr>
            <w:r/>
            <w:r>
              <w:rPr>
                <w:b w:val="0"/>
                <w:i w:val="0"/>
                <w:sz w:val="16"/>
              </w:rPr>
              <w:t>2,853.00</w:t>
            </w:r>
          </w:p>
        </w:tc>
        <w:tc>
          <w:tcPr>
            <w:tcW w:type="dxa" w:w="1728"/>
            <w:vAlign w:val="top"/>
          </w:tcPr>
          <w:p>
            <w:pPr>
              <w:spacing w:after="20" w:before="0" w:line="240" w:lineRule="auto"/>
            </w:pPr>
            <w:r/>
            <w:r>
              <w:rPr>
                <w:b w:val="0"/>
                <w:i w:val="0"/>
                <w:sz w:val="16"/>
              </w:rPr>
              <w:t>35,420</w:t>
            </w:r>
          </w:p>
        </w:tc>
        <w:tc>
          <w:tcPr>
            <w:tcW w:type="dxa" w:w="1728"/>
            <w:vAlign w:val="top"/>
          </w:tcPr>
          <w:p>
            <w:pPr>
              <w:spacing w:after="20" w:before="0" w:line="240" w:lineRule="auto"/>
            </w:pPr>
            <w:r/>
            <w:r>
              <w:rPr>
                <w:b w:val="0"/>
                <w:i w:val="0"/>
                <w:sz w:val="16"/>
              </w:rPr>
              <w:t>0.778237</w:t>
            </w:r>
          </w:p>
        </w:tc>
        <w:tc>
          <w:tcPr>
            <w:tcW w:type="dxa" w:w="1872"/>
            <w:vAlign w:val="top"/>
          </w:tcPr>
          <w:p>
            <w:pPr>
              <w:spacing w:after="20" w:before="0" w:line="240" w:lineRule="auto"/>
            </w:pPr>
            <w:r/>
            <w:r>
              <w:rPr>
                <w:b w:val="0"/>
                <w:i w:val="0"/>
                <w:sz w:val="16"/>
              </w:rPr>
              <w:t>1.487948</w:t>
            </w:r>
          </w:p>
        </w:tc>
        <w:tc>
          <w:tcPr>
            <w:tcW w:type="dxa" w:w="2448"/>
            <w:vAlign w:val="top"/>
          </w:tcPr>
          <w:p>
            <w:pPr>
              <w:spacing w:after="20" w:before="0" w:line="240" w:lineRule="auto"/>
            </w:pPr>
            <w:r/>
            <w:r>
              <w:rPr>
                <w:b w:val="0"/>
                <w:i w:val="0"/>
                <w:sz w:val="16"/>
              </w:rPr>
              <w:t>1.49</w:t>
            </w:r>
          </w:p>
        </w:tc>
      </w:tr>
      <w:tr>
        <w:trPr>
          <w:cantSplit w:val="true"/>
        </w:trPr>
        <w:tc>
          <w:tcPr>
            <w:tcW w:type="dxa" w:w="1584"/>
            <w:vAlign w:val="top"/>
          </w:tcPr>
          <w:p>
            <w:pPr>
              <w:spacing w:after="20" w:before="0" w:line="240" w:lineRule="auto"/>
            </w:pPr>
            <w:r/>
            <w:r>
              <w:rPr>
                <w:b w:val="0"/>
                <w:i w:val="0"/>
                <w:sz w:val="16"/>
              </w:rPr>
              <w:t>2,854.00</w:t>
            </w:r>
          </w:p>
        </w:tc>
        <w:tc>
          <w:tcPr>
            <w:tcW w:type="dxa" w:w="1728"/>
            <w:vAlign w:val="top"/>
          </w:tcPr>
          <w:p>
            <w:pPr>
              <w:spacing w:after="20" w:before="0" w:line="240" w:lineRule="auto"/>
            </w:pPr>
            <w:r/>
            <w:r>
              <w:rPr>
                <w:b w:val="0"/>
                <w:i w:val="0"/>
                <w:sz w:val="16"/>
              </w:rPr>
              <w:t>38,600</w:t>
            </w:r>
          </w:p>
        </w:tc>
        <w:tc>
          <w:tcPr>
            <w:tcW w:type="dxa" w:w="1728"/>
            <w:vAlign w:val="top"/>
          </w:tcPr>
          <w:p>
            <w:pPr>
              <w:spacing w:after="20" w:before="0" w:line="240" w:lineRule="auto"/>
            </w:pPr>
            <w:r/>
            <w:r>
              <w:rPr>
                <w:b w:val="0"/>
                <w:i w:val="0"/>
                <w:sz w:val="16"/>
              </w:rPr>
              <w:t>0.849633</w:t>
            </w:r>
          </w:p>
        </w:tc>
        <w:tc>
          <w:tcPr>
            <w:tcW w:type="dxa" w:w="1872"/>
            <w:vAlign w:val="top"/>
          </w:tcPr>
          <w:p>
            <w:pPr>
              <w:spacing w:after="20" w:before="0" w:line="240" w:lineRule="auto"/>
            </w:pPr>
            <w:r/>
            <w:r>
              <w:rPr>
                <w:b w:val="0"/>
                <w:i w:val="0"/>
                <w:sz w:val="16"/>
              </w:rPr>
              <w:t>2.337580</w:t>
            </w:r>
          </w:p>
        </w:tc>
        <w:tc>
          <w:tcPr>
            <w:tcW w:type="dxa" w:w="2448"/>
            <w:vAlign w:val="top"/>
          </w:tcPr>
          <w:p>
            <w:pPr>
              <w:spacing w:after="20" w:before="0" w:line="240" w:lineRule="auto"/>
            </w:pPr>
            <w:r/>
            <w:r>
              <w:rPr>
                <w:b w:val="0"/>
                <w:i w:val="0"/>
                <w:sz w:val="16"/>
              </w:rPr>
              <w:t>2.34</w:t>
            </w:r>
          </w:p>
        </w:tc>
      </w:tr>
      <w:tr>
        <w:trPr>
          <w:cantSplit w:val="true"/>
        </w:trPr>
        <w:tc>
          <w:tcPr>
            <w:tcW w:type="dxa" w:w="1584"/>
            <w:vAlign w:val="top"/>
          </w:tcPr>
          <w:p>
            <w:pPr>
              <w:spacing w:after="20" w:before="0" w:line="240" w:lineRule="auto"/>
            </w:pPr>
            <w:r/>
            <w:r>
              <w:rPr>
                <w:b w:val="0"/>
                <w:i w:val="0"/>
                <w:sz w:val="16"/>
              </w:rPr>
              <w:t>2,855.00</w:t>
            </w:r>
          </w:p>
        </w:tc>
        <w:tc>
          <w:tcPr>
            <w:tcW w:type="dxa" w:w="1728"/>
            <w:vAlign w:val="top"/>
          </w:tcPr>
          <w:p>
            <w:pPr>
              <w:spacing w:after="20" w:before="0" w:line="240" w:lineRule="auto"/>
            </w:pPr>
            <w:r/>
            <w:r>
              <w:rPr>
                <w:b w:val="0"/>
                <w:i w:val="0"/>
                <w:sz w:val="16"/>
              </w:rPr>
              <w:t>41,910</w:t>
            </w:r>
          </w:p>
        </w:tc>
        <w:tc>
          <w:tcPr>
            <w:tcW w:type="dxa" w:w="1728"/>
            <w:vAlign w:val="top"/>
          </w:tcPr>
          <w:p>
            <w:pPr>
              <w:spacing w:after="20" w:before="0" w:line="240" w:lineRule="auto"/>
            </w:pPr>
            <w:r/>
            <w:r>
              <w:rPr>
                <w:b w:val="0"/>
                <w:i w:val="0"/>
                <w:sz w:val="16"/>
              </w:rPr>
              <w:t>0.924128</w:t>
            </w:r>
          </w:p>
        </w:tc>
        <w:tc>
          <w:tcPr>
            <w:tcW w:type="dxa" w:w="1872"/>
            <w:vAlign w:val="top"/>
          </w:tcPr>
          <w:p>
            <w:pPr>
              <w:spacing w:after="20" w:before="0" w:line="240" w:lineRule="auto"/>
            </w:pPr>
            <w:r/>
            <w:r>
              <w:rPr>
                <w:b w:val="0"/>
                <w:i w:val="0"/>
                <w:sz w:val="16"/>
              </w:rPr>
              <w:t>3.261708</w:t>
            </w:r>
          </w:p>
        </w:tc>
        <w:tc>
          <w:tcPr>
            <w:tcW w:type="dxa" w:w="2448"/>
            <w:vAlign w:val="top"/>
          </w:tcPr>
          <w:p>
            <w:pPr>
              <w:spacing w:after="20" w:before="0" w:line="240" w:lineRule="auto"/>
            </w:pPr>
            <w:r/>
            <w:r>
              <w:rPr>
                <w:b w:val="0"/>
                <w:i w:val="0"/>
                <w:sz w:val="16"/>
              </w:rPr>
              <w:t>3.26</w:t>
            </w:r>
          </w:p>
        </w:tc>
      </w:tr>
      <w:tr>
        <w:trPr>
          <w:cantSplit w:val="true"/>
        </w:trPr>
        <w:tc>
          <w:tcPr>
            <w:tcW w:type="dxa" w:w="1584"/>
            <w:vAlign w:val="top"/>
          </w:tcPr>
          <w:p>
            <w:pPr>
              <w:spacing w:after="20" w:before="0" w:line="240" w:lineRule="auto"/>
            </w:pPr>
            <w:r/>
            <w:r>
              <w:rPr>
                <w:b w:val="0"/>
                <w:i w:val="0"/>
                <w:sz w:val="16"/>
              </w:rPr>
              <w:t>2,856.00</w:t>
            </w:r>
          </w:p>
        </w:tc>
        <w:tc>
          <w:tcPr>
            <w:tcW w:type="dxa" w:w="1728"/>
            <w:vAlign w:val="top"/>
          </w:tcPr>
          <w:p>
            <w:pPr>
              <w:spacing w:after="20" w:before="0" w:line="240" w:lineRule="auto"/>
            </w:pPr>
            <w:r/>
            <w:r>
              <w:rPr>
                <w:b w:val="0"/>
                <w:i w:val="0"/>
                <w:sz w:val="16"/>
              </w:rPr>
              <w:t>45,340</w:t>
            </w:r>
          </w:p>
        </w:tc>
        <w:tc>
          <w:tcPr>
            <w:tcW w:type="dxa" w:w="1728"/>
            <w:vAlign w:val="top"/>
          </w:tcPr>
          <w:p>
            <w:pPr>
              <w:spacing w:after="20" w:before="0" w:line="240" w:lineRule="auto"/>
            </w:pPr>
            <w:r/>
            <w:r>
              <w:rPr>
                <w:b w:val="0"/>
                <w:i w:val="0"/>
                <w:sz w:val="16"/>
              </w:rPr>
              <w:t>1.001492</w:t>
            </w:r>
          </w:p>
        </w:tc>
        <w:tc>
          <w:tcPr>
            <w:tcW w:type="dxa" w:w="1872"/>
            <w:vAlign w:val="top"/>
          </w:tcPr>
          <w:p>
            <w:pPr>
              <w:spacing w:after="20" w:before="0" w:line="240" w:lineRule="auto"/>
            </w:pPr>
            <w:r/>
            <w:r>
              <w:rPr>
                <w:b w:val="0"/>
                <w:i w:val="0"/>
                <w:sz w:val="16"/>
              </w:rPr>
              <w:t>4.263200</w:t>
            </w:r>
          </w:p>
        </w:tc>
        <w:tc>
          <w:tcPr>
            <w:tcW w:type="dxa" w:w="2448"/>
            <w:vAlign w:val="top"/>
          </w:tcPr>
          <w:p>
            <w:pPr>
              <w:spacing w:after="20" w:before="0" w:line="240" w:lineRule="auto"/>
            </w:pPr>
            <w:r/>
            <w:r>
              <w:rPr>
                <w:b w:val="0"/>
                <w:i w:val="0"/>
                <w:sz w:val="16"/>
              </w:rPr>
              <w:t>4.26</w:t>
            </w:r>
          </w:p>
        </w:tc>
      </w:tr>
      <w:tr>
        <w:trPr>
          <w:cantSplit w:val="true"/>
        </w:trPr>
        <w:tc>
          <w:tcPr>
            <w:tcW w:type="dxa" w:w="1584"/>
            <w:vAlign w:val="top"/>
          </w:tcPr>
          <w:p>
            <w:pPr>
              <w:spacing w:after="20" w:before="0" w:line="240" w:lineRule="auto"/>
            </w:pPr>
            <w:r/>
            <w:r>
              <w:rPr>
                <w:b w:val="0"/>
                <w:i w:val="0"/>
                <w:sz w:val="16"/>
              </w:rPr>
              <w:t>2,857.00</w:t>
            </w:r>
          </w:p>
        </w:tc>
        <w:tc>
          <w:tcPr>
            <w:tcW w:type="dxa" w:w="1728"/>
            <w:vAlign w:val="top"/>
          </w:tcPr>
          <w:p>
            <w:pPr>
              <w:spacing w:after="20" w:before="0" w:line="240" w:lineRule="auto"/>
            </w:pPr>
            <w:r/>
            <w:r>
              <w:rPr>
                <w:b w:val="0"/>
                <w:i w:val="0"/>
                <w:sz w:val="16"/>
              </w:rPr>
              <w:t>48,900</w:t>
            </w:r>
          </w:p>
        </w:tc>
        <w:tc>
          <w:tcPr>
            <w:tcW w:type="dxa" w:w="1728"/>
            <w:vAlign w:val="top"/>
          </w:tcPr>
          <w:p>
            <w:pPr>
              <w:spacing w:after="20" w:before="0" w:line="240" w:lineRule="auto"/>
            </w:pPr>
            <w:r/>
            <w:r>
              <w:rPr>
                <w:b w:val="0"/>
                <w:i w:val="0"/>
                <w:sz w:val="16"/>
              </w:rPr>
              <w:t>1.081726</w:t>
            </w:r>
          </w:p>
        </w:tc>
        <w:tc>
          <w:tcPr>
            <w:tcW w:type="dxa" w:w="1872"/>
            <w:vAlign w:val="top"/>
          </w:tcPr>
          <w:p>
            <w:pPr>
              <w:spacing w:after="20" w:before="0" w:line="240" w:lineRule="auto"/>
            </w:pPr>
            <w:r/>
            <w:r>
              <w:rPr>
                <w:b w:val="0"/>
                <w:i w:val="0"/>
                <w:sz w:val="16"/>
              </w:rPr>
              <w:t>5.344927</w:t>
            </w:r>
          </w:p>
        </w:tc>
        <w:tc>
          <w:tcPr>
            <w:tcW w:type="dxa" w:w="2448"/>
            <w:vAlign w:val="top"/>
          </w:tcPr>
          <w:p>
            <w:pPr>
              <w:spacing w:after="20" w:before="0" w:line="240" w:lineRule="auto"/>
            </w:pPr>
            <w:r/>
            <w:r>
              <w:rPr>
                <w:b w:val="0"/>
                <w:i w:val="0"/>
                <w:sz w:val="16"/>
              </w:rPr>
              <w:t>5.34</w:t>
            </w:r>
          </w:p>
        </w:tc>
      </w:tr>
      <w:tr>
        <w:trPr>
          <w:cantSplit w:val="true"/>
        </w:trPr>
        <w:tc>
          <w:tcPr>
            <w:tcW w:type="dxa" w:w="1584"/>
            <w:vAlign w:val="top"/>
          </w:tcPr>
          <w:p>
            <w:pPr>
              <w:spacing w:after="20" w:before="0" w:line="240" w:lineRule="auto"/>
            </w:pPr>
            <w:r/>
            <w:r>
              <w:rPr>
                <w:b w:val="0"/>
                <w:i w:val="0"/>
                <w:sz w:val="16"/>
              </w:rPr>
              <w:t>2,857.91</w:t>
            </w:r>
          </w:p>
        </w:tc>
        <w:tc>
          <w:tcPr>
            <w:tcW w:type="dxa" w:w="1728"/>
            <w:vAlign w:val="top"/>
          </w:tcPr>
          <w:p>
            <w:pPr>
              <w:spacing w:after="20" w:before="0" w:line="240" w:lineRule="auto"/>
            </w:pPr>
            <w:r/>
            <w:r>
              <w:rPr>
                <w:b w:val="0"/>
                <w:i w:val="0"/>
                <w:sz w:val="16"/>
              </w:rPr>
              <w:t>52,250</w:t>
            </w:r>
          </w:p>
        </w:tc>
        <w:tc>
          <w:tcPr>
            <w:tcW w:type="dxa" w:w="1728"/>
            <w:vAlign w:val="top"/>
          </w:tcPr>
          <w:p>
            <w:pPr>
              <w:spacing w:after="20" w:before="0" w:line="240" w:lineRule="auto"/>
            </w:pPr>
            <w:r/>
            <w:r>
              <w:rPr>
                <w:b w:val="0"/>
                <w:i w:val="0"/>
                <w:sz w:val="16"/>
              </w:rPr>
              <w:t>1.056548</w:t>
            </w:r>
          </w:p>
        </w:tc>
        <w:tc>
          <w:tcPr>
            <w:tcW w:type="dxa" w:w="1872"/>
            <w:vAlign w:val="top"/>
          </w:tcPr>
          <w:p>
            <w:pPr>
              <w:spacing w:after="20" w:before="0" w:line="240" w:lineRule="auto"/>
            </w:pPr>
            <w:r/>
            <w:r>
              <w:rPr>
                <w:b w:val="0"/>
                <w:i w:val="0"/>
                <w:sz w:val="16"/>
              </w:rPr>
              <w:t>6.401475</w:t>
            </w:r>
          </w:p>
        </w:tc>
        <w:tc>
          <w:tcPr>
            <w:tcW w:type="dxa" w:w="2448"/>
            <w:vAlign w:val="top"/>
          </w:tcPr>
          <w:p>
            <w:pPr>
              <w:spacing w:after="20" w:before="0" w:line="240" w:lineRule="auto"/>
            </w:pPr>
            <w:r/>
            <w:r>
              <w:rPr>
                <w:b w:val="0"/>
                <w:i w:val="0"/>
                <w:sz w:val="16"/>
              </w:rPr>
              <w:t>6.40 (Table 4-1: 6.4)</w:t>
            </w:r>
          </w:p>
        </w:tc>
      </w:tr>
      <w:tr>
        <w:trPr>
          <w:cantSplit w:val="true"/>
        </w:trPr>
        <w:tc>
          <w:tcPr>
            <w:tcW w:type="dxa" w:w="1584"/>
            <w:vAlign w:val="top"/>
          </w:tcPr>
          <w:p>
            <w:pPr>
              <w:spacing w:after="20" w:before="0" w:line="240" w:lineRule="auto"/>
            </w:pPr>
            <w:r/>
            <w:r>
              <w:rPr>
                <w:b w:val="0"/>
                <w:i w:val="0"/>
                <w:sz w:val="16"/>
              </w:rPr>
              <w:t>2,858.50</w:t>
            </w:r>
          </w:p>
        </w:tc>
        <w:tc>
          <w:tcPr>
            <w:tcW w:type="dxa" w:w="1728"/>
            <w:vAlign w:val="top"/>
          </w:tcPr>
          <w:p>
            <w:pPr>
              <w:spacing w:after="20" w:before="0" w:line="240" w:lineRule="auto"/>
            </w:pPr>
            <w:r/>
            <w:r>
              <w:rPr>
                <w:b w:val="0"/>
                <w:i w:val="0"/>
                <w:sz w:val="16"/>
              </w:rPr>
              <w:t>54,480</w:t>
            </w:r>
          </w:p>
        </w:tc>
        <w:tc>
          <w:tcPr>
            <w:tcW w:type="dxa" w:w="1728"/>
            <w:vAlign w:val="top"/>
          </w:tcPr>
          <w:p>
            <w:pPr>
              <w:spacing w:after="20" w:before="0" w:line="240" w:lineRule="auto"/>
            </w:pPr>
            <w:r/>
            <w:r>
              <w:rPr>
                <w:b w:val="0"/>
                <w:i w:val="0"/>
                <w:sz w:val="16"/>
              </w:rPr>
              <w:t>0.722804</w:t>
            </w:r>
          </w:p>
        </w:tc>
        <w:tc>
          <w:tcPr>
            <w:tcW w:type="dxa" w:w="1872"/>
            <w:vAlign w:val="top"/>
          </w:tcPr>
          <w:p>
            <w:pPr>
              <w:spacing w:after="20" w:before="0" w:line="240" w:lineRule="auto"/>
            </w:pPr>
            <w:r/>
            <w:r>
              <w:rPr>
                <w:b w:val="0"/>
                <w:i w:val="0"/>
                <w:sz w:val="16"/>
              </w:rPr>
              <w:t>7.124279</w:t>
            </w:r>
          </w:p>
        </w:tc>
        <w:tc>
          <w:tcPr>
            <w:tcW w:type="dxa" w:w="2448"/>
            <w:vAlign w:val="top"/>
          </w:tcPr>
          <w:p>
            <w:pPr>
              <w:spacing w:after="20" w:before="0" w:line="240" w:lineRule="auto"/>
            </w:pPr>
            <w:r/>
            <w:r>
              <w:rPr>
                <w:b w:val="0"/>
                <w:i w:val="0"/>
                <w:sz w:val="16"/>
              </w:rPr>
              <w:t>7.12</w:t>
            </w:r>
          </w:p>
        </w:tc>
      </w:tr>
      <w:tr>
        <w:trPr>
          <w:cantSplit w:val="true"/>
        </w:trPr>
        <w:tc>
          <w:tcPr>
            <w:tcW w:type="dxa" w:w="1584"/>
            <w:vAlign w:val="top"/>
          </w:tcPr>
          <w:p>
            <w:pPr>
              <w:spacing w:after="20" w:before="0" w:line="240" w:lineRule="auto"/>
            </w:pPr>
            <w:r/>
            <w:r>
              <w:rPr>
                <w:b w:val="0"/>
                <w:i w:val="0"/>
                <w:sz w:val="16"/>
              </w:rPr>
              <w:t>2,859.20</w:t>
            </w:r>
          </w:p>
        </w:tc>
        <w:tc>
          <w:tcPr>
            <w:tcW w:type="dxa" w:w="1728"/>
            <w:vAlign w:val="top"/>
          </w:tcPr>
          <w:p>
            <w:pPr>
              <w:spacing w:after="20" w:before="0" w:line="240" w:lineRule="auto"/>
            </w:pPr>
            <w:r/>
            <w:r>
              <w:rPr>
                <w:b w:val="0"/>
                <w:i w:val="0"/>
                <w:sz w:val="16"/>
              </w:rPr>
              <w:t>57,180</w:t>
            </w:r>
          </w:p>
        </w:tc>
        <w:tc>
          <w:tcPr>
            <w:tcW w:type="dxa" w:w="1728"/>
            <w:vAlign w:val="top"/>
          </w:tcPr>
          <w:p>
            <w:pPr>
              <w:spacing w:after="20" w:before="0" w:line="240" w:lineRule="auto"/>
            </w:pPr>
            <w:r/>
            <w:r>
              <w:rPr>
                <w:b w:val="0"/>
                <w:i w:val="0"/>
                <w:sz w:val="16"/>
              </w:rPr>
              <w:t>0.897176</w:t>
            </w:r>
          </w:p>
        </w:tc>
        <w:tc>
          <w:tcPr>
            <w:tcW w:type="dxa" w:w="1872"/>
            <w:vAlign w:val="top"/>
          </w:tcPr>
          <w:p>
            <w:pPr>
              <w:spacing w:after="20" w:before="0" w:line="240" w:lineRule="auto"/>
            </w:pPr>
            <w:r/>
            <w:r>
              <w:rPr>
                <w:b w:val="0"/>
                <w:i w:val="0"/>
                <w:sz w:val="16"/>
              </w:rPr>
              <w:t>8.021455</w:t>
            </w:r>
          </w:p>
        </w:tc>
        <w:tc>
          <w:tcPr>
            <w:tcW w:type="dxa" w:w="2448"/>
            <w:vAlign w:val="top"/>
          </w:tcPr>
          <w:p>
            <w:pPr>
              <w:spacing w:after="20" w:before="0" w:line="240" w:lineRule="auto"/>
            </w:pPr>
            <w:r/>
            <w:r>
              <w:rPr>
                <w:b w:val="0"/>
                <w:i w:val="0"/>
                <w:sz w:val="16"/>
              </w:rPr>
              <w:t>8.02</w:t>
            </w:r>
          </w:p>
        </w:tc>
      </w:tr>
    </w:tbl>
    <w:p>
      <w:pPr>
        <w:spacing w:after="40"/>
      </w:pPr>
    </w:p>
    <w:p>
      <w:r>
        <w:rPr>
          <w:b w:val="0"/>
          <w:i w:val="0"/>
          <w:sz w:val="19"/>
        </w:rPr>
        <w:t>Increment = (A</w:t>
      </w:r>
      <w:r>
        <w:rPr>
          <w:b w:val="0"/>
          <w:i w:val="0"/>
          <w:sz w:val="19"/>
          <w:vertAlign w:val="subscript"/>
        </w:rPr>
        <w:t>1</w:t>
      </w:r>
      <w:r>
        <w:rPr>
          <w:b w:val="0"/>
          <w:i w:val="0"/>
          <w:sz w:val="19"/>
        </w:rPr>
        <w:t xml:space="preserve"> + A</w:t>
      </w:r>
      <w:r>
        <w:rPr>
          <w:b w:val="0"/>
          <w:i w:val="0"/>
          <w:sz w:val="19"/>
          <w:vertAlign w:val="subscript"/>
        </w:rPr>
        <w:t>2</w:t>
      </w:r>
      <w:r>
        <w:rPr>
          <w:b w:val="0"/>
          <w:i w:val="0"/>
          <w:sz w:val="19"/>
        </w:rPr>
        <w:t>) / 2 × Δh / 43,560 sf/ac. Preliminary calc: 8.1 ac-ft − 6.4 ac-ft = 1.7 ac-ft (26.5625 % over the allocation); 8.1 ac-ft − 8.021455 ac-ft = 0.078545 ac-ft over the storage to today’s top of berm.</w:t>
      </w:r>
    </w:p>
    <w:p>
      <w:pPr>
        <w:keepNext/>
        <w:spacing w:after="40" w:before="80"/>
      </w:pPr>
      <w:r>
        <w:rPr>
          <w:b/>
          <w:i w:val="0"/>
          <w:sz w:val="20"/>
        </w:rPr>
        <w:t>A-8  Footprint and access ramp</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2592"/>
        <w:gridCol w:w="3744"/>
        <w:gridCol w:w="3024"/>
      </w:tblGrid>
      <w:tr>
        <w:trPr>
          <w:tblHeader w:val="true"/>
        </w:trPr>
        <w:tc>
          <w:tcPr>
            <w:tcW w:type="dxa" w:w="2592"/>
            <w:vAlign w:val="top"/>
            <w:shd w:val="clear" w:color="auto" w:fill="D9E2F3"/>
          </w:tcPr>
          <w:p>
            <w:pPr>
              <w:spacing w:after="20" w:before="0" w:line="240" w:lineRule="auto"/>
            </w:pPr>
            <w:r/>
            <w:r>
              <w:rPr>
                <w:b/>
                <w:i w:val="0"/>
                <w:sz w:val="16"/>
              </w:rPr>
              <w:t>Step</w:t>
            </w:r>
          </w:p>
        </w:tc>
        <w:tc>
          <w:tcPr>
            <w:tcW w:type="dxa" w:w="3744"/>
            <w:vAlign w:val="top"/>
            <w:shd w:val="clear" w:color="auto" w:fill="D9E2F3"/>
          </w:tcPr>
          <w:p>
            <w:pPr>
              <w:spacing w:after="20" w:before="0" w:line="240" w:lineRule="auto"/>
            </w:pPr>
            <w:r/>
            <w:r>
              <w:rPr>
                <w:b/>
                <w:i w:val="0"/>
                <w:sz w:val="16"/>
              </w:rPr>
              <w:t>Computation</w:t>
            </w:r>
          </w:p>
        </w:tc>
        <w:tc>
          <w:tcPr>
            <w:tcW w:type="dxa" w:w="3024"/>
            <w:vAlign w:val="top"/>
            <w:shd w:val="clear" w:color="auto" w:fill="D9E2F3"/>
          </w:tcPr>
          <w:p>
            <w:pPr>
              <w:spacing w:after="20" w:before="0" w:line="240" w:lineRule="auto"/>
            </w:pPr>
            <w:r/>
            <w:r>
              <w:rPr>
                <w:b/>
                <w:i w:val="0"/>
                <w:sz w:val="16"/>
              </w:rPr>
              <w:t>Result</w:t>
            </w:r>
          </w:p>
        </w:tc>
      </w:tr>
      <w:tr>
        <w:trPr>
          <w:cantSplit w:val="true"/>
        </w:trPr>
        <w:tc>
          <w:tcPr>
            <w:tcW w:type="dxa" w:w="2592"/>
            <w:vAlign w:val="top"/>
          </w:tcPr>
          <w:p>
            <w:pPr>
              <w:spacing w:after="20" w:before="0" w:line="240" w:lineRule="auto"/>
            </w:pPr>
            <w:r/>
            <w:r>
              <w:rPr>
                <w:b w:val="0"/>
                <w:i w:val="0"/>
                <w:sz w:val="16"/>
              </w:rPr>
              <w:t>Embankment widening per side</w:t>
            </w:r>
          </w:p>
        </w:tc>
        <w:tc>
          <w:tcPr>
            <w:tcW w:type="dxa" w:w="3744"/>
            <w:vAlign w:val="top"/>
          </w:tcPr>
          <w:p>
            <w:pPr>
              <w:spacing w:after="20" w:before="0" w:line="240" w:lineRule="auto"/>
            </w:pPr>
            <w:r/>
            <w:r>
              <w:rPr>
                <w:b w:val="0"/>
                <w:i w:val="0"/>
                <w:sz w:val="16"/>
              </w:rPr>
              <w:t>(4 + 3) × 1.10 ft</w:t>
            </w:r>
          </w:p>
        </w:tc>
        <w:tc>
          <w:tcPr>
            <w:tcW w:type="dxa" w:w="3024"/>
            <w:vAlign w:val="top"/>
          </w:tcPr>
          <w:p>
            <w:pPr>
              <w:spacing w:after="20" w:before="0" w:line="240" w:lineRule="auto"/>
            </w:pPr>
            <w:r/>
            <w:r>
              <w:rPr>
                <w:b w:val="0"/>
                <w:i w:val="0"/>
                <w:sz w:val="16"/>
              </w:rPr>
              <w:t>7.70 ft (interior top line 4.40 ft; exterior toe a further 3.30 ft)</w:t>
            </w:r>
          </w:p>
        </w:tc>
      </w:tr>
      <w:tr>
        <w:trPr>
          <w:cantSplit w:val="true"/>
        </w:trPr>
        <w:tc>
          <w:tcPr>
            <w:tcW w:type="dxa" w:w="2592"/>
            <w:vAlign w:val="top"/>
          </w:tcPr>
          <w:p>
            <w:pPr>
              <w:spacing w:after="20" w:before="0" w:line="240" w:lineRule="auto"/>
            </w:pPr>
            <w:r/>
            <w:r>
              <w:rPr>
                <w:b w:val="0"/>
                <w:i w:val="0"/>
                <w:sz w:val="16"/>
              </w:rPr>
              <w:t>Interior top line at 2,860.30 ft</w:t>
            </w:r>
          </w:p>
        </w:tc>
        <w:tc>
          <w:tcPr>
            <w:tcW w:type="dxa" w:w="3744"/>
            <w:vAlign w:val="top"/>
          </w:tcPr>
          <w:p>
            <w:pPr>
              <w:spacing w:after="20" w:before="0" w:line="240" w:lineRule="auto"/>
            </w:pPr>
            <w:r/>
            <w:r>
              <w:rPr>
                <w:b w:val="0"/>
                <w:i w:val="0"/>
                <w:sz w:val="16"/>
              </w:rPr>
              <w:t>(293 ft + 8.80 ft) × (195 ft + 8.80 ft), from C-6 293 ft × 195 ft</w:t>
            </w:r>
          </w:p>
        </w:tc>
        <w:tc>
          <w:tcPr>
            <w:tcW w:type="dxa" w:w="3024"/>
            <w:vAlign w:val="top"/>
          </w:tcPr>
          <w:p>
            <w:pPr>
              <w:spacing w:after="20" w:before="0" w:line="240" w:lineRule="auto"/>
            </w:pPr>
            <w:r/>
            <w:r>
              <w:rPr>
                <w:b w:val="0"/>
                <w:i w:val="0"/>
                <w:sz w:val="16"/>
              </w:rPr>
              <w:t>301.80 ft × 203.80 ft</w:t>
            </w:r>
          </w:p>
        </w:tc>
      </w:tr>
      <w:tr>
        <w:trPr>
          <w:cantSplit w:val="true"/>
        </w:trPr>
        <w:tc>
          <w:tcPr>
            <w:tcW w:type="dxa" w:w="2592"/>
            <w:vAlign w:val="top"/>
          </w:tcPr>
          <w:p>
            <w:pPr>
              <w:spacing w:after="20" w:before="0" w:line="240" w:lineRule="auto"/>
            </w:pPr>
            <w:r/>
            <w:r>
              <w:rPr>
                <w:b w:val="0"/>
                <w:i w:val="0"/>
                <w:sz w:val="16"/>
              </w:rPr>
              <w:t>Current top-of-berm footprint</w:t>
            </w:r>
          </w:p>
        </w:tc>
        <w:tc>
          <w:tcPr>
            <w:tcW w:type="dxa" w:w="3744"/>
            <w:vAlign w:val="top"/>
          </w:tcPr>
          <w:p>
            <w:pPr>
              <w:spacing w:after="20" w:before="0" w:line="240" w:lineRule="auto"/>
            </w:pPr>
            <w:r/>
            <w:r>
              <w:rPr>
                <w:b w:val="0"/>
                <w:i w:val="0"/>
                <w:sz w:val="16"/>
              </w:rPr>
              <w:t>293 ft × 195 ft</w:t>
            </w:r>
          </w:p>
        </w:tc>
        <w:tc>
          <w:tcPr>
            <w:tcW w:type="dxa" w:w="3024"/>
            <w:vAlign w:val="top"/>
          </w:tcPr>
          <w:p>
            <w:pPr>
              <w:spacing w:after="20" w:before="0" w:line="240" w:lineRule="auto"/>
            </w:pPr>
            <w:r/>
            <w:r>
              <w:rPr>
                <w:b w:val="0"/>
                <w:i w:val="0"/>
                <w:sz w:val="16"/>
              </w:rPr>
              <w:t>57,135 sf = 1.311639 ac (C-6: ≈ 1.31 ac)</w:t>
            </w:r>
          </w:p>
        </w:tc>
      </w:tr>
      <w:tr>
        <w:trPr>
          <w:cantSplit w:val="true"/>
        </w:trPr>
        <w:tc>
          <w:tcPr>
            <w:tcW w:type="dxa" w:w="2592"/>
            <w:vAlign w:val="top"/>
          </w:tcPr>
          <w:p>
            <w:pPr>
              <w:spacing w:after="20" w:before="0" w:line="240" w:lineRule="auto"/>
            </w:pPr>
            <w:r/>
            <w:r>
              <w:rPr>
                <w:b w:val="0"/>
                <w:i w:val="0"/>
                <w:sz w:val="16"/>
              </w:rPr>
              <w:t>Parcel E</w:t>
            </w:r>
          </w:p>
        </w:tc>
        <w:tc>
          <w:tcPr>
            <w:tcW w:type="dxa" w:w="3744"/>
            <w:vAlign w:val="top"/>
          </w:tcPr>
          <w:p>
            <w:pPr>
              <w:spacing w:after="20" w:before="0" w:line="240" w:lineRule="auto"/>
            </w:pPr>
            <w:r/>
            <w:r>
              <w:rPr>
                <w:b w:val="0"/>
                <w:i w:val="0"/>
                <w:sz w:val="16"/>
              </w:rPr>
              <w:t>2.04 ac × 43,560 sf/ac (FM Check Print, Sheet 4)</w:t>
            </w:r>
          </w:p>
        </w:tc>
        <w:tc>
          <w:tcPr>
            <w:tcW w:type="dxa" w:w="3024"/>
            <w:vAlign w:val="top"/>
          </w:tcPr>
          <w:p>
            <w:pPr>
              <w:spacing w:after="20" w:before="0" w:line="240" w:lineRule="auto"/>
            </w:pPr>
            <w:r/>
            <w:r>
              <w:rPr>
                <w:b w:val="0"/>
                <w:i w:val="0"/>
                <w:sz w:val="16"/>
              </w:rPr>
              <w:t>88,862.4 sf; 31,727.4 sf outside the top-of-berm line</w:t>
            </w:r>
          </w:p>
        </w:tc>
      </w:tr>
      <w:tr>
        <w:trPr>
          <w:cantSplit w:val="true"/>
        </w:trPr>
        <w:tc>
          <w:tcPr>
            <w:tcW w:type="dxa" w:w="2592"/>
            <w:vAlign w:val="top"/>
          </w:tcPr>
          <w:p>
            <w:pPr>
              <w:spacing w:after="20" w:before="0" w:line="240" w:lineRule="auto"/>
            </w:pPr>
            <w:r/>
            <w:r>
              <w:rPr>
                <w:b w:val="0"/>
                <w:i w:val="0"/>
                <w:sz w:val="16"/>
              </w:rPr>
              <w:t>Illustrative uniform band d</w:t>
            </w:r>
          </w:p>
        </w:tc>
        <w:tc>
          <w:tcPr>
            <w:tcW w:type="dxa" w:w="3744"/>
            <w:vAlign w:val="top"/>
          </w:tcPr>
          <w:p>
            <w:pPr>
              <w:spacing w:after="20" w:before="0" w:line="240" w:lineRule="auto"/>
            </w:pPr>
            <w:r/>
            <w:r>
              <w:rPr>
                <w:b w:val="0"/>
                <w:i w:val="0"/>
                <w:sz w:val="16"/>
              </w:rPr>
              <w:t>(293 ft + 2d)(195 ft + 2d) = 88,862.4 sf</w:t>
            </w:r>
          </w:p>
        </w:tc>
        <w:tc>
          <w:tcPr>
            <w:tcW w:type="dxa" w:w="3024"/>
            <w:vAlign w:val="top"/>
          </w:tcPr>
          <w:p>
            <w:pPr>
              <w:spacing w:after="20" w:before="0" w:line="240" w:lineRule="auto"/>
            </w:pPr>
            <w:r/>
            <w:r>
              <w:rPr>
                <w:b w:val="0"/>
                <w:i w:val="0"/>
                <w:sz w:val="16"/>
              </w:rPr>
              <w:t>29.049164 ft</w:t>
            </w:r>
          </w:p>
        </w:tc>
      </w:tr>
      <w:tr>
        <w:trPr>
          <w:cantSplit w:val="true"/>
        </w:trPr>
        <w:tc>
          <w:tcPr>
            <w:tcW w:type="dxa" w:w="2592"/>
            <w:vAlign w:val="top"/>
          </w:tcPr>
          <w:p>
            <w:pPr>
              <w:spacing w:after="20" w:before="0" w:line="240" w:lineRule="auto"/>
            </w:pPr>
            <w:r/>
            <w:r>
              <w:rPr>
                <w:b w:val="0"/>
                <w:i w:val="0"/>
                <w:sz w:val="16"/>
              </w:rPr>
              <w:t>East spillway as drawn</w:t>
            </w:r>
          </w:p>
        </w:tc>
        <w:tc>
          <w:tcPr>
            <w:tcW w:type="dxa" w:w="3744"/>
            <w:vAlign w:val="top"/>
          </w:tcPr>
          <w:p>
            <w:pPr>
              <w:spacing w:after="20" w:before="0" w:line="240" w:lineRule="auto"/>
            </w:pPr>
            <w:r/>
            <w:r>
              <w:rPr>
                <w:b w:val="0"/>
                <w:i w:val="0"/>
                <w:sz w:val="16"/>
              </w:rPr>
              <w:t>6.0 ft crest + 16.50 ft face</w:t>
            </w:r>
          </w:p>
        </w:tc>
        <w:tc>
          <w:tcPr>
            <w:tcW w:type="dxa" w:w="3024"/>
            <w:vAlign w:val="top"/>
          </w:tcPr>
          <w:p>
            <w:pPr>
              <w:spacing w:after="20" w:before="0" w:line="240" w:lineRule="auto"/>
            </w:pPr>
            <w:r/>
            <w:r>
              <w:rPr>
                <w:b w:val="0"/>
                <w:i w:val="0"/>
                <w:sz w:val="16"/>
              </w:rPr>
              <w:t>22.50 ft; 6.549164 ft left beyond the toe</w:t>
            </w:r>
          </w:p>
        </w:tc>
      </w:tr>
      <w:tr>
        <w:trPr>
          <w:cantSplit w:val="true"/>
        </w:trPr>
        <w:tc>
          <w:tcPr>
            <w:tcW w:type="dxa" w:w="2592"/>
            <w:vAlign w:val="top"/>
          </w:tcPr>
          <w:p>
            <w:pPr>
              <w:spacing w:after="20" w:before="0" w:line="240" w:lineRule="auto"/>
            </w:pPr>
            <w:r/>
            <w:r>
              <w:rPr>
                <w:b w:val="0"/>
                <w:i w:val="0"/>
                <w:sz w:val="16"/>
              </w:rPr>
              <w:t>Access ramp at 6 %</w:t>
            </w:r>
          </w:p>
        </w:tc>
        <w:tc>
          <w:tcPr>
            <w:tcW w:type="dxa" w:w="3744"/>
            <w:vAlign w:val="top"/>
          </w:tcPr>
          <w:p>
            <w:pPr>
              <w:spacing w:after="20" w:before="0" w:line="240" w:lineRule="auto"/>
            </w:pPr>
            <w:r/>
            <w:r>
              <w:rPr>
                <w:b w:val="0"/>
                <w:i w:val="0"/>
                <w:sz w:val="16"/>
              </w:rPr>
              <w:t>(2,859.20 ft − 2,851.00 ft) / 0.06 → (2,860.30 ft − 2,851.00 ft) / 0.06</w:t>
            </w:r>
          </w:p>
        </w:tc>
        <w:tc>
          <w:tcPr>
            <w:tcW w:type="dxa" w:w="3024"/>
            <w:vAlign w:val="top"/>
          </w:tcPr>
          <w:p>
            <w:pPr>
              <w:spacing w:after="20" w:before="0" w:line="240" w:lineRule="auto"/>
            </w:pPr>
            <w:r/>
            <w:r>
              <w:rPr>
                <w:b w:val="0"/>
                <w:i w:val="0"/>
                <w:sz w:val="16"/>
              </w:rPr>
              <w:t>136.666667 ft → 155.000000 ft</w:t>
            </w:r>
          </w:p>
        </w:tc>
      </w:tr>
    </w:tbl>
    <w:p>
      <w:pPr>
        <w:spacing w:after="40"/>
      </w:pPr>
    </w:p>
    <w:p>
      <w:r>
        <w:br w:type="page"/>
      </w:r>
    </w:p>
    <w:p>
      <w:pPr>
        <w:spacing w:after="40"/>
      </w:pPr>
      <w:r>
        <w:rPr>
          <w:b/>
          <w:i w:val="0"/>
          <w:color w:val="1F3864"/>
          <w:sz w:val="25"/>
        </w:rPr>
        <w:t>ATTACHMENT B — DRAFT TEXT FOR THE REVISED SHEET C-9</w:t>
      </w:r>
    </w:p>
    <w:p>
      <w:r>
        <w:rPr>
          <w:b w:val="0"/>
          <w:i/>
          <w:sz w:val="19"/>
        </w:rPr>
        <w:t>Sheet language for the drainage lead. Values are from Attachment A; sources are the records named in Attachment C.</w:t>
      </w:r>
    </w:p>
    <w:p>
      <w:pPr>
        <w:keepNext/>
        <w:spacing w:after="40" w:before="80"/>
      </w:pPr>
      <w:r>
        <w:rPr>
          <w:b/>
          <w:i w:val="0"/>
          <w:sz w:val="20"/>
        </w:rPr>
        <w:t>Detail — Emergency Spillway (Revised)</w:t>
      </w:r>
    </w:p>
    <w:p>
      <w:pPr>
        <w:pStyle w:val="ListBullet"/>
        <w:spacing w:after="60"/>
        <w:ind w:left="360"/>
      </w:pPr>
      <w:r>
        <w:rPr>
          <w:b w:val="0"/>
          <w:i w:val="0"/>
          <w:sz w:val="20"/>
        </w:rPr>
        <w:t>Broad-crested weir on the south berm of the detention basin, Common-Area Parcel “E.” Crest elevation 2,858.50 ft. Crest length 50.0 ft (along berm). Crest breadth 6.0 ft (direction of flow). Notch side slopes 4H:1V from crest to top of berm 2,860.30 ft; notch top width 64.40 ft.</w:t>
      </w:r>
    </w:p>
    <w:p>
      <w:pPr>
        <w:pStyle w:val="ListBullet"/>
        <w:spacing w:after="60"/>
        <w:ind w:left="360"/>
      </w:pPr>
      <w:r>
        <w:rPr>
          <w:b w:val="0"/>
          <w:i w:val="0"/>
          <w:sz w:val="20"/>
        </w:rPr>
        <w:t>Design discharge 88.4 cfs: Phase 3 100-year peak inflow, Master Drainage Study — Desert Sage Ranch (140 acres), Revision 1, February 2022, Appendices C-2 and D-1. Outlet works assumed fully blocked and basin at crest when the peak arrives; no credit for storage or outlet discharge.</w:t>
      </w:r>
    </w:p>
    <w:p>
      <w:pPr>
        <w:pStyle w:val="ListBullet"/>
        <w:spacing w:after="60"/>
        <w:ind w:left="360"/>
      </w:pPr>
      <w:r>
        <w:rPr>
          <w:b w:val="0"/>
          <w:i w:val="0"/>
          <w:sz w:val="20"/>
        </w:rPr>
        <w:t>Q = C L H</w:t>
      </w:r>
      <w:r>
        <w:rPr>
          <w:b w:val="0"/>
          <w:i w:val="0"/>
          <w:sz w:val="20"/>
          <w:vertAlign w:val="superscript"/>
        </w:rPr>
        <w:t>1.5</w:t>
      </w:r>
      <w:r>
        <w:rPr>
          <w:b w:val="0"/>
          <w:i w:val="0"/>
          <w:sz w:val="20"/>
        </w:rPr>
        <w:t>, C = 2.6 ft</w:t>
      </w:r>
      <w:r>
        <w:rPr>
          <w:b w:val="0"/>
          <w:i w:val="0"/>
          <w:sz w:val="20"/>
          <w:vertAlign w:val="superscript"/>
        </w:rPr>
        <w:t>0.5</w:t>
      </w:r>
      <w:r>
        <w:rPr>
          <w:b w:val="0"/>
          <w:i w:val="0"/>
          <w:sz w:val="20"/>
        </w:rPr>
        <w:t>/s. Design head 0.77 ft. Spillway design water surface 2,859.27 ft.</w:t>
      </w:r>
    </w:p>
    <w:p>
      <w:pPr>
        <w:pStyle w:val="ListBullet"/>
        <w:spacing w:after="60"/>
        <w:ind w:left="360"/>
      </w:pPr>
      <w:r>
        <w:rPr>
          <w:b w:val="0"/>
          <w:i w:val="0"/>
          <w:sz w:val="20"/>
        </w:rPr>
        <w:t>Freeboard 1.03 ft from spillway design water surface (2,859.27 ft) to top of berm (2,860.30 ft); minimum 1.0 ft. Crest 0.59 ft above the 100-year water surface (2,857.91 ft).</w:t>
      </w:r>
    </w:p>
    <w:p>
      <w:pPr>
        <w:pStyle w:val="ListBullet"/>
        <w:spacing w:after="60"/>
        <w:ind w:left="360"/>
      </w:pPr>
      <w:r>
        <w:rPr>
          <w:b w:val="0"/>
          <w:i w:val="0"/>
          <w:sz w:val="20"/>
        </w:rPr>
        <w:t>Crest surface: articulated concrete block over geotextile filter fabric.</w:t>
      </w:r>
    </w:p>
    <w:p>
      <w:pPr>
        <w:pStyle w:val="ListBullet"/>
        <w:spacing w:after="60"/>
        <w:ind w:left="360"/>
      </w:pPr>
      <w:r>
        <w:rPr>
          <w:b w:val="0"/>
          <w:i w:val="0"/>
          <w:sz w:val="20"/>
        </w:rPr>
        <w:t>Exterior face (3H:1V) and apron: grouted riprap, D</w:t>
      </w:r>
      <w:r>
        <w:rPr>
          <w:b w:val="0"/>
          <w:i w:val="0"/>
          <w:sz w:val="20"/>
          <w:vertAlign w:val="subscript"/>
        </w:rPr>
        <w:t>50</w:t>
      </w:r>
      <w:r>
        <w:rPr>
          <w:b w:val="0"/>
          <w:i w:val="0"/>
          <w:sz w:val="20"/>
        </w:rPr>
        <w:t xml:space="preserve"> = 12 in, on bedding and geotextile; layer thickness, bedding gradation, toe-down depth and stone size as dimensioned on the spillway section per the CCRFCD Hydrologic Criteria and Drainage Design Manual calculation at unit discharge 1.768 cfs/ft. Armor continuous across the full 64.40-ft notch, down the full exterior face past the toe, and through the overflow channel to the Windmill Lane right-of-way; edges keyed; cutoff at downstream end.</w:t>
      </w:r>
    </w:p>
    <w:p>
      <w:pPr>
        <w:pStyle w:val="ListBullet"/>
        <w:spacing w:after="60"/>
        <w:ind w:left="360"/>
      </w:pPr>
      <w:r>
        <w:rPr>
          <w:b w:val="0"/>
          <w:i w:val="0"/>
          <w:sz w:val="20"/>
        </w:rPr>
        <w:t>Overflow channel: lined channel within Common-Area Parcel “E” and the drainage easement shown on FM-26-100290, discharging to the Windmill Lane gutter through a curb-and-walk outlet sized for 88.4 cfs per the Clark County Uniform Standard Drawings, located where the Windmill Lane gutter falls west, downstream of the Desert Sage Pkwy. low point.</w:t>
      </w:r>
    </w:p>
    <w:p>
      <w:pPr>
        <w:pStyle w:val="ListBullet"/>
        <w:spacing w:after="60"/>
        <w:ind w:left="360"/>
      </w:pPr>
      <w:r>
        <w:rPr>
          <w:b w:val="0"/>
          <w:i w:val="0"/>
          <w:sz w:val="20"/>
        </w:rPr>
        <w:t>No fence, gate, wall, tree or structure across the spillway crest or the overflow channel.</w:t>
      </w:r>
    </w:p>
    <w:p>
      <w:pPr>
        <w:pStyle w:val="ListBullet"/>
        <w:spacing w:after="60"/>
        <w:ind w:left="360"/>
      </w:pPr>
      <w:r>
        <w:rPr>
          <w:b w:val="0"/>
          <w:i w:val="0"/>
          <w:sz w:val="20"/>
        </w:rPr>
        <w:t>Spillway rating (rectangular crest only): 2,858.50 ft — 0 cfs; 2,858.75 ft — 16.25 cfs; 2,859.00 ft — 45.96 cfs; 2,859.27 ft — 88.4 cfs (design); 2,859.50 ft — 130.00 cfs; 2,860.30 ft (top of berm) — 313.94 cfs.</w:t>
      </w:r>
    </w:p>
    <w:p>
      <w:pPr>
        <w:pStyle w:val="ListBullet"/>
        <w:spacing w:after="60"/>
        <w:ind w:left="360"/>
      </w:pPr>
      <w:r>
        <w:rPr>
          <w:b w:val="0"/>
          <w:i w:val="0"/>
          <w:sz w:val="20"/>
        </w:rPr>
        <w:t>Vertical dimension string: basin bottom 2,851.00 ft | 6.91 ft | 100-year WSEL 2,857.91 ft | 0.59 ft | crest 2,858.50 ft | 0.77 ft | spillway design water surface 2,859.27 ft | 1.03 ft | top of berm 2,860.30 ft.</w:t>
      </w:r>
    </w:p>
    <w:p>
      <w:pPr>
        <w:keepNext/>
        <w:spacing w:after="40" w:before="80"/>
      </w:pPr>
      <w:r>
        <w:rPr>
          <w:b/>
          <w:i w:val="0"/>
          <w:sz w:val="20"/>
        </w:rPr>
        <w:t>Basin Notes (Revised)</w:t>
      </w:r>
    </w:p>
    <w:p>
      <w:pPr>
        <w:spacing w:after="60"/>
        <w:ind w:left="360" w:hanging="360"/>
      </w:pPr>
      <w:r>
        <w:rPr>
          <w:b w:val="0"/>
          <w:i w:val="0"/>
        </w:rPr>
        <w:t>1.  The detention basin provides the Phase 3 detention allocation of 6.4 acre-feet established in Table 4-1 of the Master Drainage Study — Desert Sage Ranch (140 acres), Sundial Engineering &amp; Survey, Revision 1 dated February 2022, accepted by the Clark County Regional Flood Control District by letter dated 02/28/2022. Storage provided between the basin bottom (2,851.00 ft) and the 100-year water surface (2,857.91 ft) is 6.40 acre-feet (Storage Summary Table, this sheet).</w:t>
      </w:r>
    </w:p>
    <w:p>
      <w:pPr>
        <w:spacing w:after="60"/>
        <w:ind w:left="360" w:hanging="360"/>
      </w:pPr>
      <w:r>
        <w:rPr>
          <w:b w:val="0"/>
          <w:i w:val="0"/>
        </w:rPr>
        <w:t>2.  The outlet works reproduce the stage–discharge relationship of Master Drainage Study Appendix D-2: 4.9 cfs at 2,853.00 ft; 12.6 cfs at 2,855.00 ft; 23.1 cfs at 2,857.00 ft; 27.9 cfs at 2,857.91 ft; 41.5 cfs at 2,858.50 ft. Shared-outfall discharge for the fully developed 140-acre site remains at or below Q</w:t>
      </w:r>
      <w:r>
        <w:rPr>
          <w:b w:val="0"/>
          <w:i w:val="0"/>
          <w:vertAlign w:val="subscript"/>
        </w:rPr>
        <w:t>100</w:t>
      </w:r>
      <w:r>
        <w:rPr>
          <w:b w:val="0"/>
          <w:i w:val="0"/>
        </w:rPr>
        <w:t xml:space="preserve"> = 78 cfs.</w:t>
      </w:r>
    </w:p>
    <w:p>
      <w:pPr>
        <w:spacing w:after="60"/>
        <w:ind w:left="360" w:hanging="360"/>
      </w:pPr>
      <w:r>
        <w:rPr>
          <w:b w:val="0"/>
          <w:i w:val="0"/>
        </w:rPr>
        <w:t>3.  Freeboard with the outlet works operating: 100-year water surface 2,857.91 ft to top of berm 2,860.30 ft = 2.39 ft (minimum 1.0 ft).</w:t>
      </w:r>
    </w:p>
    <w:p>
      <w:pPr>
        <w:spacing w:after="60"/>
        <w:ind w:left="360" w:hanging="360"/>
      </w:pPr>
      <w:r>
        <w:rPr>
          <w:b w:val="0"/>
          <w:i w:val="0"/>
        </w:rPr>
        <w:t>4.  Emergency spillway (see Detail): south berm; crest 2,858.50 ft, 0.59 ft above the 100-year water surface; crest length 50.0 ft; design discharge 88.4 cfs with the outlet works fully blocked; spillway design water surface 2,859.27 ft; freeboard to top of berm 1.03 ft (minimum 1.0 ft).</w:t>
      </w:r>
    </w:p>
    <w:p>
      <w:pPr>
        <w:spacing w:after="60"/>
        <w:ind w:left="360" w:hanging="360"/>
      </w:pPr>
      <w:r>
        <w:rPr>
          <w:b w:val="0"/>
          <w:i w:val="0"/>
        </w:rPr>
        <w:t>5.  Minimum rim elevation 2,860.30 ft around the entire basin perimeter except at the spillway crest, provided by compacted embankment or by adjoining finished grade. All embankment, spillway, armor and overflow channel lie within Common-Area Parcel “E” or the drainage easement shown on FM-26-100290.</w:t>
      </w:r>
    </w:p>
    <w:p>
      <w:pPr>
        <w:spacing w:after="60"/>
        <w:ind w:left="360" w:hanging="360"/>
      </w:pPr>
      <w:r>
        <w:rPr>
          <w:b w:val="0"/>
          <w:i w:val="0"/>
        </w:rPr>
        <w:t>6.  Spillway discharge is carried south in the lined overflow channel to the Windmill Lane right-of-way and flows west in Windmill Lane toward Rainbow Boulevard. No spillway or overflow discharge is directed onto any lot.</w:t>
      </w:r>
    </w:p>
    <w:p>
      <w:pPr>
        <w:spacing w:after="60"/>
        <w:ind w:left="360" w:hanging="360"/>
      </w:pPr>
      <w:r>
        <w:rPr>
          <w:b w:val="0"/>
          <w:i w:val="0"/>
        </w:rPr>
        <w:t>7.  Common-Area Parcel “E” and all basin appurtenances — outlet works, emergency spillway, armor, overflow channel, access ramp, gate and maintenance path — are owned and maintained by the Desert Sage Ranch Community Association. Parcel “E” and these improvements are added to Exhibit B (Common Area Maintenance Exhibit) of the Declaration of CC&amp;Rs, Instrument No. 20241223-0004422, by the Phase 3 supplemental declaration recorded with FM-26-100290. The Association inspects the spillway, armor and overflow channel after any event in which the water surface reaches the spillway crest (2,858.50 ft) and restores them in accordance with the approved operations and maintenance manual.</w:t>
      </w:r>
    </w:p>
    <w:p>
      <w:pPr>
        <w:spacing w:after="60"/>
        <w:ind w:left="360" w:hanging="360"/>
      </w:pPr>
      <w:r>
        <w:rPr>
          <w:b w:val="0"/>
          <w:i w:val="0"/>
        </w:rPr>
        <w:t>8.  Basin bottom shall be graded to drain to the outlet control structure at a minimum longitudinal slope of 0.5 %. No standing water within 72 hours of a design event.</w:t>
      </w:r>
    </w:p>
    <w:p>
      <w:pPr>
        <w:keepNext/>
        <w:spacing w:after="40" w:before="80"/>
      </w:pPr>
      <w:r>
        <w:rPr>
          <w:b/>
          <w:i w:val="0"/>
          <w:sz w:val="20"/>
        </w:rPr>
        <w:t>Delete from the current sheet</w:t>
      </w:r>
    </w:p>
    <w:p>
      <w:pPr>
        <w:pStyle w:val="ListBullet"/>
        <w:spacing w:after="60"/>
        <w:ind w:left="360"/>
      </w:pPr>
      <w:r>
        <w:rPr>
          <w:b w:val="0"/>
          <w:i w:val="0"/>
          <w:sz w:val="20"/>
        </w:rPr>
        <w:t>Spillway detail callout “(0.71′ above 100-year water surface).”</w:t>
      </w:r>
    </w:p>
    <w:p>
      <w:pPr>
        <w:pStyle w:val="ListBullet"/>
        <w:spacing w:after="60"/>
        <w:ind w:left="360"/>
      </w:pPr>
      <w:r>
        <w:rPr>
          <w:b w:val="0"/>
          <w:i w:val="0"/>
          <w:sz w:val="20"/>
        </w:rPr>
        <w:t>Spillway detail callout “flow spreads to downstream open swale in Common-Area Parcel ‘E’ and exits at Windmill Ln. gutter line.”</w:t>
      </w:r>
    </w:p>
    <w:p>
      <w:pPr>
        <w:pStyle w:val="ListBullet"/>
        <w:spacing w:after="60"/>
        <w:ind w:left="360"/>
      </w:pPr>
      <w:r>
        <w:rPr>
          <w:b w:val="0"/>
          <w:i w:val="0"/>
          <w:sz w:val="20"/>
        </w:rPr>
        <w:t>Apron dimension “15′ × 20′.”</w:t>
      </w:r>
    </w:p>
    <w:p>
      <w:pPr>
        <w:pStyle w:val="ListBullet"/>
        <w:spacing w:after="60"/>
        <w:ind w:left="360"/>
      </w:pPr>
      <w:r>
        <w:rPr>
          <w:b w:val="0"/>
          <w:i w:val="0"/>
          <w:sz w:val="20"/>
        </w:rPr>
        <w:t>Basin Note “Freeboard between the 100-year water surface (2,857.91′) and the top of berm (2,859.20′) is 1.29′ …”</w:t>
      </w:r>
    </w:p>
    <w:p>
      <w:pPr>
        <w:pStyle w:val="ListBullet"/>
        <w:spacing w:after="60"/>
        <w:ind w:left="360"/>
      </w:pPr>
      <w:r>
        <w:rPr>
          <w:b w:val="0"/>
          <w:i w:val="0"/>
          <w:sz w:val="20"/>
        </w:rPr>
        <w:t>Basin Note “Emergency spillway crest set at 2,858.50′, 0.60′ above the 100-year water surface and 0.70′ below the top of berm.”</w:t>
      </w:r>
    </w:p>
    <w:p>
      <w:r>
        <w:br w:type="page"/>
      </w:r>
    </w:p>
    <w:p>
      <w:pPr>
        <w:spacing w:after="80"/>
      </w:pPr>
      <w:r>
        <w:rPr>
          <w:b/>
          <w:i w:val="0"/>
          <w:color w:val="1F3864"/>
          <w:sz w:val="25"/>
        </w:rPr>
        <w:t>ATTACHMENT C — RECORDS RELIED ON</w:t>
      </w:r>
    </w:p>
    <w:tbl>
      <w:tblPr>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W w:w="9360" w:type="dxa"/>
        <w:tblLayout w:type="fixed"/>
      </w:tblPr>
      <w:tblGrid>
        <w:gridCol w:w="1944"/>
        <w:gridCol w:w="3960"/>
        <w:gridCol w:w="3456"/>
      </w:tblGrid>
      <w:tr>
        <w:trPr>
          <w:tblHeader w:val="true"/>
        </w:trPr>
        <w:tc>
          <w:tcPr>
            <w:tcW w:type="dxa" w:w="1944"/>
            <w:vAlign w:val="top"/>
            <w:shd w:val="clear" w:color="auto" w:fill="D9E2F3"/>
          </w:tcPr>
          <w:p>
            <w:pPr>
              <w:spacing w:after="20" w:before="0" w:line="240" w:lineRule="auto"/>
            </w:pPr>
            <w:r/>
            <w:r>
              <w:rPr>
                <w:b/>
                <w:i w:val="0"/>
                <w:sz w:val="16"/>
              </w:rPr>
              <w:t>Short name</w:t>
            </w:r>
          </w:p>
        </w:tc>
        <w:tc>
          <w:tcPr>
            <w:tcW w:type="dxa" w:w="3960"/>
            <w:vAlign w:val="top"/>
            <w:shd w:val="clear" w:color="auto" w:fill="D9E2F3"/>
          </w:tcPr>
          <w:p>
            <w:pPr>
              <w:spacing w:after="20" w:before="0" w:line="240" w:lineRule="auto"/>
            </w:pPr>
            <w:r/>
            <w:r>
              <w:rPr>
                <w:b/>
                <w:i w:val="0"/>
                <w:sz w:val="16"/>
              </w:rPr>
              <w:t>Record</w:t>
            </w:r>
          </w:p>
        </w:tc>
        <w:tc>
          <w:tcPr>
            <w:tcW w:type="dxa" w:w="3456"/>
            <w:vAlign w:val="top"/>
            <w:shd w:val="clear" w:color="auto" w:fill="D9E2F3"/>
          </w:tcPr>
          <w:p>
            <w:pPr>
              <w:spacing w:after="20" w:before="0" w:line="240" w:lineRule="auto"/>
            </w:pPr>
            <w:r/>
            <w:r>
              <w:rPr>
                <w:b/>
                <w:i w:val="0"/>
                <w:sz w:val="16"/>
              </w:rPr>
              <w:t>Project file location</w:t>
            </w:r>
          </w:p>
        </w:tc>
      </w:tr>
      <w:tr>
        <w:trPr>
          <w:cantSplit w:val="true"/>
        </w:trPr>
        <w:tc>
          <w:tcPr>
            <w:tcW w:type="dxa" w:w="1944"/>
            <w:vAlign w:val="top"/>
          </w:tcPr>
          <w:p>
            <w:pPr>
              <w:spacing w:after="20" w:before="0" w:line="240" w:lineRule="auto"/>
            </w:pPr>
            <w:r/>
            <w:r>
              <w:rPr>
                <w:b w:val="0"/>
                <w:i w:val="0"/>
                <w:sz w:val="16"/>
              </w:rPr>
              <w:t>C-1, C-6, C-7, C-9</w:t>
            </w:r>
          </w:p>
        </w:tc>
        <w:tc>
          <w:tcPr>
            <w:tcW w:type="dxa" w:w="3960"/>
            <w:vAlign w:val="top"/>
          </w:tcPr>
          <w:p>
            <w:pPr>
              <w:spacing w:after="20" w:before="0" w:line="240" w:lineRule="auto"/>
            </w:pPr>
            <w:r/>
            <w:r>
              <w:rPr>
                <w:b w:val="0"/>
                <w:i w:val="0"/>
                <w:sz w:val="16"/>
              </w:rPr>
              <w:t>Desert Sage Ranch Phase 3 Improvement Plans, Sheets C-1 through C-9, first submittal 08/21/2026</w:t>
            </w:r>
          </w:p>
        </w:tc>
        <w:tc>
          <w:tcPr>
            <w:tcW w:type="dxa" w:w="3456"/>
            <w:vAlign w:val="top"/>
          </w:tcPr>
          <w:p>
            <w:pPr>
              <w:spacing w:after="20" w:before="0" w:line="240" w:lineRule="auto"/>
            </w:pPr>
            <w:r/>
            <w:r>
              <w:rPr>
                <w:b w:val="0"/>
                <w:i w:val="0"/>
                <w:sz w:val="16"/>
              </w:rPr>
              <w:t>Design-Drafting/Phase 3/DSR_Ph3_Improvement_Plans_C1-C9.pdf</w:t>
            </w:r>
          </w:p>
        </w:tc>
      </w:tr>
      <w:tr>
        <w:trPr>
          <w:cantSplit w:val="true"/>
        </w:trPr>
        <w:tc>
          <w:tcPr>
            <w:tcW w:type="dxa" w:w="1944"/>
            <w:vAlign w:val="top"/>
          </w:tcPr>
          <w:p>
            <w:pPr>
              <w:spacing w:after="20" w:before="0" w:line="240" w:lineRule="auto"/>
            </w:pPr>
            <w:r/>
            <w:r>
              <w:rPr>
                <w:b w:val="0"/>
                <w:i w:val="0"/>
                <w:sz w:val="16"/>
              </w:rPr>
              <w:t>QA/QC Checklist</w:t>
            </w:r>
          </w:p>
        </w:tc>
        <w:tc>
          <w:tcPr>
            <w:tcW w:type="dxa" w:w="3960"/>
            <w:vAlign w:val="top"/>
          </w:tcPr>
          <w:p>
            <w:pPr>
              <w:spacing w:after="20" w:before="0" w:line="240" w:lineRule="auto"/>
            </w:pPr>
            <w:r/>
            <w:r>
              <w:rPr>
                <w:b w:val="0"/>
                <w:i w:val="0"/>
                <w:sz w:val="16"/>
              </w:rPr>
              <w:t>Phase 3 Plan Set QA/QC Checklist, 08/18/2026</w:t>
            </w:r>
          </w:p>
        </w:tc>
        <w:tc>
          <w:tcPr>
            <w:tcW w:type="dxa" w:w="3456"/>
            <w:vAlign w:val="top"/>
          </w:tcPr>
          <w:p>
            <w:pPr>
              <w:spacing w:after="20" w:before="0" w:line="240" w:lineRule="auto"/>
            </w:pPr>
            <w:r/>
            <w:r>
              <w:rPr>
                <w:b w:val="0"/>
                <w:i w:val="0"/>
                <w:sz w:val="16"/>
              </w:rPr>
              <w:t>Design-Drafting/Phase 3/DSR_Ph3_QAQC_Checklist.xlsx</w:t>
            </w:r>
          </w:p>
        </w:tc>
      </w:tr>
      <w:tr>
        <w:trPr>
          <w:cantSplit w:val="true"/>
        </w:trPr>
        <w:tc>
          <w:tcPr>
            <w:tcW w:type="dxa" w:w="1944"/>
            <w:vAlign w:val="top"/>
          </w:tcPr>
          <w:p>
            <w:pPr>
              <w:spacing w:after="20" w:before="0" w:line="240" w:lineRule="auto"/>
            </w:pPr>
            <w:r/>
            <w:r>
              <w:rPr>
                <w:b w:val="0"/>
                <w:i w:val="0"/>
                <w:sz w:val="16"/>
              </w:rPr>
              <w:t>MDS</w:t>
            </w:r>
          </w:p>
        </w:tc>
        <w:tc>
          <w:tcPr>
            <w:tcW w:type="dxa" w:w="3960"/>
            <w:vAlign w:val="top"/>
          </w:tcPr>
          <w:p>
            <w:pPr>
              <w:spacing w:after="20" w:before="0" w:line="240" w:lineRule="auto"/>
            </w:pPr>
            <w:r/>
            <w:r>
              <w:rPr>
                <w:b w:val="0"/>
                <w:i w:val="0"/>
                <w:sz w:val="16"/>
              </w:rPr>
              <w:t>Master Drainage Study — Desert Sage Ranch (140 acres), Revision 1, February 2022</w:t>
            </w:r>
          </w:p>
        </w:tc>
        <w:tc>
          <w:tcPr>
            <w:tcW w:type="dxa" w:w="3456"/>
            <w:vAlign w:val="top"/>
          </w:tcPr>
          <w:p>
            <w:pPr>
              <w:spacing w:after="20" w:before="0" w:line="240" w:lineRule="auto"/>
            </w:pPr>
            <w:r/>
            <w:r>
              <w:rPr>
                <w:b w:val="0"/>
                <w:i w:val="0"/>
                <w:sz w:val="16"/>
              </w:rPr>
              <w:t>Reports-Studies/DSR_Master_Drainage_Study.pdf</w:t>
            </w:r>
          </w:p>
        </w:tc>
      </w:tr>
      <w:tr>
        <w:trPr>
          <w:cantSplit w:val="true"/>
        </w:trPr>
        <w:tc>
          <w:tcPr>
            <w:tcW w:type="dxa" w:w="1944"/>
            <w:vAlign w:val="top"/>
          </w:tcPr>
          <w:p>
            <w:pPr>
              <w:spacing w:after="20" w:before="0" w:line="240" w:lineRule="auto"/>
            </w:pPr>
            <w:r/>
            <w:r>
              <w:rPr>
                <w:b w:val="0"/>
                <w:i w:val="0"/>
                <w:sz w:val="16"/>
              </w:rPr>
              <w:t>Hydrology Worksheet</w:t>
            </w:r>
          </w:p>
        </w:tc>
        <w:tc>
          <w:tcPr>
            <w:tcW w:type="dxa" w:w="3960"/>
            <w:vAlign w:val="top"/>
          </w:tcPr>
          <w:p>
            <w:pPr>
              <w:spacing w:after="20" w:before="0" w:line="240" w:lineRule="auto"/>
            </w:pPr>
            <w:r/>
            <w:r>
              <w:rPr>
                <w:b w:val="0"/>
                <w:i w:val="0"/>
                <w:sz w:val="16"/>
              </w:rPr>
              <w:t>Phase 3 Hydrology Worksheet, 07/2026</w:t>
            </w:r>
          </w:p>
        </w:tc>
        <w:tc>
          <w:tcPr>
            <w:tcW w:type="dxa" w:w="3456"/>
            <w:vAlign w:val="top"/>
          </w:tcPr>
          <w:p>
            <w:pPr>
              <w:spacing w:after="20" w:before="0" w:line="240" w:lineRule="auto"/>
            </w:pPr>
            <w:r/>
            <w:r>
              <w:rPr>
                <w:b w:val="0"/>
                <w:i w:val="0"/>
                <w:sz w:val="16"/>
              </w:rPr>
              <w:t>Reports-Studies/DSR_Ph3_Hydrology_Worksheet.xlsx</w:t>
            </w:r>
          </w:p>
        </w:tc>
      </w:tr>
      <w:tr>
        <w:trPr>
          <w:cantSplit w:val="true"/>
        </w:trPr>
        <w:tc>
          <w:tcPr>
            <w:tcW w:type="dxa" w:w="1944"/>
            <w:vAlign w:val="top"/>
          </w:tcPr>
          <w:p>
            <w:pPr>
              <w:spacing w:after="20" w:before="0" w:line="240" w:lineRule="auto"/>
            </w:pPr>
            <w:r/>
            <w:r>
              <w:rPr>
                <w:b w:val="0"/>
                <w:i w:val="0"/>
                <w:sz w:val="16"/>
              </w:rPr>
              <w:t>HGL Worksheet</w:t>
            </w:r>
          </w:p>
        </w:tc>
        <w:tc>
          <w:tcPr>
            <w:tcW w:type="dxa" w:w="3960"/>
            <w:vAlign w:val="top"/>
          </w:tcPr>
          <w:p>
            <w:pPr>
              <w:spacing w:after="20" w:before="0" w:line="240" w:lineRule="auto"/>
            </w:pPr>
            <w:r/>
            <w:r>
              <w:rPr>
                <w:b w:val="0"/>
                <w:i w:val="0"/>
                <w:sz w:val="16"/>
              </w:rPr>
              <w:t>Phase 3 Storm Drain HGL Worksheet, 07/2026</w:t>
            </w:r>
          </w:p>
        </w:tc>
        <w:tc>
          <w:tcPr>
            <w:tcW w:type="dxa" w:w="3456"/>
            <w:vAlign w:val="top"/>
          </w:tcPr>
          <w:p>
            <w:pPr>
              <w:spacing w:after="20" w:before="0" w:line="240" w:lineRule="auto"/>
            </w:pPr>
            <w:r/>
            <w:r>
              <w:rPr>
                <w:b w:val="0"/>
                <w:i w:val="0"/>
                <w:sz w:val="16"/>
              </w:rPr>
              <w:t>Reports-Studies/DSR_Ph3_StormDrain_HGL.xlsx</w:t>
            </w:r>
          </w:p>
        </w:tc>
      </w:tr>
      <w:tr>
        <w:trPr>
          <w:cantSplit w:val="true"/>
        </w:trPr>
        <w:tc>
          <w:tcPr>
            <w:tcW w:type="dxa" w:w="1944"/>
            <w:vAlign w:val="top"/>
          </w:tcPr>
          <w:p>
            <w:pPr>
              <w:spacing w:after="20" w:before="0" w:line="240" w:lineRule="auto"/>
            </w:pPr>
            <w:r/>
            <w:r>
              <w:rPr>
                <w:b w:val="0"/>
                <w:i w:val="0"/>
                <w:sz w:val="16"/>
              </w:rPr>
              <w:t>Preliminary calc</w:t>
            </w:r>
          </w:p>
        </w:tc>
        <w:tc>
          <w:tcPr>
            <w:tcW w:type="dxa" w:w="3960"/>
            <w:vAlign w:val="top"/>
          </w:tcPr>
          <w:p>
            <w:pPr>
              <w:spacing w:after="20" w:before="0" w:line="240" w:lineRule="auto"/>
            </w:pPr>
            <w:r/>
            <w:r>
              <w:rPr>
                <w:b w:val="0"/>
                <w:i w:val="0"/>
                <w:sz w:val="16"/>
              </w:rPr>
              <w:t>Preliminary Detention Calculation, 09/25/2026</w:t>
            </w:r>
          </w:p>
        </w:tc>
        <w:tc>
          <w:tcPr>
            <w:tcW w:type="dxa" w:w="3456"/>
            <w:vAlign w:val="top"/>
          </w:tcPr>
          <w:p>
            <w:pPr>
              <w:spacing w:after="20" w:before="0" w:line="240" w:lineRule="auto"/>
            </w:pPr>
            <w:r/>
            <w:r>
              <w:rPr>
                <w:b w:val="0"/>
                <w:i w:val="0"/>
                <w:sz w:val="16"/>
              </w:rPr>
              <w:t>Reports-Studies/DSR_Ph3_Detention_Calc_prelim.xlsx</w:t>
            </w:r>
          </w:p>
        </w:tc>
      </w:tr>
      <w:tr>
        <w:trPr>
          <w:cantSplit w:val="true"/>
        </w:trPr>
        <w:tc>
          <w:tcPr>
            <w:tcW w:type="dxa" w:w="1944"/>
            <w:vAlign w:val="top"/>
          </w:tcPr>
          <w:p>
            <w:pPr>
              <w:spacing w:after="20" w:before="0" w:line="240" w:lineRule="auto"/>
            </w:pPr>
            <w:r/>
            <w:r>
              <w:rPr>
                <w:b w:val="0"/>
                <w:i w:val="0"/>
                <w:sz w:val="16"/>
              </w:rPr>
              <w:t>Ph2 Comments</w:t>
            </w:r>
          </w:p>
        </w:tc>
        <w:tc>
          <w:tcPr>
            <w:tcW w:type="dxa" w:w="3960"/>
            <w:vAlign w:val="top"/>
          </w:tcPr>
          <w:p>
            <w:pPr>
              <w:spacing w:after="20" w:before="0" w:line="240" w:lineRule="auto"/>
            </w:pPr>
            <w:r/>
            <w:r>
              <w:rPr>
                <w:b w:val="0"/>
                <w:i w:val="0"/>
                <w:sz w:val="16"/>
              </w:rPr>
              <w:t>Clark County Public Works Phase 2 plan check letters, 09/28/2022 and 12/14/2022</w:t>
            </w:r>
          </w:p>
        </w:tc>
        <w:tc>
          <w:tcPr>
            <w:tcW w:type="dxa" w:w="3456"/>
            <w:vAlign w:val="top"/>
          </w:tcPr>
          <w:p>
            <w:pPr>
              <w:spacing w:after="20" w:before="0" w:line="240" w:lineRule="auto"/>
            </w:pPr>
            <w:r/>
            <w:r>
              <w:rPr>
                <w:b w:val="0"/>
                <w:i w:val="0"/>
                <w:sz w:val="16"/>
              </w:rPr>
              <w:t>Correspondence/Agency/CC-PW_Ph2_Comments_1st_2nd.pdf</w:t>
            </w:r>
          </w:p>
        </w:tc>
      </w:tr>
      <w:tr>
        <w:trPr>
          <w:cantSplit w:val="true"/>
        </w:trPr>
        <w:tc>
          <w:tcPr>
            <w:tcW w:type="dxa" w:w="1944"/>
            <w:vAlign w:val="top"/>
          </w:tcPr>
          <w:p>
            <w:pPr>
              <w:spacing w:after="20" w:before="0" w:line="240" w:lineRule="auto"/>
            </w:pPr>
            <w:r/>
            <w:r>
              <w:rPr>
                <w:b w:val="0"/>
                <w:i w:val="0"/>
                <w:sz w:val="16"/>
              </w:rPr>
              <w:t>Ph2 Response Matrix</w:t>
            </w:r>
          </w:p>
        </w:tc>
        <w:tc>
          <w:tcPr>
            <w:tcW w:type="dxa" w:w="3960"/>
            <w:vAlign w:val="top"/>
          </w:tcPr>
          <w:p>
            <w:pPr>
              <w:spacing w:after="20" w:before="0" w:line="240" w:lineRule="auto"/>
            </w:pPr>
            <w:r/>
            <w:r>
              <w:rPr>
                <w:b w:val="0"/>
                <w:i w:val="0"/>
                <w:sz w:val="16"/>
              </w:rPr>
              <w:t>Phase 2 Comment Response Matrix, 11/07/2022</w:t>
            </w:r>
          </w:p>
        </w:tc>
        <w:tc>
          <w:tcPr>
            <w:tcW w:type="dxa" w:w="3456"/>
            <w:vAlign w:val="top"/>
          </w:tcPr>
          <w:p>
            <w:pPr>
              <w:spacing w:after="20" w:before="0" w:line="240" w:lineRule="auto"/>
            </w:pPr>
            <w:r/>
            <w:r>
              <w:rPr>
                <w:b w:val="0"/>
                <w:i w:val="0"/>
                <w:sz w:val="16"/>
              </w:rPr>
              <w:t>Correspondence/Agency/DSR_Ph2_Comment_Response_Matrix.xlsx</w:t>
            </w:r>
          </w:p>
        </w:tc>
      </w:tr>
      <w:tr>
        <w:trPr>
          <w:cantSplit w:val="true"/>
        </w:trPr>
        <w:tc>
          <w:tcPr>
            <w:tcW w:type="dxa" w:w="1944"/>
            <w:vAlign w:val="top"/>
          </w:tcPr>
          <w:p>
            <w:pPr>
              <w:spacing w:after="20" w:before="0" w:line="240" w:lineRule="auto"/>
            </w:pPr>
            <w:r/>
            <w:r>
              <w:rPr>
                <w:b w:val="0"/>
                <w:i w:val="0"/>
                <w:sz w:val="16"/>
              </w:rPr>
              <w:t>FCD Acceptance Letter</w:t>
            </w:r>
          </w:p>
        </w:tc>
        <w:tc>
          <w:tcPr>
            <w:tcW w:type="dxa" w:w="3960"/>
            <w:vAlign w:val="top"/>
          </w:tcPr>
          <w:p>
            <w:pPr>
              <w:spacing w:after="20" w:before="0" w:line="240" w:lineRule="auto"/>
            </w:pPr>
            <w:r/>
            <w:r>
              <w:rPr>
                <w:b w:val="0"/>
                <w:i w:val="0"/>
                <w:sz w:val="16"/>
              </w:rPr>
              <w:t>CCRFCD acceptance of the MDS, 02/28/2022</w:t>
            </w:r>
          </w:p>
        </w:tc>
        <w:tc>
          <w:tcPr>
            <w:tcW w:type="dxa" w:w="3456"/>
            <w:vAlign w:val="top"/>
          </w:tcPr>
          <w:p>
            <w:pPr>
              <w:spacing w:after="20" w:before="0" w:line="240" w:lineRule="auto"/>
            </w:pPr>
            <w:r/>
            <w:r>
              <w:rPr>
                <w:b w:val="0"/>
                <w:i w:val="0"/>
                <w:sz w:val="16"/>
              </w:rPr>
              <w:t>Correspondence/Agency/FCD_MDS_Acceptance_Letter.pdf</w:t>
            </w:r>
          </w:p>
        </w:tc>
      </w:tr>
      <w:tr>
        <w:trPr>
          <w:cantSplit w:val="true"/>
        </w:trPr>
        <w:tc>
          <w:tcPr>
            <w:tcW w:type="dxa" w:w="1944"/>
            <w:vAlign w:val="top"/>
          </w:tcPr>
          <w:p>
            <w:pPr>
              <w:spacing w:after="20" w:before="0" w:line="240" w:lineRule="auto"/>
            </w:pPr>
            <w:r/>
            <w:r>
              <w:rPr>
                <w:b w:val="0"/>
                <w:i w:val="0"/>
                <w:sz w:val="16"/>
              </w:rPr>
              <w:t>Ph3 Comments</w:t>
            </w:r>
          </w:p>
        </w:tc>
        <w:tc>
          <w:tcPr>
            <w:tcW w:type="dxa" w:w="3960"/>
            <w:vAlign w:val="top"/>
          </w:tcPr>
          <w:p>
            <w:pPr>
              <w:spacing w:after="20" w:before="0" w:line="240" w:lineRule="auto"/>
            </w:pPr>
            <w:r/>
            <w:r>
              <w:rPr>
                <w:b w:val="0"/>
                <w:i w:val="0"/>
                <w:sz w:val="16"/>
              </w:rPr>
              <w:t>Clark County Public Works Phase 3 first-round comments, 10/09/2026</w:t>
            </w:r>
          </w:p>
        </w:tc>
        <w:tc>
          <w:tcPr>
            <w:tcW w:type="dxa" w:w="3456"/>
            <w:vAlign w:val="top"/>
          </w:tcPr>
          <w:p>
            <w:pPr>
              <w:spacing w:after="20" w:before="0" w:line="240" w:lineRule="auto"/>
            </w:pPr>
            <w:r/>
            <w:r>
              <w:rPr>
                <w:b w:val="0"/>
                <w:i w:val="0"/>
                <w:sz w:val="16"/>
              </w:rPr>
              <w:t>Correspondence/Agency/CC-PW_1stReview_Comments_10092026.pdf</w:t>
            </w:r>
          </w:p>
        </w:tc>
      </w:tr>
      <w:tr>
        <w:trPr>
          <w:cantSplit w:val="true"/>
        </w:trPr>
        <w:tc>
          <w:tcPr>
            <w:tcW w:type="dxa" w:w="1944"/>
            <w:vAlign w:val="top"/>
          </w:tcPr>
          <w:p>
            <w:pPr>
              <w:spacing w:after="20" w:before="0" w:line="240" w:lineRule="auto"/>
            </w:pPr>
            <w:r/>
            <w:r>
              <w:rPr>
                <w:b w:val="0"/>
                <w:i w:val="0"/>
                <w:sz w:val="16"/>
              </w:rPr>
              <w:t>FM Check Print</w:t>
            </w:r>
          </w:p>
        </w:tc>
        <w:tc>
          <w:tcPr>
            <w:tcW w:type="dxa" w:w="3960"/>
            <w:vAlign w:val="top"/>
          </w:tcPr>
          <w:p>
            <w:pPr>
              <w:spacing w:after="20" w:before="0" w:line="240" w:lineRule="auto"/>
            </w:pPr>
            <w:r/>
            <w:r>
              <w:rPr>
                <w:b w:val="0"/>
                <w:i w:val="0"/>
                <w:sz w:val="16"/>
              </w:rPr>
              <w:t>FM-26-100290 plan check submittal, 08/21/2026</w:t>
            </w:r>
          </w:p>
        </w:tc>
        <w:tc>
          <w:tcPr>
            <w:tcW w:type="dxa" w:w="3456"/>
            <w:vAlign w:val="top"/>
          </w:tcPr>
          <w:p>
            <w:pPr>
              <w:spacing w:after="20" w:before="0" w:line="240" w:lineRule="auto"/>
            </w:pPr>
            <w:r/>
            <w:r>
              <w:rPr>
                <w:b w:val="0"/>
                <w:i w:val="0"/>
                <w:sz w:val="16"/>
              </w:rPr>
              <w:t>Design-Drafting/Survey/DSR_Ph3_FinalMap_FM-26-100290_checkprint.pdf</w:t>
            </w:r>
          </w:p>
        </w:tc>
      </w:tr>
      <w:tr>
        <w:trPr>
          <w:cantSplit w:val="true"/>
        </w:trPr>
        <w:tc>
          <w:tcPr>
            <w:tcW w:type="dxa" w:w="1944"/>
            <w:vAlign w:val="top"/>
          </w:tcPr>
          <w:p>
            <w:pPr>
              <w:spacing w:after="20" w:before="0" w:line="240" w:lineRule="auto"/>
            </w:pPr>
            <w:r/>
            <w:r>
              <w:rPr>
                <w:b w:val="0"/>
                <w:i w:val="0"/>
                <w:sz w:val="16"/>
              </w:rPr>
              <w:t>TM COA</w:t>
            </w:r>
          </w:p>
        </w:tc>
        <w:tc>
          <w:tcPr>
            <w:tcW w:type="dxa" w:w="3960"/>
            <w:vAlign w:val="top"/>
          </w:tcPr>
          <w:p>
            <w:pPr>
              <w:spacing w:after="20" w:before="0" w:line="240" w:lineRule="auto"/>
            </w:pPr>
            <w:r/>
            <w:r>
              <w:rPr>
                <w:b w:val="0"/>
                <w:i w:val="0"/>
                <w:sz w:val="16"/>
              </w:rPr>
              <w:t>TM-22-500041 Conditions of Approval, 03/14/2022</w:t>
            </w:r>
          </w:p>
        </w:tc>
        <w:tc>
          <w:tcPr>
            <w:tcW w:type="dxa" w:w="3456"/>
            <w:vAlign w:val="top"/>
          </w:tcPr>
          <w:p>
            <w:pPr>
              <w:spacing w:after="20" w:before="0" w:line="240" w:lineRule="auto"/>
            </w:pPr>
            <w:r/>
            <w:r>
              <w:rPr>
                <w:b w:val="0"/>
                <w:i w:val="0"/>
                <w:sz w:val="16"/>
              </w:rPr>
              <w:t>Correspondence/Agency/TM-22-500041_Conditions_of_Approval_03142022.pdf</w:t>
            </w:r>
          </w:p>
        </w:tc>
      </w:tr>
      <w:tr>
        <w:trPr>
          <w:cantSplit w:val="true"/>
        </w:trPr>
        <w:tc>
          <w:tcPr>
            <w:tcW w:type="dxa" w:w="1944"/>
            <w:vAlign w:val="top"/>
          </w:tcPr>
          <w:p>
            <w:pPr>
              <w:spacing w:after="20" w:before="0" w:line="240" w:lineRule="auto"/>
            </w:pPr>
            <w:r/>
            <w:r>
              <w:rPr>
                <w:b w:val="0"/>
                <w:i w:val="0"/>
                <w:sz w:val="16"/>
              </w:rPr>
              <w:t>CC&amp;Rs</w:t>
            </w:r>
          </w:p>
        </w:tc>
        <w:tc>
          <w:tcPr>
            <w:tcW w:type="dxa" w:w="3960"/>
            <w:vAlign w:val="top"/>
          </w:tcPr>
          <w:p>
            <w:pPr>
              <w:spacing w:after="20" w:before="0" w:line="240" w:lineRule="auto"/>
            </w:pPr>
            <w:r/>
            <w:r>
              <w:rPr>
                <w:b w:val="0"/>
                <w:i w:val="0"/>
                <w:sz w:val="16"/>
              </w:rPr>
              <w:t>Declaration of CC&amp;Rs with Common Area Maintenance Exhibit, Instr. No. 20241223-0004422</w:t>
            </w:r>
          </w:p>
        </w:tc>
        <w:tc>
          <w:tcPr>
            <w:tcW w:type="dxa" w:w="3456"/>
            <w:vAlign w:val="top"/>
          </w:tcPr>
          <w:p>
            <w:pPr>
              <w:spacing w:after="20" w:before="0" w:line="240" w:lineRule="auto"/>
            </w:pPr>
            <w:r/>
            <w:r>
              <w:rPr>
                <w:b w:val="0"/>
                <w:i w:val="0"/>
                <w:sz w:val="16"/>
              </w:rPr>
              <w:t>Tenders-Contracts/DSR_CCRs_CommonArea_Exhibit.pdf</w:t>
            </w:r>
          </w:p>
        </w:tc>
      </w:tr>
      <w:tr>
        <w:trPr>
          <w:cantSplit w:val="true"/>
        </w:trPr>
        <w:tc>
          <w:tcPr>
            <w:tcW w:type="dxa" w:w="1944"/>
            <w:vAlign w:val="top"/>
          </w:tcPr>
          <w:p>
            <w:pPr>
              <w:spacing w:after="20" w:before="0" w:line="240" w:lineRule="auto"/>
            </w:pPr>
            <w:r/>
            <w:r>
              <w:rPr>
                <w:b w:val="0"/>
                <w:i w:val="0"/>
                <w:sz w:val="16"/>
              </w:rPr>
              <w:t>L-2</w:t>
            </w:r>
          </w:p>
        </w:tc>
        <w:tc>
          <w:tcPr>
            <w:tcW w:type="dxa" w:w="3960"/>
            <w:vAlign w:val="top"/>
          </w:tcPr>
          <w:p>
            <w:pPr>
              <w:spacing w:after="20" w:before="0" w:line="240" w:lineRule="auto"/>
            </w:pPr>
            <w:r/>
            <w:r>
              <w:rPr>
                <w:b w:val="0"/>
                <w:i w:val="0"/>
                <w:sz w:val="16"/>
              </w:rPr>
              <w:t>Phase 3 Landscape Sheets L-1 through L-4 (Sheet L-2, Section C)</w:t>
            </w:r>
          </w:p>
        </w:tc>
        <w:tc>
          <w:tcPr>
            <w:tcW w:type="dxa" w:w="3456"/>
            <w:vAlign w:val="top"/>
          </w:tcPr>
          <w:p>
            <w:pPr>
              <w:spacing w:after="20" w:before="0" w:line="240" w:lineRule="auto"/>
            </w:pPr>
            <w:r/>
            <w:r>
              <w:rPr>
                <w:b w:val="0"/>
                <w:i w:val="0"/>
                <w:sz w:val="16"/>
              </w:rPr>
              <w:t>Design-Drafting/Landscape/DSR_Ph3_Landscape_L1-L4.pdf</w:t>
            </w:r>
          </w:p>
        </w:tc>
      </w:tr>
      <w:tr>
        <w:trPr>
          <w:cantSplit w:val="true"/>
        </w:trPr>
        <w:tc>
          <w:tcPr>
            <w:tcW w:type="dxa" w:w="1944"/>
            <w:vAlign w:val="top"/>
          </w:tcPr>
          <w:p>
            <w:pPr>
              <w:spacing w:after="20" w:before="0" w:line="240" w:lineRule="auto"/>
            </w:pPr>
            <w:r/>
            <w:r>
              <w:rPr>
                <w:b w:val="0"/>
                <w:i w:val="0"/>
                <w:sz w:val="16"/>
              </w:rPr>
              <w:t>Pre-App Notes</w:t>
            </w:r>
          </w:p>
        </w:tc>
        <w:tc>
          <w:tcPr>
            <w:tcW w:type="dxa" w:w="3960"/>
            <w:vAlign w:val="top"/>
          </w:tcPr>
          <w:p>
            <w:pPr>
              <w:spacing w:after="20" w:before="0" w:line="240" w:lineRule="auto"/>
            </w:pPr>
            <w:r/>
            <w:r>
              <w:rPr>
                <w:b w:val="0"/>
                <w:i w:val="0"/>
                <w:sz w:val="16"/>
              </w:rPr>
              <w:t>Pre-Application Meeting Notes, 06/22/2026</w:t>
            </w:r>
          </w:p>
        </w:tc>
        <w:tc>
          <w:tcPr>
            <w:tcW w:type="dxa" w:w="3456"/>
            <w:vAlign w:val="top"/>
          </w:tcPr>
          <w:p>
            <w:pPr>
              <w:spacing w:after="20" w:before="0" w:line="240" w:lineRule="auto"/>
            </w:pPr>
            <w:r/>
            <w:r>
              <w:rPr>
                <w:b w:val="0"/>
                <w:i w:val="0"/>
                <w:sz w:val="16"/>
              </w:rPr>
              <w:t>Meeting Notes/DSR_Ph3_PreApp_Meeting_Notes.docx</w:t>
            </w:r>
          </w:p>
        </w:tc>
      </w:tr>
      <w:tr>
        <w:trPr>
          <w:cantSplit w:val="true"/>
        </w:trPr>
        <w:tc>
          <w:tcPr>
            <w:tcW w:type="dxa" w:w="1944"/>
            <w:vAlign w:val="top"/>
          </w:tcPr>
          <w:p>
            <w:pPr>
              <w:spacing w:after="20" w:before="0" w:line="240" w:lineRule="auto"/>
            </w:pPr>
            <w:r/>
            <w:r>
              <w:rPr>
                <w:b w:val="0"/>
                <w:i w:val="0"/>
                <w:sz w:val="16"/>
              </w:rPr>
              <w:t>Engineer’s Estimate</w:t>
            </w:r>
          </w:p>
        </w:tc>
        <w:tc>
          <w:tcPr>
            <w:tcW w:type="dxa" w:w="3960"/>
            <w:vAlign w:val="top"/>
          </w:tcPr>
          <w:p>
            <w:pPr>
              <w:spacing w:after="20" w:before="0" w:line="240" w:lineRule="auto"/>
            </w:pPr>
            <w:r/>
            <w:r>
              <w:rPr>
                <w:b w:val="0"/>
                <w:i w:val="0"/>
                <w:sz w:val="16"/>
              </w:rPr>
              <w:t>Engineer’s Estimate of Probable Cost, 10/10/2026</w:t>
            </w:r>
          </w:p>
        </w:tc>
        <w:tc>
          <w:tcPr>
            <w:tcW w:type="dxa" w:w="3456"/>
            <w:vAlign w:val="top"/>
          </w:tcPr>
          <w:p>
            <w:pPr>
              <w:spacing w:after="20" w:before="0" w:line="240" w:lineRule="auto"/>
            </w:pPr>
            <w:r/>
            <w:r>
              <w:rPr>
                <w:b w:val="0"/>
                <w:i w:val="0"/>
                <w:sz w:val="16"/>
              </w:rPr>
              <w:t>Cost Estimates/DSR_Ph3_Engineers_Estimate.xlsx</w:t>
            </w:r>
          </w:p>
        </w:tc>
      </w:tr>
      <w:tr>
        <w:trPr>
          <w:cantSplit w:val="true"/>
        </w:trPr>
        <w:tc>
          <w:tcPr>
            <w:tcW w:type="dxa" w:w="1944"/>
            <w:vAlign w:val="top"/>
          </w:tcPr>
          <w:p>
            <w:pPr>
              <w:spacing w:after="20" w:before="0" w:line="240" w:lineRule="auto"/>
            </w:pPr>
            <w:r/>
            <w:r>
              <w:rPr>
                <w:b w:val="0"/>
                <w:i w:val="0"/>
                <w:sz w:val="16"/>
              </w:rPr>
              <w:t>Ph2 As-Builts</w:t>
            </w:r>
          </w:p>
        </w:tc>
        <w:tc>
          <w:tcPr>
            <w:tcW w:type="dxa" w:w="3960"/>
            <w:vAlign w:val="top"/>
          </w:tcPr>
          <w:p>
            <w:pPr>
              <w:spacing w:after="20" w:before="0" w:line="240" w:lineRule="auto"/>
            </w:pPr>
            <w:r/>
            <w:r>
              <w:rPr>
                <w:b w:val="0"/>
                <w:i w:val="0"/>
                <w:sz w:val="16"/>
              </w:rPr>
              <w:t>Phase 2 Record Drawings RD-1 through RD-5, 02/2025</w:t>
            </w:r>
          </w:p>
        </w:tc>
        <w:tc>
          <w:tcPr>
            <w:tcW w:type="dxa" w:w="3456"/>
            <w:vAlign w:val="top"/>
          </w:tcPr>
          <w:p>
            <w:pPr>
              <w:spacing w:after="20" w:before="0" w:line="240" w:lineRule="auto"/>
            </w:pPr>
            <w:r/>
            <w:r>
              <w:rPr>
                <w:b w:val="0"/>
                <w:i w:val="0"/>
                <w:sz w:val="16"/>
              </w:rPr>
              <w:t>Design-Drafting/Phase 2 As-Builts/DSR_Ph2_AsBuilts.pdf</w:t>
            </w:r>
          </w:p>
        </w:tc>
      </w:tr>
      <w:tr>
        <w:trPr>
          <w:cantSplit w:val="true"/>
        </w:trPr>
        <w:tc>
          <w:tcPr>
            <w:tcW w:type="dxa" w:w="1944"/>
            <w:vAlign w:val="top"/>
          </w:tcPr>
          <w:p>
            <w:pPr>
              <w:spacing w:after="20" w:before="0" w:line="240" w:lineRule="auto"/>
            </w:pPr>
            <w:r/>
            <w:r>
              <w:rPr>
                <w:b w:val="0"/>
                <w:i w:val="0"/>
                <w:sz w:val="16"/>
              </w:rPr>
              <w:t>Tracker; coordination e-mail</w:t>
            </w:r>
          </w:p>
        </w:tc>
        <w:tc>
          <w:tcPr>
            <w:tcW w:type="dxa" w:w="3960"/>
            <w:vAlign w:val="top"/>
          </w:tcPr>
          <w:p>
            <w:pPr>
              <w:spacing w:after="20" w:before="0" w:line="240" w:lineRule="auto"/>
            </w:pPr>
            <w:r/>
            <w:r>
              <w:rPr>
                <w:b w:val="0"/>
                <w:i w:val="0"/>
                <w:sz w:val="16"/>
              </w:rPr>
              <w:t>Resubmittal Tracker (10/31/2026); internal coordination e-mail (10/09/2026)</w:t>
            </w:r>
          </w:p>
        </w:tc>
        <w:tc>
          <w:tcPr>
            <w:tcW w:type="dxa" w:w="3456"/>
            <w:vAlign w:val="top"/>
          </w:tcPr>
          <w:p>
            <w:pPr>
              <w:spacing w:after="20" w:before="0" w:line="240" w:lineRule="auto"/>
            </w:pPr>
            <w:r/>
            <w:r>
              <w:rPr>
                <w:b w:val="0"/>
                <w:i w:val="0"/>
                <w:sz w:val="16"/>
              </w:rPr>
              <w:t>Correspondence/DSR_Ph3_Resubmittal_Tracker.xlsx; Correspondence/DSR_Ph3_internal_design_coordination.eml</w:t>
            </w:r>
          </w:p>
        </w:tc>
      </w:tr>
    </w:tbl>
    <w:p>
      <w:pPr>
        <w:spacing w:after="40"/>
      </w:pPr>
    </w:p>
    <w:p>
      <w:r>
        <w:rPr>
          <w:b w:val="0"/>
          <w:i/>
          <w:sz w:val="18"/>
        </w:rPr>
        <w:t>Phase 2 comment G-4 concerned cross-lot drainage on Lots 22 through 31 and does not bear on this item; the Phase 2 counterparts to Phase 3 G-4 are G-2 (outlet detail reconciled to the study) and G-3 (freeboard of at least 1.0 ft above the design HGL, dimensioned).</w:t>
      </w:r>
    </w:p>
    <w:sectPr w:rsidR="00FC693F" w:rsidRPr="0006063C" w:rsidSect="00034616">
      <w:footerReference w:type="default" r:id="rId9"/>
      <w:footerReference w:type="first" r:id="rId10"/>
      <w:headerReference w:type="default" r:id="rId11"/>
      <w:pgSz w:w="12240" w:h="15840"/>
      <w:pgMar w:top="1152"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Sundial Engineering &amp; Survey · Job No. 2201-03 · G-4 Emergency Spillway Memo · 10/31/2026 · Page </w:t>
    </w:r>
    <w:r>
      <w:rPr>
        <w:sz w:val="16"/>
      </w:rPr>
      <w:fldChar w:fldCharType="begin"/>
      <w:instrText xml:space="preserve">PAGE</w:instrText>
      <w:fldChar w:fldCharType="separate"/>
      <w:t>1</w:t>
      <w:fldChar w:fldCharType="end"/>
    </w:r>
    <w:r>
      <w:rPr>
        <w:color w:val="595959"/>
        <w:sz w:val="16"/>
      </w:rPr>
      <w:t xml:space="preserve"> of </w:t>
    </w:r>
    <w:r>
      <w:rPr>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Sundial Engineering &amp; Survey · Job No. 2201-03 · G-4 Emergency Spillway Memo · 10/31/2026 · Page </w:t>
    </w:r>
    <w:r>
      <w:rPr>
        <w:sz w:val="16"/>
      </w:rPr>
      <w:fldChar w:fldCharType="begin"/>
      <w:instrText xml:space="preserve">PAGE</w:instrText>
      <w:fldChar w:fldCharType="separate"/>
      <w:t>1</w:t>
      <w:fldChar w:fldCharType="end"/>
    </w:r>
    <w:r>
      <w:rPr>
        <w:color w:val="595959"/>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Garrett Nokes, Callaway Land Partners · Desert Sage Ranch Phase 3 · Comment G-4, Emergency Spillway · 10/31/2026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Callaway — G-4 Emergency Spillway, Sheet C-9</dc:title>
  <dc:subject>Desert Sage Ranch Phase 3 — IP-26-100288 / FM-26-100290 — CC-PW Comment G-4</dc:subject>
  <dc:creator>Max Braddock, Sundial Engineering &amp; Survey</dc:creator>
  <cp:keywords>2201-03; G-4; emergency spillway; C-9; master drainage study</cp:keywords>
  <dc:description>generated by python-docx</dc:description>
  <cp:lastModifiedBy/>
  <cp:revision>1</cp:revision>
  <dcterms:created xsi:type="dcterms:W3CDTF">2013-12-23T23:15:00Z</dcterms:created>
  <dcterms:modified xsi:type="dcterms:W3CDTF">2013-12-23T23:15:00Z</dcterms:modified>
  <cp:category/>
</cp:coreProperties>
</file>