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cs="Arial" w:eastAsia="Arial"/>
          <w:b/>
          <w:i w:val="0"/>
          <w:color w:val="1F3A5F"/>
          <w:sz w:val="28"/>
        </w:rPr>
        <w:t>SUNDIAL ENGINEERING &amp; SURVEY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555555"/>
          <w:sz w:val="17"/>
        </w:rPr>
        <w:t>4720 South Rainbow Boulevard, Suite 210  ·  Las Vegas, NV 89103  ·  (702) 555-0142  ·  NV COA #C-3874</w:t>
      </w:r>
    </w:p>
    <w:p>
      <w:pPr>
        <w:spacing w:after="80"/>
      </w:pPr>
      <w:r>
        <w:rPr>
          <w:rFonts w:ascii="Arial" w:hAnsi="Arial" w:cs="Arial" w:eastAsia="Arial"/>
          <w:b/>
          <w:i w:val="0"/>
          <w:sz w:val="32"/>
        </w:rPr>
        <w:t>MEMORANDUM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5" w:type="dxa"/>
          <w:left w:w="0" w:type="dxa"/>
          <w:bottom w:w="15" w:type="dxa"/>
          <w:right w:w="60" w:type="dxa"/>
        </w:tblCellMar>
      </w:tblPr>
      <w:tblGrid>
        <w:gridCol w:w="1152"/>
        <w:gridCol w:w="8928"/>
      </w:tblGrid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TO: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Garrett Nokes, Vice President, Land Development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Callaway Land Partners, 8880 W. Sunset Road, Suite 400, Las Vegas, NV 89148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FROM: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Max Braddock, Project Manager, Sundial Engineering &amp; Survey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CC: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Jonathan R. Kessler, PE, Principal-in-Charge; Project File 2201-03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DATE: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10/31/2026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RE: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20"/>
              </w:rPr>
              <w:t>Desert Sage Ranch Phase 3 — Engineer's Estimate, Section 2 (Storm Drain and Detention) checked against the plans; revised bond figure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Job No. 2201-03  ·  IP-26-100288  ·  FM-26-100290</w:t>
            </w:r>
          </w:p>
        </w:tc>
      </w:tr>
    </w:tbl>
    <w:p>
      <w:pPr>
        <w:spacing w:after="80"/>
        <w:pBdr>
          <w:bottom w:val="single" w:sz="8" w:space="1" w:color="1F3A5F"/>
        </w:pBdr>
      </w:pPr>
    </w:p>
    <w:p>
      <w:pPr>
        <w:keepNext/>
        <w:spacing w:after="60" w:before="160"/>
      </w:pPr>
      <w:r>
        <w:rPr>
          <w:rFonts w:ascii="Arial" w:hAnsi="Arial" w:cs="Arial" w:eastAsia="Arial"/>
          <w:b/>
          <w:i w:val="0"/>
          <w:color w:val="1F3A5F"/>
          <w:sz w:val="22"/>
        </w:rPr>
        <w:t>1.  Summary</w:t>
      </w:r>
    </w:p>
    <w:p>
      <w:pPr>
        <w:spacing w:after="100"/>
      </w:pPr>
      <w:r>
        <w:rPr>
          <w:rFonts w:ascii="Arial" w:hAnsi="Arial" w:cs="Arial" w:eastAsia="Arial"/>
          <w:b w:val="0"/>
          <w:i w:val="0"/>
        </w:rPr>
        <w:t>Before the Phase 3 estimate goes to your surety broker, we checked Section 2 of the Engineer's Estimate of Probable Cost (Rev. 0, 10/10/2026) line by line against Sheets C-6, C-8 and C-9 of the Phase 3 Improvement Plans (first submittal, 08/21/2026) and against the pipe reach schedule in the Phase 3 Storm Drain HGL workbook. Section 2 goes up by $32,505, and the bond figure goes up by $33,000.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896"/>
        <w:gridCol w:w="1872"/>
        <w:gridCol w:w="1872"/>
        <w:gridCol w:w="1440"/>
      </w:tblGrid>
      <w:tr>
        <w:trPr>
          <w:cantSplit/>
          <w:tblHeader/>
        </w:trPr>
        <w:tc>
          <w:tcPr>
            <w:tcW w:type="dxa" w:w="4896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1872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Rev. 0 (10/10/2026)</w:t>
            </w:r>
          </w:p>
        </w:tc>
        <w:tc>
          <w:tcPr>
            <w:tcW w:type="dxa" w:w="1872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Corrected</w:t>
            </w:r>
          </w:p>
        </w:tc>
        <w:tc>
          <w:tcPr>
            <w:tcW w:type="dxa" w:w="1440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Change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Section 2 subtotal — Storm Drain and Detention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$1,276,934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$1,309,439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+$32,505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Construction subtotal, Sections 1–8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$4,856,565.75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$4,889,070.75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+$32,505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Section 9 allowances (agreed lump sums, unchanged)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$500,000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$500,000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896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Bond figure, rounded up to the next $1,000 (Sched. Sec. 12.02)</w:t>
            </w:r>
          </w:p>
        </w:tc>
        <w:tc>
          <w:tcPr>
            <w:tcW w:type="dxa" w:w="1872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$5,357,000</w:t>
            </w:r>
          </w:p>
        </w:tc>
        <w:tc>
          <w:tcPr>
            <w:tcW w:type="dxa" w:w="1872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$5,390,000</w:t>
            </w:r>
          </w:p>
        </w:tc>
        <w:tc>
          <w:tcPr>
            <w:tcW w:type="dxa" w:w="1440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+$33,000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cs="Arial" w:eastAsia="Arial"/>
          <w:b/>
          <w:i w:val="0"/>
        </w:rPr>
        <w:t>Please don't send the $5,357,000 figure to the broker.</w:t>
      </w:r>
      <w:r>
        <w:rPr>
          <w:rFonts w:ascii="Arial" w:hAnsi="Arial" w:cs="Arial" w:eastAsia="Arial"/>
          <w:b w:val="0"/>
          <w:i w:val="0"/>
        </w:rPr>
        <w:t xml:space="preserve"> The bond figure is </w:t>
      </w:r>
      <w:r>
        <w:rPr>
          <w:rFonts w:ascii="Arial" w:hAnsi="Arial" w:cs="Arial" w:eastAsia="Arial"/>
          <w:b/>
          <w:i w:val="0"/>
        </w:rPr>
        <w:t>$5,390,000</w:t>
      </w:r>
      <w:r>
        <w:rPr>
          <w:rFonts w:ascii="Arial" w:hAnsi="Arial" w:cs="Arial" w:eastAsia="Arial"/>
          <w:b w:val="0"/>
          <w:i w:val="0"/>
        </w:rPr>
        <w:t>. We will reissue the estimate as Rev. 1 under Mr. Kessler's seal, and that figure goes to the broker with it. Six items are flagged in Table 2 because the Unit Cost Schedule has nothing that matches what the plans show. Where a flagged item already carries an amount, that amount stays in the subtotal. Resolving them could still move the number.</w:t>
      </w:r>
    </w:p>
    <w:p>
      <w:pPr>
        <w:keepNext/>
        <w:spacing w:after="60" w:before="160"/>
      </w:pPr>
      <w:r>
        <w:rPr>
          <w:rFonts w:ascii="Arial" w:hAnsi="Arial" w:cs="Arial" w:eastAsia="Arial"/>
          <w:b/>
          <w:i w:val="0"/>
          <w:color w:val="1F3A5F"/>
          <w:sz w:val="22"/>
        </w:rPr>
        <w:t>2.  Basis of the check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0"/>
        </w:rPr>
        <w:t>Unit prices are from the Clark County Uniform Unit Cost Schedule, effective 01/01/2026, which is the schedule the estimate cites. Where the Schedule says "Actual," the amount already carried stands.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0"/>
        </w:rPr>
        <w:t>Quantities are taken off the plans. Where the plans give no dimension or stationing for a line already in the estimate, the quantity already carried stands.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0"/>
        </w:rPr>
        <w:t>Pipe lengths are the reach lengths in the HGL Pipe Schedule. Each one matches the C-8 stationing. They're rounded up to the next whole foot.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0"/>
        </w:rPr>
        <w:t>Work shown on the plans but missing from the estimate is added at the matching Schedule price.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0"/>
        </w:rPr>
        <w:t>Where the Schedule has nothing matching what the plans show, the item is flagged, and any amount already carried is left in the subtotal.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20"/>
        </w:rPr>
        <w:t>Line extensions are to the dollar. Sections 1 and 3 through 9 were not part of this check and are carried unchanged.</w:t>
      </w:r>
    </w:p>
    <w:p>
      <w:pPr>
        <w:keepNext/>
        <w:spacing w:after="60" w:before="160"/>
      </w:pPr>
      <w:r>
        <w:rPr>
          <w:rFonts w:ascii="Arial" w:hAnsi="Arial" w:cs="Arial" w:eastAsia="Arial"/>
          <w:b/>
          <w:i w:val="0"/>
          <w:color w:val="1F3A5F"/>
          <w:sz w:val="22"/>
        </w:rPr>
        <w:t>3.  Quantity and unit-price changes (Table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32"/>
        <w:gridCol w:w="1080"/>
        <w:gridCol w:w="2592"/>
        <w:gridCol w:w="1800"/>
        <w:gridCol w:w="1368"/>
        <w:gridCol w:w="1584"/>
        <w:gridCol w:w="1224"/>
      </w:tblGrid>
      <w:tr>
        <w:trPr>
          <w:cantSplit/>
          <w:tblHeader/>
        </w:trPr>
        <w:tc>
          <w:tcPr>
            <w:tcW w:type="dxa" w:w="432"/>
            <w:vAlign w:val="top"/>
            <w:shd w:val="clear" w:color="auto" w:fill="1F3A5F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1080"/>
            <w:vAlign w:val="top"/>
            <w:shd w:val="clear" w:color="auto" w:fill="1F3A5F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592"/>
            <w:vAlign w:val="top"/>
            <w:shd w:val="clear" w:color="auto" w:fill="1F3A5F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shd w:val="clear" w:color="auto" w:fill="1F3A5F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Sheet</w:t>
            </w:r>
          </w:p>
        </w:tc>
        <w:tc>
          <w:tcPr>
            <w:tcW w:type="dxa" w:w="1368"/>
            <w:vAlign w:val="top"/>
            <w:shd w:val="clear" w:color="auto" w:fill="1F3A5F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Rev. 0</w:t>
            </w:r>
          </w:p>
        </w:tc>
        <w:tc>
          <w:tcPr>
            <w:tcW w:type="dxa" w:w="1584"/>
            <w:vAlign w:val="top"/>
            <w:shd w:val="clear" w:color="auto" w:fill="1F3A5F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Corrected</w:t>
            </w:r>
          </w:p>
        </w:tc>
        <w:tc>
          <w:tcPr>
            <w:tcW w:type="dxa" w:w="1224"/>
            <w:vAlign w:val="top"/>
            <w:shd w:val="clear" w:color="auto" w:fill="1F3A5F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2.35 → 2.36</w:t>
            </w:r>
          </w:p>
        </w:tc>
        <w:tc>
          <w:tcPr>
            <w:tcW w:type="dxa" w:w="2592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Storm drain manhole: 48-in, ≤ 8 ft → 60-in (5-ft ID), ≤ 10 ft; count per structure schedule</w:t>
            </w:r>
          </w:p>
        </w:tc>
        <w:tc>
          <w:tcPr>
            <w:tcW w:type="dxa" w:w="180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C-8 (Storm Drain Design Notes; Structure Schedule)</w:t>
            </w:r>
          </w:p>
        </w:tc>
        <w:tc>
          <w:tcPr>
            <w:tcW w:type="dxa" w:w="1368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14 EA × $6,400</w:t>
            </w:r>
          </w:p>
          <w:p>
            <w:pPr>
              <w:keepNext/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= $89,600</w:t>
            </w:r>
          </w:p>
        </w:tc>
        <w:tc>
          <w:tcPr>
            <w:tcW w:type="dxa" w:w="158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10 EA × $8,750</w:t>
            </w:r>
          </w:p>
          <w:p>
            <w:pPr>
              <w:keepNext/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= $87,500</w:t>
            </w:r>
          </w:p>
        </w:tc>
        <w:tc>
          <w:tcPr>
            <w:tcW w:type="dxa" w:w="122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−$2,100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2.38</w:t>
            </w:r>
          </w:p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(added)</w:t>
            </w:r>
          </w:p>
        </w:tc>
        <w:tc>
          <w:tcPr>
            <w:tcW w:type="dxa" w:w="2592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Storm drain manhole, additional depth beyond schedule (over 10 ft)</w:t>
            </w:r>
          </w:p>
        </w:tc>
        <w:tc>
          <w:tcPr>
            <w:tcW w:type="dxa" w:w="180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C-8 (Structure Schedule rims and inverts)</w:t>
            </w:r>
          </w:p>
        </w:tc>
        <w:tc>
          <w:tcPr>
            <w:tcW w:type="dxa" w:w="1368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Not carried</w:t>
            </w:r>
          </w:p>
        </w:tc>
        <w:tc>
          <w:tcPr>
            <w:tcW w:type="dxa" w:w="158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22.02 VF × $685</w:t>
            </w:r>
          </w:p>
          <w:p>
            <w:pPr>
              <w:keepNext/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= $15,084</w:t>
            </w:r>
          </w:p>
        </w:tc>
        <w:tc>
          <w:tcPr>
            <w:tcW w:type="dxa" w:w="122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+$15,084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2.03</w:t>
            </w:r>
          </w:p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(added)</w:t>
            </w:r>
          </w:p>
        </w:tc>
        <w:tc>
          <w:tcPr>
            <w:tcW w:type="dxa" w:w="2592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30-in RCP, Class III, outlet control structure to existing 30-in outfall stub</w:t>
            </w:r>
          </w:p>
        </w:tc>
        <w:tc>
          <w:tcPr>
            <w:tcW w:type="dxa" w:w="180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C-9 (Section A–A′; outlet detail); C-6 (stub invert)</w:t>
            </w:r>
          </w:p>
        </w:tc>
        <w:tc>
          <w:tcPr>
            <w:tcW w:type="dxa" w:w="1368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Not carried</w:t>
            </w:r>
          </w:p>
        </w:tc>
        <w:tc>
          <w:tcPr>
            <w:tcW w:type="dxa" w:w="158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100 LF × $138</w:t>
            </w:r>
          </w:p>
          <w:p>
            <w:pPr>
              <w:keepNext/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= $13,800</w:t>
            </w:r>
          </w:p>
        </w:tc>
        <w:tc>
          <w:tcPr>
            <w:tcW w:type="dxa" w:w="122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+$13,800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3.05</w:t>
            </w:r>
          </w:p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(added in Sec. 2)</w:t>
            </w:r>
          </w:p>
        </w:tc>
        <w:tc>
          <w:tcPr>
            <w:tcW w:type="dxa" w:w="2592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Basin access ramp, 6-in aggregate base, 15 ft × 136.7 ft</w:t>
            </w:r>
          </w:p>
        </w:tc>
        <w:tc>
          <w:tcPr>
            <w:tcW w:type="dxa" w:w="180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C-9 (Access Ramp detail); C-6 (basin notes)</w:t>
            </w:r>
          </w:p>
        </w:tc>
        <w:tc>
          <w:tcPr>
            <w:tcW w:type="dxa" w:w="1368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Not carried</w:t>
            </w:r>
          </w:p>
        </w:tc>
        <w:tc>
          <w:tcPr>
            <w:tcW w:type="dxa" w:w="158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227.8 SY × $9.25</w:t>
            </w:r>
          </w:p>
          <w:p>
            <w:pPr>
              <w:keepNext/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= $2,107</w:t>
            </w:r>
          </w:p>
        </w:tc>
        <w:tc>
          <w:tcPr>
            <w:tcW w:type="dxa" w:w="122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+$2,107</w:t>
            </w:r>
          </w:p>
        </w:tc>
      </w:tr>
      <w:tr>
        <w:trPr>
          <w:cantSplit/>
        </w:trPr>
        <w:tc>
          <w:tcPr>
            <w:tcW w:type="dxa" w:w="432"/>
            <w:vAlign w:val="top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3.05</w:t>
            </w:r>
          </w:p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(added in Sec. 2)</w:t>
            </w:r>
          </w:p>
        </w:tc>
        <w:tc>
          <w:tcPr>
            <w:tcW w:type="dxa" w:w="2592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Basin maintenance path, top of north berm, 6-in aggregate base, 12 ft × 293 ft</w:t>
            </w:r>
          </w:p>
        </w:tc>
        <w:tc>
          <w:tcPr>
            <w:tcW w:type="dxa" w:w="1800"/>
            <w:vAlign w:val="top"/>
          </w:tcPr>
          <w:p>
            <w:pPr>
              <w:keepNext/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C-9 (Section B–B′); C-6 (basin plan)</w:t>
            </w:r>
          </w:p>
        </w:tc>
        <w:tc>
          <w:tcPr>
            <w:tcW w:type="dxa" w:w="1368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Not carried</w:t>
            </w:r>
          </w:p>
        </w:tc>
        <w:tc>
          <w:tcPr>
            <w:tcW w:type="dxa" w:w="158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390.7 SY × $9.25</w:t>
            </w:r>
          </w:p>
          <w:p>
            <w:pPr>
              <w:keepNext/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= $3,614</w:t>
            </w:r>
          </w:p>
        </w:tc>
        <w:tc>
          <w:tcPr>
            <w:tcW w:type="dxa" w:w="1224"/>
            <w:vAlign w:val="top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+$3,614</w:t>
            </w:r>
          </w:p>
        </w:tc>
      </w:tr>
      <w:tr>
        <w:trPr>
          <w:cantSplit/>
        </w:trPr>
        <w:tc>
          <w:tcPr>
            <w:tcW w:type="dxa" w:w="432"/>
            <w:vAlign w:val="top"/>
            <w:shd w:val="clear" w:color="auto" w:fill="E8EEF5"/>
          </w:tcPr>
          <w:p>
            <w:pPr>
              <w:spacing w:after="0" w:line="240" w:lineRule="auto"/>
              <w:jc w:val="center"/>
            </w:pPr>
            <w:r/>
          </w:p>
        </w:tc>
        <w:tc>
          <w:tcPr>
            <w:tcW w:type="dxa" w:w="1080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592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Net change to Section 2</w:t>
            </w:r>
          </w:p>
        </w:tc>
        <w:tc>
          <w:tcPr>
            <w:tcW w:type="dxa" w:w="1800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1368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</w:p>
        </w:tc>
        <w:tc>
          <w:tcPr>
            <w:tcW w:type="dxa" w:w="1584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</w:p>
        </w:tc>
        <w:tc>
          <w:tcPr>
            <w:tcW w:type="dxa" w:w="1224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+$32,505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Arial" w:hAnsi="Arial" w:cs="Arial" w:eastAsia="Arial"/>
          <w:b/>
          <w:i w:val="0"/>
          <w:sz w:val="19"/>
        </w:rPr>
        <w:t>Notes to Table 1</w:t>
      </w:r>
    </w:p>
    <w:p>
      <w:pPr>
        <w:tabs>
          <w:tab w:pos="360" w:val="left"/>
        </w:tabs>
        <w:spacing w:after="60"/>
        <w:ind w:left="360" w:hanging="360"/>
      </w:pPr>
      <w:r>
        <w:rPr>
          <w:rFonts w:ascii="Arial" w:hAnsi="Arial" w:cs="Arial" w:eastAsia="Arial"/>
          <w:b/>
          <w:i w:val="0"/>
          <w:sz w:val="19"/>
        </w:rPr>
        <w:t>1.</w:t>
        <w:tab/>
      </w:r>
      <w:r>
        <w:rPr>
          <w:rFonts w:ascii="Arial" w:hAnsi="Arial" w:cs="Arial" w:eastAsia="Arial"/>
          <w:b/>
          <w:i w:val="0"/>
          <w:sz w:val="19"/>
        </w:rPr>
        <w:t>Manholes.</w:t>
      </w:r>
      <w:r>
        <w:rPr>
          <w:rFonts w:ascii="Arial" w:hAnsi="Arial" w:cs="Arial" w:eastAsia="Arial"/>
          <w:b w:val="0"/>
          <w:i w:val="0"/>
          <w:sz w:val="19"/>
        </w:rPr>
        <w:t xml:space="preserve"> The C-8 Storm Drain Design Notes say "All manholes are 5-foot inside diameter unless noted otherwise." No manhole is noted otherwise, and S-1 is called out as a 5' dia. manhole. Rev. 0 priced 48-inch manholes (Sched. 2.35); the 60-inch item is Sched. 2.36. The C-8 Structure Schedule types ten structures as manholes: S-1, S-2, S-4, S-6, S-7, S-8, S-10, S-11, S-12 and S-14. S-3, S-5, S-9 and S-13 are typed "Curb inlet" only, so they fall under the catch basin line (flagged in Table 2), not the manhole line.</w:t>
      </w:r>
    </w:p>
    <w:p>
      <w:pPr>
        <w:tabs>
          <w:tab w:pos="360" w:val="left"/>
        </w:tabs>
        <w:spacing w:after="60"/>
        <w:ind w:left="360" w:hanging="360"/>
      </w:pPr>
      <w:r>
        <w:rPr>
          <w:rFonts w:ascii="Arial" w:hAnsi="Arial" w:cs="Arial" w:eastAsia="Arial"/>
          <w:b/>
          <w:i w:val="0"/>
          <w:sz w:val="19"/>
        </w:rPr>
        <w:t>2.</w:t>
        <w:tab/>
      </w:r>
      <w:r>
        <w:rPr>
          <w:rFonts w:ascii="Arial" w:hAnsi="Arial" w:cs="Arial" w:eastAsia="Arial"/>
          <w:b/>
          <w:i w:val="0"/>
          <w:sz w:val="19"/>
        </w:rPr>
        <w:t>Manhole depth.</w:t>
      </w:r>
      <w:r>
        <w:rPr>
          <w:rFonts w:ascii="Arial" w:hAnsi="Arial" w:cs="Arial" w:eastAsia="Arial"/>
          <w:b w:val="0"/>
          <w:i w:val="0"/>
          <w:sz w:val="19"/>
        </w:rPr>
        <w:t xml:space="preserve"> Sched. 2.36 covers depths to 10 ft. Depth is the C-8 rim elevation minus invert out. Seven manholes are deeper than 10 ft: S-6 10.71 ft (0.71 VF over), S-7 11.29 (1.29), S-8 12.08 (2.08), S-10 13.49 (3.49), S-11 14.03 (4.03), S-12 14.68 (4.68) and S-14 15.74 (5.74), for a total of 22.02 VF. S-1 (7.00 ft), S-2 (7.77 ft) and S-4 (8.95 ft) are within 10 ft.</w:t>
      </w:r>
    </w:p>
    <w:p>
      <w:pPr>
        <w:tabs>
          <w:tab w:pos="360" w:val="left"/>
        </w:tabs>
        <w:spacing w:after="60"/>
        <w:ind w:left="360" w:hanging="360"/>
      </w:pPr>
      <w:r>
        <w:rPr>
          <w:rFonts w:ascii="Arial" w:hAnsi="Arial" w:cs="Arial" w:eastAsia="Arial"/>
          <w:b/>
          <w:i w:val="0"/>
          <w:sz w:val="19"/>
        </w:rPr>
        <w:t>3.</w:t>
        <w:tab/>
      </w:r>
      <w:r>
        <w:rPr>
          <w:rFonts w:ascii="Arial" w:hAnsi="Arial" w:cs="Arial" w:eastAsia="Arial"/>
          <w:b/>
          <w:i w:val="0"/>
          <w:sz w:val="19"/>
        </w:rPr>
        <w:t>30-inch outlet pipe.</w:t>
      </w:r>
      <w:r>
        <w:rPr>
          <w:rFonts w:ascii="Arial" w:hAnsi="Arial" w:cs="Arial" w:eastAsia="Arial"/>
          <w:b w:val="0"/>
          <w:i w:val="0"/>
          <w:sz w:val="19"/>
        </w:rPr>
        <w:t xml:space="preserve"> C-9 shows new 30-inch RCP running from the outlet control headwall (invert 2,851.00) to the existing shared outfall stub (invert 2,850.75, per C-6) at 0.25%. Length is 0.25 ft ÷ 0.0025 = 100.0 ft, so 100 LF. Rev. 0 doesn't include this pipe.</w:t>
      </w:r>
    </w:p>
    <w:p>
      <w:pPr>
        <w:tabs>
          <w:tab w:pos="360" w:val="left"/>
        </w:tabs>
        <w:spacing w:after="60"/>
        <w:ind w:left="360" w:hanging="360"/>
      </w:pPr>
      <w:r>
        <w:rPr>
          <w:rFonts w:ascii="Arial" w:hAnsi="Arial" w:cs="Arial" w:eastAsia="Arial"/>
          <w:b/>
          <w:i w:val="0"/>
          <w:sz w:val="19"/>
        </w:rPr>
        <w:t>4.</w:t>
        <w:tab/>
      </w:r>
      <w:r>
        <w:rPr>
          <w:rFonts w:ascii="Arial" w:hAnsi="Arial" w:cs="Arial" w:eastAsia="Arial"/>
          <w:b/>
          <w:i w:val="0"/>
          <w:sz w:val="19"/>
        </w:rPr>
        <w:t>Access ramp.</w:t>
      </w:r>
      <w:r>
        <w:rPr>
          <w:rFonts w:ascii="Arial" w:hAnsi="Arial" w:cs="Arial" w:eastAsia="Arial"/>
          <w:b w:val="0"/>
          <w:i w:val="0"/>
          <w:sz w:val="19"/>
        </w:rPr>
        <w:t xml:space="preserve"> On C-9 the ramp is 15 ft wide at 6%, running from top of berm (2,859.20) to basin bottom (2,851.00). That's 8.20 ÷ 0.06 = 136.7 ft long and 2,050 SF, or 227.8 SY. C-6 and C-9 both call for a 6-inch aggregate base surface. Sched. 2.47 (access ramp) is 4-inch AC over 6-inch base, and the plans show no AC. The Schedule item that matches the section shown is 3.05, 6-inch aggregate base course. Ramp subgrade and berm earthwork belong to Section 1 and aren't duplicated here.</w:t>
      </w:r>
    </w:p>
    <w:p>
      <w:pPr>
        <w:tabs>
          <w:tab w:pos="360" w:val="left"/>
        </w:tabs>
        <w:spacing w:after="60"/>
        <w:ind w:left="360" w:hanging="360"/>
      </w:pPr>
      <w:r>
        <w:rPr>
          <w:rFonts w:ascii="Arial" w:hAnsi="Arial" w:cs="Arial" w:eastAsia="Arial"/>
          <w:b/>
          <w:i w:val="0"/>
          <w:sz w:val="19"/>
        </w:rPr>
        <w:t>5.</w:t>
        <w:tab/>
      </w:r>
      <w:r>
        <w:rPr>
          <w:rFonts w:ascii="Arial" w:hAnsi="Arial" w:cs="Arial" w:eastAsia="Arial"/>
          <w:b/>
          <w:i w:val="0"/>
          <w:sz w:val="19"/>
        </w:rPr>
        <w:t>Maintenance path.</w:t>
      </w:r>
      <w:r>
        <w:rPr>
          <w:rFonts w:ascii="Arial" w:hAnsi="Arial" w:cs="Arial" w:eastAsia="Arial"/>
          <w:b w:val="0"/>
          <w:i w:val="0"/>
          <w:sz w:val="19"/>
        </w:rPr>
        <w:t xml:space="preserve"> C-9 Section B–B′ shows a 12-ft-wide, 6-inch aggregate base path on top of the north berm. The north berm runs the 293-ft top-of-berm long axis shown on C-6, so 12 × 293 = 3,516 SF, or 390.7 SY, at Sched. 3.05.</w:t>
      </w:r>
    </w:p>
    <w:p>
      <w:pPr>
        <w:keepNext/>
        <w:spacing w:after="60" w:before="160"/>
      </w:pPr>
      <w:r>
        <w:rPr>
          <w:rFonts w:ascii="Arial" w:hAnsi="Arial" w:cs="Arial" w:eastAsia="Arial"/>
          <w:b/>
          <w:i w:val="0"/>
          <w:color w:val="1F3A5F"/>
          <w:sz w:val="22"/>
        </w:rPr>
        <w:t>4.  Flagged items: the Schedule has nothing matching what the plans show (Table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2"/>
        <w:gridCol w:w="4176"/>
        <w:gridCol w:w="2664"/>
        <w:gridCol w:w="1368"/>
      </w:tblGrid>
      <w:tr>
        <w:trPr>
          <w:cantSplit/>
          <w:tblHeader/>
        </w:trPr>
        <w:tc>
          <w:tcPr>
            <w:tcW w:type="dxa" w:w="1872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4176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What the plans show (sheet)</w:t>
            </w:r>
          </w:p>
        </w:tc>
        <w:tc>
          <w:tcPr>
            <w:tcW w:type="dxa" w:w="2664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Closest Schedule items</w:t>
            </w:r>
          </w:p>
        </w:tc>
        <w:tc>
          <w:tcPr>
            <w:tcW w:type="dxa" w:w="1368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Left in subtotal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2.30 Catch basin, Type A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(12 EA carried)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Type G curb inlets with 8-ft opening per SD-305 (C-8 Storm Drain Design Notes). The C-8 Structure Schedule shows 9 curb inlets (S-2, S-3, S-4, S-5, S-6, S-8, S-9, S-12, S-13) at rim-to-invert depths of 7.77 to 15.31 ft.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2.30/2.31 Type A curb inlet; 2.32 Type B grated; 2.33 combination inlet. No Type G.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$58,200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2.42 Riprap, D50 = 12 in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6"/>
              </w:rPr>
              <w:t>(500 SY carried)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Spillway apron, 15 × 20 ft of grouted riprap, D50 = 12 in, which is 33.3 SY (C-9). Riprap at the outfall pipe invert per SD-402, not dimensioned (C-6).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2.42 loose riprap, D50 = 12 in; 2.43 grouted riprap, D50 = 18 in. No grouted D50 = 12 in.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$43,000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2.99 Field connections to Phase 2 outfall, allowance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Tie of the new 30-in RCP to the existing outfall stub (C-6, C-9). Line B tie to the existing Phase 2 stub at Chuckwalla Way Sta. 3+60 (C-8).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 connection item. RCP prices include connections to structures (Sched. Sec. 2, Note (a)).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$2,300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Not in Rev. 0: spillway weir surface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12 × 18-in articulated concrete block over geotextile on the 20 × 6-ft weir, 120 SF (C-9).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None.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Not in Rev. 0: basin vehicle gate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12-ft swing gate, chain-link with privacy slats, at the top of the ramp (C-9).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10.06 vehicular gate is tubular steel. 2.46 fencing is per LF and excludes gates.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Not in Rev. 0: side-slope topsoil and hydroseed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12-in topsoil with hydroseed on the basin side slopes (C-9). That's about 28,500 SF of interior slope, based on the C-6/C-9 geometry.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None.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4176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Total left in subtotal for flagged items</w:t>
            </w:r>
          </w:p>
        </w:tc>
        <w:tc>
          <w:tcPr>
            <w:tcW w:type="dxa" w:w="2664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1368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$103,500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cs="Arial" w:eastAsia="Arial"/>
          <w:b w:val="0"/>
          <w:i w:val="0"/>
          <w:sz w:val="19"/>
        </w:rPr>
        <w:t>Each flagged item needs either a Department-accepted alternate unit price under Sched. Sec. 12.04, carried as an "A" item, or a plan revision to a scheduled item. Until then, the bond figure carries $103,500 for the three flagged Rev. 0 lines and nothing for the three items that aren't in Rev. 0.</w:t>
      </w:r>
    </w:p>
    <w:p>
      <w:pPr>
        <w:keepNext/>
        <w:spacing w:after="60" w:before="160"/>
      </w:pPr>
      <w:r>
        <w:rPr>
          <w:rFonts w:ascii="Arial" w:hAnsi="Arial" w:cs="Arial" w:eastAsia="Arial"/>
          <w:b/>
          <w:i w:val="0"/>
          <w:color w:val="1F3A5F"/>
          <w:sz w:val="22"/>
        </w:rPr>
        <w:t>5.  Corrected Section 2 and bond figure (Table 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604"/>
        <w:gridCol w:w="3744"/>
        <w:gridCol w:w="792"/>
        <w:gridCol w:w="547"/>
        <w:gridCol w:w="1152"/>
        <w:gridCol w:w="1296"/>
        <w:gridCol w:w="1944"/>
      </w:tblGrid>
      <w:tr>
        <w:trPr>
          <w:cantSplit/>
          <w:tblHeader/>
        </w:trPr>
        <w:tc>
          <w:tcPr>
            <w:tcW w:type="dxa" w:w="605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3744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792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Qty</w:t>
            </w:r>
          </w:p>
        </w:tc>
        <w:tc>
          <w:tcPr>
            <w:tcW w:type="dxa" w:w="547"/>
            <w:vAlign w:val="top"/>
            <w:shd w:val="clear" w:color="auto" w:fill="1F3A5F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Unit</w:t>
            </w:r>
          </w:p>
        </w:tc>
        <w:tc>
          <w:tcPr>
            <w:tcW w:type="dxa" w:w="1152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Unit price</w:t>
            </w:r>
          </w:p>
        </w:tc>
        <w:tc>
          <w:tcPr>
            <w:tcW w:type="dxa" w:w="1296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Amount</w:t>
            </w:r>
          </w:p>
        </w:tc>
        <w:tc>
          <w:tcPr>
            <w:tcW w:type="dxa" w:w="1944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2.03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30-in RCP, Class III, in trench (outlet structure to existing outfall stub)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LF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$138.00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$13,800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Added (C-9)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36-in RCP, Class III, in trench (S-1 to S-5)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870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LF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$172.00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$149,640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Confirmed (C-8 / HGL)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2.06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48-in RCP, Class III, in trench (S-5 to S-8)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687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LF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$258.00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$177,246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Confirmed (C-8 / HGL)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2.08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60-in RCP, Class III, in trench (S-8 to S-14 and Line B)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1,334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LF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$372.00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$496,248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Confirmed (C-8 / HGL)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2.30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Catch basin, Type A, standard curb inlet, depth ≤ 6 ft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EA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$4,850.00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$58,200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Flagged; carried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2.34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Drop inlet, area drain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EA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$3,900.00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$7,800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Carried; not dimensioned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2.36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Storm drain manhole, 60-in dia., depth ≤ 10 ft (replaces 2.35)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EA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$8,750.00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$87,500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Changed (C-8)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2.38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Storm drain manhole, additional depth beyond schedule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22.02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VF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$685.00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$15,084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Added (C-8)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2.39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Junction structure, cast-in-place, sized per plan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60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CY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$1,150.00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$69,000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Carried; not dimensioned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2.40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Headwall, cast-in-place, up to 48-in pipe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EA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$5,400.00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$10,800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Carried; not dimensioned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2.42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Riprap, D50 = 12 in, on filter fabric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500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SY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$86.00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$43,000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Flagged; carried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2.44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Detention basin excavation, unclassified (6.4 ac-ft allocation)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10,000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CY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$9.75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$97,500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Carried; not determinable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Detention basin outlet structure, per plan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$28,000.00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$28,000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Schedule "Actual"; stands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2.46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Detention basin fencing, 6-ft chain link with 3-strand barbed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1,400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LF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$34.00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$47,600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Carried; not dimensioned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3.05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Basin access ramp, 6-in aggregate base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227.8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SY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$9.25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$2,107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Added (C-9)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3.05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Basin maintenance path, 6-in aggregate base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390.7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SY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$9.25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$3,614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Added (C-9)</w:t>
            </w:r>
          </w:p>
        </w:tc>
      </w:tr>
      <w:tr>
        <w:trPr>
          <w:cantSplit/>
        </w:trPr>
        <w:tc>
          <w:tcPr>
            <w:tcW w:type="dxa" w:w="605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2.99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Field connections to Phase 2 storm outfall structure and adjustments, allowance</w:t>
            </w:r>
          </w:p>
        </w:tc>
        <w:tc>
          <w:tcPr>
            <w:tcW w:type="dxa" w:w="79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547"/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$2,300.00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$2,300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Flagged; carried</w:t>
            </w:r>
          </w:p>
        </w:tc>
      </w:tr>
      <w:tr>
        <w:trPr>
          <w:cantSplit/>
        </w:trPr>
        <w:tc>
          <w:tcPr>
            <w:tcW w:type="dxa" w:w="605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3744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Section 2 subtotal — Storm Drain and Detention</w:t>
            </w:r>
          </w:p>
        </w:tc>
        <w:tc>
          <w:tcPr>
            <w:tcW w:type="dxa" w:w="792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</w:p>
        </w:tc>
        <w:tc>
          <w:tcPr>
            <w:tcW w:type="dxa" w:w="547"/>
            <w:vAlign w:val="top"/>
            <w:shd w:val="clear" w:color="auto" w:fill="E8EEF5"/>
          </w:tcPr>
          <w:p>
            <w:pPr>
              <w:spacing w:after="0" w:line="240" w:lineRule="auto"/>
              <w:jc w:val="center"/>
            </w:pPr>
            <w:r/>
          </w:p>
        </w:tc>
        <w:tc>
          <w:tcPr>
            <w:tcW w:type="dxa" w:w="1152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</w:p>
        </w:tc>
        <w:tc>
          <w:tcPr>
            <w:tcW w:type="dxa" w:w="1296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$1,309,439</w:t>
            </w:r>
          </w:p>
        </w:tc>
        <w:tc>
          <w:tcPr>
            <w:tcW w:type="dxa" w:w="1944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776"/>
        <w:gridCol w:w="2304"/>
      </w:tblGrid>
      <w:tr>
        <w:trPr>
          <w:cantSplit/>
          <w:tblHeader/>
        </w:trPr>
        <w:tc>
          <w:tcPr>
            <w:tcW w:type="dxa" w:w="7776"/>
            <w:vAlign w:val="top"/>
            <w:shd w:val="clear" w:color="auto" w:fill="1F3A5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Bond roll-up</w:t>
            </w:r>
          </w:p>
        </w:tc>
        <w:tc>
          <w:tcPr>
            <w:tcW w:type="dxa" w:w="2304"/>
            <w:vAlign w:val="top"/>
            <w:shd w:val="clear" w:color="auto" w:fill="1F3A5F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Section 1 — Earthwork (unchanged)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$504,191.75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Section 2 — Storm Drain and Detention (corrected)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$1,309,439.00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Sections 3 through 8 (unchanged)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$3,075,440.00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Construction subtotal, Sections 1–8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$4,889,070.75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Section 9 — agreed lump-sum allowances, Addendum No. 1, items 11.05/11.06 (unchanged)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$500,000.00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Total before rounding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$5,389,070.75</w:t>
            </w:r>
          </w:p>
        </w:tc>
      </w:tr>
      <w:tr>
        <w:trPr>
          <w:cantSplit/>
        </w:trPr>
        <w:tc>
          <w:tcPr>
            <w:tcW w:type="dxa" w:w="7776"/>
            <w:vAlign w:val="top"/>
            <w:shd w:val="clear" w:color="auto"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Bond figure, rounded up to the next $1,000 (Sched. Sec. 12.02)</w:t>
            </w:r>
          </w:p>
        </w:tc>
        <w:tc>
          <w:tcPr>
            <w:tcW w:type="dxa" w:w="2304"/>
            <w:vAlign w:val="top"/>
            <w:shd w:val="clear" w:color="auto" w:fill="E8EEF5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$5,390,000</w:t>
            </w:r>
          </w:p>
        </w:tc>
      </w:tr>
    </w:tbl>
    <w:p>
      <w:pPr>
        <w:spacing w:after="40"/>
      </w:pPr>
    </w:p>
    <w:p>
      <w:pPr>
        <w:keepNext/>
        <w:spacing w:after="40" w:before="80"/>
      </w:pPr>
      <w:r>
        <w:rPr>
          <w:rFonts w:ascii="Arial" w:hAnsi="Arial" w:cs="Arial" w:eastAsia="Arial"/>
          <w:b/>
          <w:i w:val="0"/>
          <w:sz w:val="19"/>
        </w:rPr>
        <w:t>Lines confirmed or carried without change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2.04, 2.06 and 2.08 RCP.</w:t>
      </w:r>
      <w:r>
        <w:rPr>
          <w:rFonts w:ascii="Arial" w:hAnsi="Arial" w:cs="Arial" w:eastAsia="Arial"/>
          <w:b w:val="0"/>
          <w:i w:val="0"/>
          <w:sz w:val="19"/>
        </w:rPr>
        <w:t xml:space="preserve"> C-8 station differences match the HGL reaches. 36-inch, S-1 to S-5 (R1–R4): 869.58 LF, so 870. 48-inch, S-5 to S-8 (R5–R7): 686.51 LF, so 687. 60-inch, S-8 to S-14 (R8–R13): 1,093.56 LF, plus Line B to S-15 (R14) at 240.00 LF, totals 1,333.56 LF, so 1,334. Unit prices match Sched. 2.04, 2.06 and 2.08. C-6 gives no dimension or stationing for Line B, so the 240-LF length the HGL scaled from C-6 is carried.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2.34 drop inlets, 2.39 junction structure, 2.46 basin fencing.</w:t>
      </w:r>
      <w:r>
        <w:rPr>
          <w:rFonts w:ascii="Arial" w:hAnsi="Arial" w:cs="Arial" w:eastAsia="Arial"/>
          <w:b w:val="0"/>
          <w:i w:val="0"/>
          <w:sz w:val="19"/>
        </w:rPr>
        <w:t xml:space="preserve"> C-6, C-8 and C-9 don't locate or dimension any drop inlet, cast-in-place junction structure or basin fence line, so the carried quantities stand. C-8 junction manholes are precast per SD-301, and C-9 lists the basin appurtenances as outlet control, spillway, access ramp, gate and maintenance path. For reference, the top-of-berm perimeter is about 976 LF, against 1,400 LF of fence carried.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2.40 headwalls.</w:t>
      </w:r>
      <w:r>
        <w:rPr>
          <w:rFonts w:ascii="Arial" w:hAnsi="Arial" w:cs="Arial" w:eastAsia="Arial"/>
          <w:b w:val="0"/>
          <w:i w:val="0"/>
          <w:sz w:val="19"/>
        </w:rPr>
        <w:t xml:space="preserve"> The plans don't schedule any headwall apart from the outlet control headwall, which is part of 2.45. S-1 (headwall/cleanout) is on 36-inch pipe, which is within the up-to-48-inch item. The carried quantity stands.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2.44 basin excavation.</w:t>
      </w:r>
      <w:r>
        <w:rPr>
          <w:rFonts w:ascii="Arial" w:hAnsi="Arial" w:cs="Arial" w:eastAsia="Arial"/>
          <w:b w:val="0"/>
          <w:i w:val="0"/>
          <w:sz w:val="19"/>
        </w:rPr>
        <w:t xml:space="preserve"> Cut volume depends on existing grade at the basin, and C-6 and C-9 don't give it. The carried quantity stands. For reference, the C-9 storage table gives 6.40 ac-ft (about 10,330 CY) to the 100-year water surface and 8.02 ac-ft (about 12,940 CY) to top of berm.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2.45 outlet structure.</w:t>
      </w:r>
      <w:r>
        <w:rPr>
          <w:rFonts w:ascii="Arial" w:hAnsi="Arial" w:cs="Arial" w:eastAsia="Arial"/>
          <w:b w:val="0"/>
          <w:i w:val="0"/>
          <w:sz w:val="19"/>
        </w:rPr>
        <w:t xml:space="preserve"> The Schedule price is "Actual, ≥ $18,000," so the $28,000 carried stands. It covers the headwall, orifice plate and trash rack detailed on C-9.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Not added because it's Section 1 work:</w:t>
      </w:r>
      <w:r>
        <w:rPr>
          <w:rFonts w:ascii="Arial" w:hAnsi="Arial" w:cs="Arial" w:eastAsia="Arial"/>
          <w:b w:val="0"/>
          <w:i w:val="0"/>
          <w:sz w:val="19"/>
        </w:rPr>
        <w:t xml:space="preserve"> berm and spillway fill, ramp subgrade, and the 6-inch compacted native soil at basin bottom (rough grading of drainage tracts, Sched. 1.14).</w:t>
      </w:r>
    </w:p>
    <w:p>
      <w:pPr>
        <w:keepNext/>
        <w:spacing w:after="60" w:before="160"/>
      </w:pPr>
      <w:r>
        <w:rPr>
          <w:rFonts w:ascii="Arial" w:hAnsi="Arial" w:cs="Arial" w:eastAsia="Arial"/>
          <w:b/>
          <w:i w:val="0"/>
          <w:color w:val="1F3A5F"/>
          <w:sz w:val="22"/>
        </w:rPr>
        <w:t>6.  What could still move Section 2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19"/>
        </w:rPr>
        <w:t>The flagged items in Table 2.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i w:val="0"/>
          <w:sz w:val="19"/>
        </w:rPr>
        <w:t>This check is against the 08/21/2026 first-submittal sheets. The County's drainage comments (G-3 through G-7) and the north-boundary easement comments (U-1, U-5, A-1) may change Section 2 at resubmittal. As drawn, Line A runs 10 ft south of the north boundary, inside the 20-ft dry utility easement recorded on the Phase 1–2 map.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Line B.</w:t>
      </w:r>
      <w:r>
        <w:rPr>
          <w:rFonts w:ascii="Arial" w:hAnsi="Arial" w:cs="Arial" w:eastAsia="Arial"/>
          <w:b w:val="0"/>
          <w:i w:val="0"/>
          <w:sz w:val="19"/>
        </w:rPr>
        <w:t xml:space="preserve"> S-14 sits at the northeast corner of the parcel (CP-118), and the basin is in the southwest quadrant (C-6). The 240 LF carried for Line B needs to be confirmed on the resubmittal drawings. Each added foot of 60-inch RCP is $372.</w:t>
      </w:r>
    </w:p>
    <w:p>
      <w:pPr>
        <w:pStyle w:val="ListBullet"/>
        <w:spacing w:after="40"/>
      </w:pPr>
      <w:r>
        <w:rPr>
          <w:rFonts w:ascii="Arial" w:hAnsi="Arial" w:cs="Arial" w:eastAsia="Arial"/>
          <w:b/>
          <w:i w:val="0"/>
          <w:sz w:val="19"/>
        </w:rPr>
        <w:t>S-15.</w:t>
      </w:r>
      <w:r>
        <w:rPr>
          <w:rFonts w:ascii="Arial" w:hAnsi="Arial" w:cs="Arial" w:eastAsia="Arial"/>
          <w:b w:val="0"/>
          <w:i w:val="0"/>
          <w:sz w:val="19"/>
        </w:rPr>
        <w:t xml:space="preserve"> The basin inflow structure on the 60-inch Line B is referenced on C-8 but not typed or detailed on C-6. If it's a headwall, Sched. 2.41 ($8,200 each) applies.</w:t>
      </w:r>
    </w:p>
    <w:p>
      <w:pPr>
        <w:keepNext/>
        <w:spacing w:after="120" w:before="60"/>
      </w:pPr>
      <w:r>
        <w:rPr>
          <w:rFonts w:ascii="Arial" w:hAnsi="Arial" w:cs="Arial" w:eastAsia="Arial"/>
          <w:b w:val="0"/>
          <w:i w:val="0"/>
          <w:sz w:val="19"/>
        </w:rPr>
        <w:t>We'll rerun Section 2 against the resubmittal set before the bond is posted.</w:t>
      </w:r>
    </w:p>
    <w:p>
      <w:pPr>
        <w:keepNext/>
        <w:keepLines/>
        <w:spacing w:after="0" w:before="200"/>
      </w:pPr>
    </w:p>
    <w:p>
      <w:pPr>
        <w:keepNext/>
        <w:spacing w:after="0"/>
      </w:pPr>
      <w:r>
        <w:rPr>
          <w:rFonts w:ascii="Arial" w:hAnsi="Arial" w:cs="Arial" w:eastAsia="Arial"/>
          <w:b w:val="0"/>
          <w:i w:val="0"/>
        </w:rPr>
        <w:t>______________________________</w:t>
      </w:r>
    </w:p>
    <w:p>
      <w:pPr>
        <w:keepNext/>
        <w:spacing w:after="0"/>
      </w:pPr>
      <w:r>
        <w:rPr>
          <w:rFonts w:ascii="Arial" w:hAnsi="Arial" w:cs="Arial" w:eastAsia="Arial"/>
          <w:b/>
          <w:i w:val="0"/>
        </w:rPr>
        <w:t>Max Braddock</w:t>
      </w:r>
    </w:p>
    <w:p>
      <w:pPr>
        <w:keepNext/>
        <w:spacing w:after="0"/>
      </w:pPr>
      <w:r>
        <w:rPr>
          <w:rFonts w:ascii="Arial" w:hAnsi="Arial" w:cs="Arial" w:eastAsia="Arial"/>
          <w:b w:val="0"/>
          <w:i w:val="0"/>
        </w:rPr>
        <w:t>Project Manager, Sundial Engineering &amp; Survey</w:t>
      </w:r>
    </w:p>
    <w:p>
      <w:pPr>
        <w:spacing w:after="0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mbraddock@sundialensv.com  ·  (702) 555-0144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555555"/>
        <w:sz w:val="16"/>
      </w:rPr>
      <w:t xml:space="preserve">Sundial Engineering &amp; Survey  ·  Job No. 2201-03  ·  Memo to Callaway Land Partners, 10/31/2026  ·  Page </w:t>
    </w:r>
    <w:r>
      <w:rPr>
        <w:rFonts w:ascii="Arial" w:hAnsi="Arial" w:cs="Arial" w:eastAsia="Arial"/>
        <w:color w:val="55555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 w:eastAsia="Arial"/>
        <w:color w:val="555555"/>
        <w:sz w:val="16"/>
      </w:rPr>
      <w:t xml:space="preserve"> of </w:t>
    </w:r>
    <w:r>
      <w:rPr>
        <w:rFonts w:ascii="Arial" w:hAnsi="Arial" w:cs="Arial" w:eastAsia="Arial"/>
        <w:color w:val="555555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Desert Sage Ranch Phase 3 — Section 2 Reconciliation and Revised Bond Figure</dc:title>
  <dc:subject>Engineer's Estimate Section 2 checked against Sheets C-6, C-8, C-9 and Storm Drain HGL</dc:subject>
  <dc:creator>Max Braddock</dc:creator>
  <cp:keywords>2201-03; IP-26-100288; FM-26-100290; bond; storm drain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