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jc w:val="center"/>
      </w:pPr>
      <w:r>
        <w:rPr>
          <w:rFonts w:ascii="Trebuchet MS" w:hAnsi="Trebuchet MS" w:cs="Trebuchet MS" w:eastAsia="Trebuchet MS"/>
          <w:b/>
          <w:i w:val="0"/>
          <w:color w:val="0E2A47"/>
          <w:sz w:val="38"/>
        </w:rPr>
        <w:t>TECHNICAL NOTE</w:t>
      </w:r>
    </w:p>
    <w:p>
      <w:pPr>
        <w:spacing w:after="160"/>
        <w:jc w:val="center"/>
      </w:pPr>
      <w:r>
        <w:rPr>
          <w:rFonts w:ascii="Trebuchet MS" w:hAnsi="Trebuchet MS" w:cs="Trebuchet MS" w:eastAsia="Trebuchet MS"/>
          <w:b/>
          <w:i w:val="0"/>
          <w:color w:val="006699"/>
          <w:sz w:val="24"/>
        </w:rPr>
        <w:t>Disposition of Steady-Solve Attempt 3 and Authorization of the Transient LES Run</w:t>
      </w:r>
    </w:p>
    <w:tbl>
      <w:tblPr>
        <w:tblW w:type="auto" w:w="0"/>
        <w:jc w:val="center"/>
        <w:tblLayout w:type="fixed"/>
        <w:tblLayout w:type="fixed"/>
        <w:tblLook w:firstColumn="1" w:firstRow="1" w:lastColumn="0" w:lastRow="0" w:noHBand="0" w:noVBand="1" w:val="04A0"/>
      </w:tblPr>
      <w:tblGrid>
        <w:gridCol w:w="1728"/>
        <w:gridCol w:w="8064"/>
      </w:tblGrid>
      <w:tr>
        <w:tc>
          <w:tcPr>
            <w:tcW w:type="dxa" w:w="1728"/>
            <w:tcBorders>
              <w:top w:val="single" w:sz="4" w:space="0" w:color="CBD5E1"/>
              <w:left w:val="single" w:sz="4" w:space="0" w:color="CBD5E1"/>
              <w:bottom w:val="single" w:sz="4" w:space="0" w:color="CBD5E1"/>
              <w:right w:val="single" w:sz="4" w:space="0" w:color="CBD5E1"/>
            </w:tcBorders>
            <w:shd w:val="clear" w:color="auto" w:fill="F8FAFC"/>
            <w:tcMar>
              <w:top w:w="50" w:type="dxa"/>
              <w:bottom w:w="50" w:type="dxa"/>
              <w:left w:w="120" w:type="dxa"/>
              <w:right w:w="120" w:type="dxa"/>
            </w:tcMar>
            <w:vAlign w:val="top"/>
          </w:tcPr>
          <w:p>
            <w:pPr>
              <w:spacing w:before="0" w:after="0" w:line="259" w:lineRule="auto"/>
            </w:pPr>
            <w:r/>
            <w:r>
              <w:rPr>
                <w:rFonts w:ascii="Segoe UI" w:hAnsi="Segoe UI" w:cs="Segoe UI" w:eastAsia="Segoe UI"/>
                <w:b/>
                <w:i w:val="0"/>
                <w:color w:val="0E2A47"/>
                <w:sz w:val="18"/>
              </w:rPr>
              <w:t>Project:</w:t>
            </w:r>
          </w:p>
        </w:tc>
        <w:tc>
          <w:tcPr>
            <w:tcW w:type="dxa" w:w="8064"/>
            <w:tcBorders>
              <w:top w:val="single" w:sz="4" w:space="0" w:color="CBD5E1"/>
              <w:left w:val="single" w:sz="4" w:space="0" w:color="CBD5E1"/>
              <w:bottom w:val="single" w:sz="4" w:space="0" w:color="CBD5E1"/>
              <w:right w:val="single" w:sz="4" w:space="0" w:color="CBD5E1"/>
            </w:tcBorders>
            <w:shd w:val="clear" w:color="auto" w:fill="F8FAFC"/>
            <w:tcMar>
              <w:top w:w="50" w:type="dxa"/>
              <w:bottom w:w="50" w:type="dxa"/>
              <w:left w:w="120" w:type="dxa"/>
              <w:right w:w="120" w:type="dxa"/>
            </w:tcMar>
            <w:vAlign w:val="top"/>
          </w:tcPr>
          <w:p>
            <w:pPr>
              <w:spacing w:before="0" w:after="0" w:line="259" w:lineRule="auto"/>
            </w:pPr>
            <w:r/>
            <w:r>
              <w:rPr>
                <w:rFonts w:ascii="Segoe UI" w:hAnsi="Segoe UI" w:cs="Segoe UI" w:eastAsia="Segoe UI"/>
                <w:b w:val="0"/>
                <w:i w:val="0"/>
                <w:color w:val="1F2937"/>
                <w:sz w:val="18"/>
              </w:rPr>
              <w:t>CFDME-2025-041 — Ocotillo WUI Wildfire, Phase 1 (Ocotillo desert-fire case)</w:t>
            </w:r>
          </w:p>
        </w:tc>
      </w:tr>
      <w:tr>
        <w:tc>
          <w:tcPr>
            <w:tcW w:type="dxa" w:w="1728"/>
            <w:tcBorders>
              <w:top w:val="single" w:sz="4" w:space="0" w:color="CBD5E1"/>
              <w:left w:val="single" w:sz="4" w:space="0" w:color="CBD5E1"/>
              <w:bottom w:val="single" w:sz="4" w:space="0" w:color="CBD5E1"/>
              <w:right w:val="single" w:sz="4" w:space="0" w:color="CBD5E1"/>
            </w:tcBorders>
            <w:shd w:val="clear" w:color="auto" w:fill="F8FAFC"/>
            <w:tcMar>
              <w:top w:w="50" w:type="dxa"/>
              <w:bottom w:w="50" w:type="dxa"/>
              <w:left w:w="120" w:type="dxa"/>
              <w:right w:w="120" w:type="dxa"/>
            </w:tcMar>
            <w:vAlign w:val="top"/>
          </w:tcPr>
          <w:p>
            <w:pPr>
              <w:spacing w:before="0" w:after="0" w:line="259" w:lineRule="auto"/>
            </w:pPr>
            <w:r/>
            <w:r>
              <w:rPr>
                <w:rFonts w:ascii="Segoe UI" w:hAnsi="Segoe UI" w:cs="Segoe UI" w:eastAsia="Segoe UI"/>
                <w:b/>
                <w:i w:val="0"/>
                <w:color w:val="0E2A47"/>
                <w:sz w:val="18"/>
              </w:rPr>
              <w:t>To:</w:t>
            </w:r>
          </w:p>
        </w:tc>
        <w:tc>
          <w:tcPr>
            <w:tcW w:type="dxa" w:w="8064"/>
            <w:tcBorders>
              <w:top w:val="single" w:sz="4" w:space="0" w:color="CBD5E1"/>
              <w:left w:val="single" w:sz="4" w:space="0" w:color="CBD5E1"/>
              <w:bottom w:val="single" w:sz="4" w:space="0" w:color="CBD5E1"/>
              <w:right w:val="single" w:sz="4" w:space="0" w:color="CBD5E1"/>
            </w:tcBorders>
            <w:shd w:val="clear" w:color="auto" w:fill="F8FAFC"/>
            <w:tcMar>
              <w:top w:w="50" w:type="dxa"/>
              <w:bottom w:w="50" w:type="dxa"/>
              <w:left w:w="120" w:type="dxa"/>
              <w:right w:w="120" w:type="dxa"/>
            </w:tcMar>
            <w:vAlign w:val="top"/>
          </w:tcPr>
          <w:p>
            <w:pPr>
              <w:spacing w:before="0" w:after="0" w:line="259" w:lineRule="auto"/>
            </w:pPr>
            <w:r/>
            <w:r>
              <w:rPr>
                <w:rFonts w:ascii="Segoe UI" w:hAnsi="Segoe UI" w:cs="Segoe UI" w:eastAsia="Segoe UI"/>
                <w:b w:val="0"/>
                <w:i w:val="0"/>
                <w:color w:val="1F2937"/>
                <w:sz w:val="18"/>
              </w:rPr>
              <w:t>Project file — review of deliverable D05 (steady-attempt solver log)</w:t>
            </w:r>
          </w:p>
        </w:tc>
      </w:tr>
      <w:tr>
        <w:tc>
          <w:tcPr>
            <w:tcW w:type="dxa" w:w="1728"/>
            <w:tcBorders>
              <w:top w:val="single" w:sz="4" w:space="0" w:color="CBD5E1"/>
              <w:left w:val="single" w:sz="4" w:space="0" w:color="CBD5E1"/>
              <w:bottom w:val="single" w:sz="4" w:space="0" w:color="CBD5E1"/>
              <w:right w:val="single" w:sz="4" w:space="0" w:color="CBD5E1"/>
            </w:tcBorders>
            <w:shd w:val="clear" w:color="auto" w:fill="F8FAFC"/>
            <w:tcMar>
              <w:top w:w="50" w:type="dxa"/>
              <w:bottom w:w="50" w:type="dxa"/>
              <w:left w:w="120" w:type="dxa"/>
              <w:right w:w="120" w:type="dxa"/>
            </w:tcMar>
            <w:vAlign w:val="top"/>
          </w:tcPr>
          <w:p>
            <w:pPr>
              <w:spacing w:before="0" w:after="0" w:line="259" w:lineRule="auto"/>
            </w:pPr>
            <w:r/>
            <w:r>
              <w:rPr>
                <w:rFonts w:ascii="Segoe UI" w:hAnsi="Segoe UI" w:cs="Segoe UI" w:eastAsia="Segoe UI"/>
                <w:b/>
                <w:i w:val="0"/>
                <w:color w:val="0E2A47"/>
                <w:sz w:val="18"/>
              </w:rPr>
              <w:t>From:</w:t>
            </w:r>
          </w:p>
        </w:tc>
        <w:tc>
          <w:tcPr>
            <w:tcW w:type="dxa" w:w="8064"/>
            <w:tcBorders>
              <w:top w:val="single" w:sz="4" w:space="0" w:color="CBD5E1"/>
              <w:left w:val="single" w:sz="4" w:space="0" w:color="CBD5E1"/>
              <w:bottom w:val="single" w:sz="4" w:space="0" w:color="CBD5E1"/>
              <w:right w:val="single" w:sz="4" w:space="0" w:color="CBD5E1"/>
            </w:tcBorders>
            <w:shd w:val="clear" w:color="auto" w:fill="F8FAFC"/>
            <w:tcMar>
              <w:top w:w="50" w:type="dxa"/>
              <w:bottom w:w="50" w:type="dxa"/>
              <w:left w:w="120" w:type="dxa"/>
              <w:right w:w="120" w:type="dxa"/>
            </w:tcMar>
            <w:vAlign w:val="top"/>
          </w:tcPr>
          <w:p>
            <w:pPr>
              <w:spacing w:before="0" w:after="0" w:line="259" w:lineRule="auto"/>
            </w:pPr>
            <w:r/>
            <w:r>
              <w:rPr>
                <w:rFonts w:ascii="Segoe UI" w:hAnsi="Segoe UI" w:cs="Segoe UI" w:eastAsia="Segoe UI"/>
                <w:b w:val="0"/>
                <w:i w:val="0"/>
                <w:color w:val="1F2937"/>
                <w:sz w:val="18"/>
              </w:rPr>
              <w:t>Gordon Selby, PE — Owner &amp; Principal Engineer, The CFD ME</w:t>
            </w:r>
          </w:p>
        </w:tc>
      </w:tr>
      <w:tr>
        <w:tc>
          <w:tcPr>
            <w:tcW w:type="dxa" w:w="1728"/>
            <w:tcBorders>
              <w:top w:val="single" w:sz="4" w:space="0" w:color="CBD5E1"/>
              <w:left w:val="single" w:sz="4" w:space="0" w:color="CBD5E1"/>
              <w:bottom w:val="single" w:sz="4" w:space="0" w:color="CBD5E1"/>
              <w:right w:val="single" w:sz="4" w:space="0" w:color="CBD5E1"/>
            </w:tcBorders>
            <w:shd w:val="clear" w:color="auto" w:fill="F8FAFC"/>
            <w:tcMar>
              <w:top w:w="50" w:type="dxa"/>
              <w:bottom w:w="50" w:type="dxa"/>
              <w:left w:w="120" w:type="dxa"/>
              <w:right w:w="120" w:type="dxa"/>
            </w:tcMar>
            <w:vAlign w:val="top"/>
          </w:tcPr>
          <w:p>
            <w:pPr>
              <w:spacing w:before="0" w:after="0" w:line="259" w:lineRule="auto"/>
            </w:pPr>
            <w:r/>
            <w:r>
              <w:rPr>
                <w:rFonts w:ascii="Segoe UI" w:hAnsi="Segoe UI" w:cs="Segoe UI" w:eastAsia="Segoe UI"/>
                <w:b/>
                <w:i w:val="0"/>
                <w:color w:val="0E2A47"/>
                <w:sz w:val="18"/>
              </w:rPr>
              <w:t>Reviewed by:</w:t>
            </w:r>
          </w:p>
        </w:tc>
        <w:tc>
          <w:tcPr>
            <w:tcW w:type="dxa" w:w="8064"/>
            <w:tcBorders>
              <w:top w:val="single" w:sz="4" w:space="0" w:color="CBD5E1"/>
              <w:left w:val="single" w:sz="4" w:space="0" w:color="CBD5E1"/>
              <w:bottom w:val="single" w:sz="4" w:space="0" w:color="CBD5E1"/>
              <w:right w:val="single" w:sz="4" w:space="0" w:color="CBD5E1"/>
            </w:tcBorders>
            <w:shd w:val="clear" w:color="auto" w:fill="F8FAFC"/>
            <w:tcMar>
              <w:top w:w="50" w:type="dxa"/>
              <w:bottom w:w="50" w:type="dxa"/>
              <w:left w:w="120" w:type="dxa"/>
              <w:right w:w="120" w:type="dxa"/>
            </w:tcMar>
            <w:vAlign w:val="top"/>
          </w:tcPr>
          <w:p>
            <w:pPr>
              <w:spacing w:before="0" w:after="0" w:line="259" w:lineRule="auto"/>
            </w:pPr>
            <w:r/>
            <w:r>
              <w:rPr>
                <w:rFonts w:ascii="Segoe UI" w:hAnsi="Segoe UI" w:cs="Segoe UI" w:eastAsia="Segoe UI"/>
                <w:b w:val="0"/>
                <w:i w:val="0"/>
                <w:color w:val="1F2937"/>
                <w:sz w:val="18"/>
              </w:rPr>
              <w:t>Marguerite Falk, PE — Technical Director &amp; Reviewing Engineer, The CFD ME</w:t>
            </w:r>
          </w:p>
        </w:tc>
      </w:tr>
      <w:tr>
        <w:tc>
          <w:tcPr>
            <w:tcW w:type="dxa" w:w="1728"/>
            <w:tcBorders>
              <w:top w:val="single" w:sz="4" w:space="0" w:color="CBD5E1"/>
              <w:left w:val="single" w:sz="4" w:space="0" w:color="CBD5E1"/>
              <w:bottom w:val="single" w:sz="4" w:space="0" w:color="CBD5E1"/>
              <w:right w:val="single" w:sz="4" w:space="0" w:color="CBD5E1"/>
            </w:tcBorders>
            <w:shd w:val="clear" w:color="auto" w:fill="F8FAFC"/>
            <w:tcMar>
              <w:top w:w="50" w:type="dxa"/>
              <w:bottom w:w="50" w:type="dxa"/>
              <w:left w:w="120" w:type="dxa"/>
              <w:right w:w="120" w:type="dxa"/>
            </w:tcMar>
            <w:vAlign w:val="top"/>
          </w:tcPr>
          <w:p>
            <w:pPr>
              <w:spacing w:before="0" w:after="0" w:line="259" w:lineRule="auto"/>
            </w:pPr>
            <w:r/>
            <w:r>
              <w:rPr>
                <w:rFonts w:ascii="Segoe UI" w:hAnsi="Segoe UI" w:cs="Segoe UI" w:eastAsia="Segoe UI"/>
                <w:b/>
                <w:i w:val="0"/>
                <w:color w:val="0E2A47"/>
                <w:sz w:val="18"/>
              </w:rPr>
              <w:t>Date:</w:t>
            </w:r>
          </w:p>
        </w:tc>
        <w:tc>
          <w:tcPr>
            <w:tcW w:type="dxa" w:w="8064"/>
            <w:tcBorders>
              <w:top w:val="single" w:sz="4" w:space="0" w:color="CBD5E1"/>
              <w:left w:val="single" w:sz="4" w:space="0" w:color="CBD5E1"/>
              <w:bottom w:val="single" w:sz="4" w:space="0" w:color="CBD5E1"/>
              <w:right w:val="single" w:sz="4" w:space="0" w:color="CBD5E1"/>
            </w:tcBorders>
            <w:shd w:val="clear" w:color="auto" w:fill="F8FAFC"/>
            <w:tcMar>
              <w:top w:w="50" w:type="dxa"/>
              <w:bottom w:w="50" w:type="dxa"/>
              <w:left w:w="120" w:type="dxa"/>
              <w:right w:w="120" w:type="dxa"/>
            </w:tcMar>
            <w:vAlign w:val="top"/>
          </w:tcPr>
          <w:p>
            <w:pPr>
              <w:spacing w:before="0" w:after="0" w:line="259" w:lineRule="auto"/>
            </w:pPr>
            <w:r/>
            <w:r>
              <w:rPr>
                <w:rFonts w:ascii="Segoe UI" w:hAnsi="Segoe UI" w:cs="Segoe UI" w:eastAsia="Segoe UI"/>
                <w:b w:val="0"/>
                <w:i w:val="0"/>
                <w:color w:val="1F2937"/>
                <w:sz w:val="18"/>
              </w:rPr>
              <w:t>10/10/2025</w:t>
            </w:r>
          </w:p>
        </w:tc>
      </w:tr>
      <w:tr>
        <w:tc>
          <w:tcPr>
            <w:tcW w:type="dxa" w:w="1728"/>
            <w:tcBorders>
              <w:top w:val="single" w:sz="4" w:space="0" w:color="CBD5E1"/>
              <w:left w:val="single" w:sz="4" w:space="0" w:color="CBD5E1"/>
              <w:bottom w:val="single" w:sz="4" w:space="0" w:color="CBD5E1"/>
              <w:right w:val="single" w:sz="4" w:space="0" w:color="CBD5E1"/>
            </w:tcBorders>
            <w:shd w:val="clear" w:color="auto" w:fill="F8FAFC"/>
            <w:tcMar>
              <w:top w:w="50" w:type="dxa"/>
              <w:bottom w:w="50" w:type="dxa"/>
              <w:left w:w="120" w:type="dxa"/>
              <w:right w:w="120" w:type="dxa"/>
            </w:tcMar>
            <w:vAlign w:val="top"/>
          </w:tcPr>
          <w:p>
            <w:pPr>
              <w:spacing w:before="0" w:after="0" w:line="259" w:lineRule="auto"/>
            </w:pPr>
            <w:r/>
            <w:r>
              <w:rPr>
                <w:rFonts w:ascii="Segoe UI" w:hAnsi="Segoe UI" w:cs="Segoe UI" w:eastAsia="Segoe UI"/>
                <w:b/>
                <w:i w:val="0"/>
                <w:color w:val="0E2A47"/>
                <w:sz w:val="18"/>
              </w:rPr>
              <w:t>Subject:</w:t>
            </w:r>
          </w:p>
        </w:tc>
        <w:tc>
          <w:tcPr>
            <w:tcW w:type="dxa" w:w="8064"/>
            <w:tcBorders>
              <w:top w:val="single" w:sz="4" w:space="0" w:color="CBD5E1"/>
              <w:left w:val="single" w:sz="4" w:space="0" w:color="CBD5E1"/>
              <w:bottom w:val="single" w:sz="4" w:space="0" w:color="CBD5E1"/>
              <w:right w:val="single" w:sz="4" w:space="0" w:color="CBD5E1"/>
            </w:tcBorders>
            <w:shd w:val="clear" w:color="auto" w:fill="F8FAFC"/>
            <w:tcMar>
              <w:top w:w="50" w:type="dxa"/>
              <w:bottom w:w="50" w:type="dxa"/>
              <w:left w:w="120" w:type="dxa"/>
              <w:right w:w="120" w:type="dxa"/>
            </w:tcMar>
            <w:vAlign w:val="top"/>
          </w:tcPr>
          <w:p>
            <w:pPr>
              <w:spacing w:before="0" w:after="0" w:line="259" w:lineRule="auto"/>
            </w:pPr>
            <w:r/>
            <w:r>
              <w:rPr>
                <w:rFonts w:ascii="Segoe UI" w:hAnsi="Segoe UI" w:cs="Segoe UI" w:eastAsia="Segoe UI"/>
                <w:b w:val="0"/>
                <w:i w:val="0"/>
                <w:color w:val="1F2937"/>
                <w:sz w:val="18"/>
              </w:rPr>
              <w:t>Steady-solve attempt 3 (Mulshi Simulation Labs, SLURM job 41304, run 10/09/2025): disposition, authorized transient run, mesh verification coverage, carry-forward, solver wall clock</w:t>
            </w:r>
          </w:p>
        </w:tc>
      </w:tr>
      <w:tr>
        <w:tc>
          <w:tcPr>
            <w:tcW w:type="dxa" w:w="1728"/>
            <w:tcBorders>
              <w:top w:val="single" w:sz="4" w:space="0" w:color="CBD5E1"/>
              <w:left w:val="single" w:sz="4" w:space="0" w:color="CBD5E1"/>
              <w:bottom w:val="single" w:sz="4" w:space="0" w:color="CBD5E1"/>
              <w:right w:val="single" w:sz="4" w:space="0" w:color="CBD5E1"/>
            </w:tcBorders>
            <w:shd w:val="clear" w:color="auto" w:fill="F8FAFC"/>
            <w:tcMar>
              <w:top w:w="50" w:type="dxa"/>
              <w:bottom w:w="50" w:type="dxa"/>
              <w:left w:w="120" w:type="dxa"/>
              <w:right w:w="120" w:type="dxa"/>
            </w:tcMar>
            <w:vAlign w:val="top"/>
          </w:tcPr>
          <w:p>
            <w:pPr>
              <w:spacing w:before="0" w:after="0" w:line="259" w:lineRule="auto"/>
            </w:pPr>
            <w:r/>
            <w:r>
              <w:rPr>
                <w:rFonts w:ascii="Segoe UI" w:hAnsi="Segoe UI" w:cs="Segoe UI" w:eastAsia="Segoe UI"/>
                <w:b/>
                <w:i w:val="0"/>
                <w:color w:val="0E2A47"/>
                <w:sz w:val="18"/>
              </w:rPr>
              <w:t>Governing:</w:t>
            </w:r>
          </w:p>
        </w:tc>
        <w:tc>
          <w:tcPr>
            <w:tcW w:type="dxa" w:w="8064"/>
            <w:tcBorders>
              <w:top w:val="single" w:sz="4" w:space="0" w:color="CBD5E1"/>
              <w:left w:val="single" w:sz="4" w:space="0" w:color="CBD5E1"/>
              <w:bottom w:val="single" w:sz="4" w:space="0" w:color="CBD5E1"/>
              <w:right w:val="single" w:sz="4" w:space="0" w:color="CBD5E1"/>
            </w:tcBorders>
            <w:shd w:val="clear" w:color="auto" w:fill="F8FAFC"/>
            <w:tcMar>
              <w:top w:w="50" w:type="dxa"/>
              <w:bottom w:w="50" w:type="dxa"/>
              <w:left w:w="120" w:type="dxa"/>
              <w:right w:w="120" w:type="dxa"/>
            </w:tcMar>
            <w:vAlign w:val="top"/>
          </w:tcPr>
          <w:p>
            <w:pPr>
              <w:spacing w:before="0" w:after="0" w:line="259" w:lineRule="auto"/>
            </w:pPr>
            <w:r/>
            <w:r>
              <w:rPr>
                <w:rFonts w:ascii="Segoe UI" w:hAnsi="Segoe UI" w:cs="Segoe UI" w:eastAsia="Segoe UI"/>
                <w:b w:val="0"/>
                <w:i w:val="0"/>
                <w:color w:val="1F2937"/>
                <w:sz w:val="18"/>
              </w:rPr>
              <w:t>Modeling Standards — Fire &amp; Buoyant Flows rev 4 (MS); QA Verification Standard rev 3 (QA VS); Units and Conversions SOP rev 2; Validation Procedure rev 2 (VP) §9; firm reference controlDict fireFoam_transient_controlDict.txt; runtime projection basis (M. Falk, 10/09/2025); SOW CFDME-2025-041-SOW-01</w:t>
            </w:r>
          </w:p>
        </w:tc>
      </w:tr>
    </w:tbl>
    <w:p>
      <w:pPr>
        <w:spacing w:before="0" w:after="0"/>
      </w:pPr>
    </w:p>
    <w:p>
      <w:pPr>
        <w:spacing w:before="0" w:after="40"/>
      </w:pPr>
      <w:r>
        <w:rPr>
          <w:rFonts w:ascii="Segoe UI" w:hAnsi="Segoe UI" w:cs="Segoe UI" w:eastAsia="Segoe UI"/>
          <w:b w:val="0"/>
          <w:i/>
          <w:color w:val="6B7280"/>
          <w:sz w:val="16"/>
        </w:rPr>
        <w:t>Conventions: SI throughout, units on every value. Simulated time in seconds to two decimals; solver wall clock in hours and minutes; frequencies and periods to two decimals; writeInterval to four decimals; time-step sizes as recorded. (–) marks a dimensionless quantity. Unrounded intermediates appear only where the rounding direction matters. "Section" refers to this note; MS, QA VS and VP to the firm documents above. Paths are relative to /Projects/CFDME-2025-041_Ocotillo_WUI/ unless shown.</w:t>
      </w:r>
    </w:p>
    <w:p>
      <w:pPr>
        <w:pStyle w:val="Heading1"/>
        <w:pBdr>
          <w:bottom w:val="single" w:sz="8" w:space="3" w:color="0E2A47"/>
        </w:pBdr>
      </w:pPr>
      <w:r>
        <w:t>1.  Disposition</w:t>
      </w:r>
    </w:p>
    <w:tbl>
      <w:tblPr>
        <w:tblW w:type="auto" w:w="0"/>
        <w:jc w:val="center"/>
        <w:tblLayout w:type="fixed"/>
        <w:tblLayout w:type="fixed"/>
        <w:tblLook w:firstColumn="1" w:firstRow="1" w:lastColumn="0" w:lastRow="0" w:noHBand="0" w:noVBand="1" w:val="04A0"/>
      </w:tblPr>
      <w:tblGrid>
        <w:gridCol w:w="2448"/>
        <w:gridCol w:w="7343"/>
      </w:tblGrid>
      <w:tr>
        <w:trPr>
          <w:tblHeader/>
          <w:cantSplit/>
        </w:trPr>
        <w:tc>
          <w:tcPr>
            <w:tcW w:type="dxa" w:w="2448"/>
            <w:tcBorders>
              <w:top w:val="single" w:sz="4" w:space="0" w:color="A0AEC0"/>
              <w:left w:val="single" w:sz="4" w:space="0" w:color="A0AEC0"/>
              <w:bottom w:val="single" w:sz="4" w:space="0" w:color="A0AEC0"/>
              <w:right w:val="single" w:sz="4" w:space="0" w:color="A0AEC0"/>
            </w:tcBorders>
            <w:shd w:val="clear" w:color="auto" w:fill="0E2A47"/>
            <w:tcMar>
              <w:top w:w="80" w:type="dxa"/>
              <w:bottom w:w="80" w:type="dxa"/>
              <w:left w:w="110" w:type="dxa"/>
              <w:right w:w="110" w:type="dxa"/>
            </w:tcMar>
            <w:vAlign w:val="center"/>
          </w:tcPr>
          <w:p>
            <w:pPr>
              <w:keepNext/>
              <w:spacing w:before="0" w:after="0" w:line="259" w:lineRule="auto"/>
            </w:pPr>
            <w:r/>
            <w:r>
              <w:rPr>
                <w:rFonts w:ascii="Segoe UI" w:hAnsi="Segoe UI" w:cs="Segoe UI" w:eastAsia="Segoe UI"/>
                <w:b/>
                <w:i w:val="0"/>
                <w:color w:val="FFFFFF"/>
                <w:sz w:val="17"/>
              </w:rPr>
              <w:t>Item</w:t>
            </w:r>
          </w:p>
        </w:tc>
        <w:tc>
          <w:tcPr>
            <w:tcW w:type="dxa" w:w="7343"/>
            <w:tcBorders>
              <w:top w:val="single" w:sz="4" w:space="0" w:color="A0AEC0"/>
              <w:left w:val="single" w:sz="4" w:space="0" w:color="A0AEC0"/>
              <w:bottom w:val="single" w:sz="4" w:space="0" w:color="A0AEC0"/>
              <w:right w:val="single" w:sz="4" w:space="0" w:color="A0AEC0"/>
            </w:tcBorders>
            <w:shd w:val="clear" w:color="auto" w:fill="0E2A47"/>
            <w:tcMar>
              <w:top w:w="80" w:type="dxa"/>
              <w:bottom w:w="80" w:type="dxa"/>
              <w:left w:w="110" w:type="dxa"/>
              <w:right w:w="110" w:type="dxa"/>
            </w:tcMar>
            <w:vAlign w:val="center"/>
          </w:tcPr>
          <w:p>
            <w:pPr>
              <w:keepNext/>
              <w:spacing w:before="0" w:after="0" w:line="259" w:lineRule="auto"/>
            </w:pPr>
            <w:r/>
            <w:r>
              <w:rPr>
                <w:rFonts w:ascii="Segoe UI" w:hAnsi="Segoe UI" w:cs="Segoe UI" w:eastAsia="Segoe UI"/>
                <w:b/>
                <w:i w:val="0"/>
                <w:color w:val="FFFFFF"/>
                <w:sz w:val="17"/>
              </w:rPr>
              <w:t>Disposition</w:t>
            </w:r>
          </w:p>
        </w:tc>
      </w:tr>
      <w:tr>
        <w:trPr>
          <w:cantSplit/>
        </w:trPr>
        <w:tc>
          <w:tcPr>
            <w:tcW w:type="dxa" w:w="2448"/>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keepNext/>
              <w:spacing w:before="0" w:after="0" w:line="259" w:lineRule="auto"/>
            </w:pPr>
            <w:r/>
            <w:r>
              <w:rPr>
                <w:rFonts w:ascii="Segoe UI" w:hAnsi="Segoe UI" w:cs="Segoe UI" w:eastAsia="Segoe UI"/>
                <w:b/>
                <w:i w:val="0"/>
                <w:color w:val="0E2A47"/>
                <w:sz w:val="17"/>
              </w:rPr>
              <w:t>Steady-solve attempt 3 (D05)</w:t>
            </w:r>
          </w:p>
        </w:tc>
        <w:tc>
          <w:tcPr>
            <w:tcW w:type="dxa" w:w="7343"/>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keepNext/>
              <w:spacing w:before="0" w:after="0" w:line="259" w:lineRule="auto"/>
            </w:pPr>
            <w:r/>
            <w:r>
              <w:rPr>
                <w:rFonts w:ascii="Segoe UI" w:hAnsi="Segoe UI" w:cs="Segoe UI" w:eastAsia="Segoe UI"/>
                <w:b/>
                <w:i w:val="0"/>
                <w:color w:val="1F2937"/>
                <w:sz w:val="17"/>
              </w:rPr>
              <w:t>NOT ACCEPTED — closed.</w:t>
            </w:r>
            <w:r>
              <w:rPr>
                <w:rFonts w:ascii="Segoe UI" w:hAnsi="Segoe UI" w:cs="Segoe UI" w:eastAsia="Segoe UI"/>
                <w:b w:val="0"/>
                <w:i w:val="0"/>
                <w:color w:val="1F2937"/>
                <w:sz w:val="17"/>
              </w:rPr>
              <w:t xml:space="preserve"> Not a result, not an initial condition, not a cost basis.</w:t>
            </w:r>
          </w:p>
        </w:tc>
      </w:tr>
      <w:tr>
        <w:trPr>
          <w:cantSplit/>
        </w:trPr>
        <w:tc>
          <w:tcPr>
            <w:tcW w:type="dxa" w:w="2448"/>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center"/>
          </w:tcPr>
          <w:p>
            <w:pPr>
              <w:keepNext/>
              <w:spacing w:before="0" w:after="0" w:line="259" w:lineRule="auto"/>
            </w:pPr>
            <w:r/>
            <w:r>
              <w:rPr>
                <w:rFonts w:ascii="Segoe UI" w:hAnsi="Segoe UI" w:cs="Segoe UI" w:eastAsia="Segoe UI"/>
                <w:b/>
                <w:i w:val="0"/>
                <w:color w:val="0E2A47"/>
                <w:sz w:val="17"/>
              </w:rPr>
              <w:t>Residual plateau</w:t>
            </w:r>
          </w:p>
        </w:tc>
        <w:tc>
          <w:tcPr>
            <w:tcW w:type="dxa" w:w="7343"/>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center"/>
          </w:tcPr>
          <w:p>
            <w:pPr>
              <w:keepNext/>
              <w:spacing w:before="0" w:after="0" w:line="259" w:lineRule="auto"/>
            </w:pPr>
            <w:r/>
            <w:r>
              <w:rPr>
                <w:rFonts w:ascii="Segoe UI" w:hAnsi="Segoe UI" w:cs="Segoe UI" w:eastAsia="Segoe UI"/>
                <w:b w:val="0"/>
                <w:i w:val="0"/>
                <w:color w:val="1F2937"/>
                <w:sz w:val="17"/>
              </w:rPr>
              <w:t>The plume's physical puffing, not a numerical artefact. It should show 0.87 Hz / 1.15 s; attempt 3 showed 0.87 Hz / 1.15 s; they agree within 0.41 % (Section 3).</w:t>
            </w:r>
          </w:p>
        </w:tc>
      </w:tr>
      <w:tr>
        <w:trPr>
          <w:cantSplit/>
        </w:trPr>
        <w:tc>
          <w:tcPr>
            <w:tcW w:type="dxa" w:w="2448"/>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keepNext/>
              <w:spacing w:before="0" w:after="0" w:line="259" w:lineRule="auto"/>
            </w:pPr>
            <w:r/>
            <w:r>
              <w:rPr>
                <w:rFonts w:ascii="Segoe UI" w:hAnsi="Segoe UI" w:cs="Segoe UI" w:eastAsia="Segoe UI"/>
                <w:b/>
                <w:i w:val="0"/>
                <w:color w:val="0E2A47"/>
                <w:sz w:val="17"/>
              </w:rPr>
              <w:t>Steady solution</w:t>
            </w:r>
          </w:p>
        </w:tc>
        <w:tc>
          <w:tcPr>
            <w:tcW w:type="dxa" w:w="7343"/>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keepNext/>
              <w:spacing w:before="0" w:after="0" w:line="259" w:lineRule="auto"/>
            </w:pPr>
            <w:r/>
            <w:r>
              <w:rPr>
                <w:rFonts w:ascii="Segoe UI" w:hAnsi="Segoe UI" w:cs="Segoe UI" w:eastAsia="Segoe UI"/>
                <w:b/>
                <w:i w:val="0"/>
                <w:color w:val="1F2937"/>
                <w:sz w:val="17"/>
              </w:rPr>
              <w:t>Does not exist</w:t>
            </w:r>
            <w:r>
              <w:rPr>
                <w:rFonts w:ascii="Segoe UI" w:hAnsi="Segoe UI" w:cs="Segoe UI" w:eastAsia="Segoe UI"/>
                <w:b w:val="0"/>
                <w:i w:val="0"/>
                <w:color w:val="1F2937"/>
                <w:sz w:val="17"/>
              </w:rPr>
              <w:t xml:space="preserve"> for this problem (MS §4). No fourth steady attempt is authorized in any variant; Mulshi Simulation Labs shall not start attempt 4.</w:t>
            </w:r>
          </w:p>
        </w:tc>
      </w:tr>
      <w:tr>
        <w:trPr>
          <w:cantSplit/>
        </w:trPr>
        <w:tc>
          <w:tcPr>
            <w:tcW w:type="dxa" w:w="2448"/>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center"/>
          </w:tcPr>
          <w:p>
            <w:pPr>
              <w:keepNext/>
              <w:spacing w:before="0" w:after="0" w:line="259" w:lineRule="auto"/>
            </w:pPr>
            <w:r/>
            <w:r>
              <w:rPr>
                <w:rFonts w:ascii="Segoe UI" w:hAnsi="Segoe UI" w:cs="Segoe UI" w:eastAsia="Segoe UI"/>
                <w:b/>
                <w:i w:val="0"/>
                <w:color w:val="0E2A47"/>
                <w:sz w:val="17"/>
              </w:rPr>
              <w:t>Delivered case setup</w:t>
            </w:r>
          </w:p>
        </w:tc>
        <w:tc>
          <w:tcPr>
            <w:tcW w:type="dxa" w:w="7343"/>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center"/>
          </w:tcPr>
          <w:p>
            <w:pPr>
              <w:keepNext/>
              <w:spacing w:before="0" w:after="0" w:line="259" w:lineRule="auto"/>
            </w:pPr>
            <w:r/>
            <w:r>
              <w:rPr>
                <w:rFonts w:ascii="Segoe UI" w:hAnsi="Segoe UI" w:cs="Segoe UI" w:eastAsia="Segoe UI"/>
                <w:b/>
                <w:i w:val="0"/>
                <w:color w:val="1F2937"/>
                <w:sz w:val="17"/>
              </w:rPr>
              <w:t>RETURNED FOR CORRECTION.</w:t>
            </w:r>
            <w:r>
              <w:rPr>
                <w:rFonts w:ascii="Segoe UI" w:hAnsi="Segoe UI" w:cs="Segoe UI" w:eastAsia="Segoe UI"/>
                <w:b w:val="0"/>
                <w:i w:val="0"/>
                <w:color w:val="1F2937"/>
                <w:sz w:val="17"/>
              </w:rPr>
              <w:t xml:space="preserve"> Its physics was carried from the Dry Wash Aerospace high-altitude case contrary to MS §7; non-conforming items and required values in Section 4.2.</w:t>
            </w:r>
          </w:p>
        </w:tc>
      </w:tr>
      <w:tr>
        <w:trPr>
          <w:cantSplit/>
        </w:trPr>
        <w:tc>
          <w:tcPr>
            <w:tcW w:type="dxa" w:w="2448"/>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keepNext/>
              <w:spacing w:before="0" w:after="0" w:line="259" w:lineRule="auto"/>
            </w:pPr>
            <w:r/>
            <w:r>
              <w:rPr>
                <w:rFonts w:ascii="Segoe UI" w:hAnsi="Segoe UI" w:cs="Segoe UI" w:eastAsia="Segoe UI"/>
                <w:b/>
                <w:i w:val="0"/>
                <w:color w:val="0E2A47"/>
                <w:sz w:val="17"/>
              </w:rPr>
              <w:t>Transient LES</w:t>
            </w:r>
          </w:p>
        </w:tc>
        <w:tc>
          <w:tcPr>
            <w:tcW w:type="dxa" w:w="7343"/>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keepNext/>
              <w:spacing w:before="0" w:after="0" w:line="259" w:lineRule="auto"/>
            </w:pPr>
            <w:r/>
            <w:r>
              <w:rPr>
                <w:rFonts w:ascii="Segoe UI" w:hAnsi="Segoe UI" w:cs="Segoe UI" w:eastAsia="Segoe UI"/>
                <w:b/>
                <w:i w:val="0"/>
                <w:color w:val="1F2937"/>
                <w:sz w:val="17"/>
              </w:rPr>
              <w:t>AUTHORIZED</w:t>
            </w:r>
            <w:r>
              <w:rPr>
                <w:rFonts w:ascii="Segoe UI" w:hAnsi="Segoe UI" w:cs="Segoe UI" w:eastAsia="Segoe UI"/>
                <w:b w:val="0"/>
                <w:i w:val="0"/>
                <w:color w:val="1F2937"/>
                <w:sz w:val="17"/>
              </w:rPr>
              <w:t>, one run per SOW §3.1 case, with the Section 5.2 time-control block (endTime 31.10 s; writeInterval 0.0461 s; maxDeltaT 0.01 s; maxCo 0.9 (–)) under the Section 5.4 launch conditions.</w:t>
            </w:r>
          </w:p>
        </w:tc>
      </w:tr>
      <w:tr>
        <w:trPr>
          <w:cantSplit/>
        </w:trPr>
        <w:tc>
          <w:tcPr>
            <w:tcW w:type="dxa" w:w="2448"/>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center"/>
          </w:tcPr>
          <w:p>
            <w:pPr>
              <w:keepNext/>
              <w:spacing w:before="0" w:after="0" w:line="259" w:lineRule="auto"/>
            </w:pPr>
            <w:r/>
            <w:r>
              <w:rPr>
                <w:rFonts w:ascii="Segoe UI" w:hAnsi="Segoe UI" w:cs="Segoe UI" w:eastAsia="Segoe UI"/>
                <w:b/>
                <w:i w:val="0"/>
                <w:color w:val="0E2A47"/>
                <w:sz w:val="17"/>
              </w:rPr>
              <w:t>Solver wall clock</w:t>
            </w:r>
          </w:p>
        </w:tc>
        <w:tc>
          <w:tcPr>
            <w:tcW w:type="dxa" w:w="7343"/>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center"/>
          </w:tcPr>
          <w:p>
            <w:pPr>
              <w:keepNext/>
              <w:spacing w:before="0" w:after="0" w:line="259" w:lineRule="auto"/>
            </w:pPr>
            <w:r/>
            <w:r>
              <w:rPr>
                <w:rFonts w:ascii="Segoe UI" w:hAnsi="Segoe UI" w:cs="Segoe UI" w:eastAsia="Segoe UI"/>
                <w:b w:val="0"/>
                <w:i w:val="0"/>
                <w:color w:val="1F2937"/>
                <w:sz w:val="17"/>
              </w:rPr>
              <w:t xml:space="preserve">The firm's projection basis cannot be met yet. Lower bound only: </w:t>
            </w:r>
            <w:r>
              <w:rPr>
                <w:rFonts w:ascii="Segoe UI" w:hAnsi="Segoe UI" w:cs="Segoe UI" w:eastAsia="Segoe UI"/>
                <w:b/>
                <w:i w:val="0"/>
                <w:color w:val="1F2937"/>
                <w:sz w:val="17"/>
              </w:rPr>
              <w:t>4 h 28 min per case; 26 h 49 min for the six-case matrix</w:t>
            </w:r>
            <w:r>
              <w:rPr>
                <w:rFonts w:ascii="Segoe UI" w:hAnsi="Segoe UI" w:cs="Segoe UI" w:eastAsia="Segoe UI"/>
                <w:b w:val="0"/>
                <w:i w:val="0"/>
                <w:color w:val="1F2937"/>
                <w:sz w:val="17"/>
              </w:rPr>
              <w:t xml:space="preserve"> (Section 8).</w:t>
            </w:r>
          </w:p>
        </w:tc>
      </w:tr>
      <w:tr>
        <w:trPr>
          <w:cantSplit/>
        </w:trPr>
        <w:tc>
          <w:tcPr>
            <w:tcW w:type="dxa" w:w="2448"/>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spacing w:before="0" w:after="0" w:line="259" w:lineRule="auto"/>
            </w:pPr>
            <w:r/>
            <w:r>
              <w:rPr>
                <w:rFonts w:ascii="Segoe UI" w:hAnsi="Segoe UI" w:cs="Segoe UI" w:eastAsia="Segoe UI"/>
                <w:b/>
                <w:i w:val="0"/>
                <w:color w:val="0E2A47"/>
                <w:sz w:val="17"/>
              </w:rPr>
              <w:t>Attempt 3 consumption</w:t>
            </w:r>
          </w:p>
        </w:tc>
        <w:tc>
          <w:tcPr>
            <w:tcW w:type="dxa" w:w="7343"/>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7"/>
              </w:rPr>
              <w:t>6 h 41 min solver wall clock on 64 cores (424.3 CPU-hours) for 0.00 s of simulated time — 1.49 times the per-case lower bound. Nothing usable downstream beyond diagnostic evidence (Section 9).</w:t>
            </w:r>
          </w:p>
        </w:tc>
      </w:tr>
    </w:tbl>
    <w:p>
      <w:pPr>
        <w:spacing w:after="80" w:line="192" w:lineRule="auto"/>
      </w:pPr>
    </w:p>
    <w:p>
      <w:pPr>
        <w:pStyle w:val="Heading1"/>
        <w:pBdr>
          <w:bottom w:val="single" w:sz="8" w:space="3" w:color="0E2A47"/>
        </w:pBdr>
      </w:pPr>
      <w:r>
        <w:t>2.  Record Reviewed</w:t>
      </w:r>
    </w:p>
    <w:tbl>
      <w:tblPr>
        <w:tblW w:type="auto" w:w="0"/>
        <w:jc w:val="center"/>
        <w:tblLayout w:type="fixed"/>
        <w:tblLayout w:type="fixed"/>
        <w:tblLook w:firstColumn="1" w:firstRow="1" w:lastColumn="0" w:lastRow="0" w:noHBand="0" w:noVBand="1" w:val="04A0"/>
      </w:tblPr>
      <w:tblGrid>
        <w:gridCol w:w="2880"/>
        <w:gridCol w:w="5112"/>
        <w:gridCol w:w="1800"/>
      </w:tblGrid>
      <w:tr>
        <w:trPr>
          <w:tblHeader/>
          <w:cantSplit/>
        </w:trPr>
        <w:tc>
          <w:tcPr>
            <w:tcW w:type="dxa" w:w="2880"/>
            <w:tcBorders>
              <w:top w:val="single" w:sz="4" w:space="0" w:color="A0AEC0"/>
              <w:left w:val="single" w:sz="4" w:space="0" w:color="A0AEC0"/>
              <w:bottom w:val="single" w:sz="4" w:space="0" w:color="A0AEC0"/>
              <w:right w:val="single" w:sz="4" w:space="0" w:color="A0AEC0"/>
            </w:tcBorders>
            <w:shd w:val="clear" w:color="auto" w:fill="0E2A47"/>
            <w:tcMar>
              <w:top w:w="80" w:type="dxa"/>
              <w:bottom w:w="80" w:type="dxa"/>
              <w:left w:w="110" w:type="dxa"/>
              <w:right w:w="110" w:type="dxa"/>
            </w:tcMar>
            <w:vAlign w:val="center"/>
          </w:tcPr>
          <w:p>
            <w:pPr>
              <w:keepNext/>
              <w:spacing w:before="0" w:after="0" w:line="259" w:lineRule="auto"/>
            </w:pPr>
            <w:r/>
            <w:r>
              <w:rPr>
                <w:rFonts w:ascii="Segoe UI" w:hAnsi="Segoe UI" w:cs="Segoe UI" w:eastAsia="Segoe UI"/>
                <w:b/>
                <w:i w:val="0"/>
                <w:color w:val="FFFFFF"/>
                <w:sz w:val="16"/>
              </w:rPr>
              <w:t>Record</w:t>
            </w:r>
          </w:p>
        </w:tc>
        <w:tc>
          <w:tcPr>
            <w:tcW w:type="dxa" w:w="5112"/>
            <w:tcBorders>
              <w:top w:val="single" w:sz="4" w:space="0" w:color="A0AEC0"/>
              <w:left w:val="single" w:sz="4" w:space="0" w:color="A0AEC0"/>
              <w:bottom w:val="single" w:sz="4" w:space="0" w:color="A0AEC0"/>
              <w:right w:val="single" w:sz="4" w:space="0" w:color="A0AEC0"/>
            </w:tcBorders>
            <w:shd w:val="clear" w:color="auto" w:fill="0E2A47"/>
            <w:tcMar>
              <w:top w:w="80" w:type="dxa"/>
              <w:bottom w:w="80" w:type="dxa"/>
              <w:left w:w="110" w:type="dxa"/>
              <w:right w:w="110" w:type="dxa"/>
            </w:tcMar>
            <w:vAlign w:val="center"/>
          </w:tcPr>
          <w:p>
            <w:pPr>
              <w:keepNext/>
              <w:spacing w:before="0" w:after="0" w:line="259" w:lineRule="auto"/>
            </w:pPr>
            <w:r/>
            <w:r>
              <w:rPr>
                <w:rFonts w:ascii="Segoe UI" w:hAnsi="Segoe UI" w:cs="Segoe UI" w:eastAsia="Segoe UI"/>
                <w:b/>
                <w:i w:val="0"/>
                <w:color w:val="FFFFFF"/>
                <w:sz w:val="16"/>
              </w:rPr>
              <w:t>File</w:t>
            </w:r>
          </w:p>
        </w:tc>
        <w:tc>
          <w:tcPr>
            <w:tcW w:type="dxa" w:w="1800"/>
            <w:tcBorders>
              <w:top w:val="single" w:sz="4" w:space="0" w:color="A0AEC0"/>
              <w:left w:val="single" w:sz="4" w:space="0" w:color="A0AEC0"/>
              <w:bottom w:val="single" w:sz="4" w:space="0" w:color="A0AEC0"/>
              <w:right w:val="single" w:sz="4" w:space="0" w:color="A0AEC0"/>
            </w:tcBorders>
            <w:shd w:val="clear" w:color="auto" w:fill="0E2A47"/>
            <w:tcMar>
              <w:top w:w="80" w:type="dxa"/>
              <w:bottom w:w="80" w:type="dxa"/>
              <w:left w:w="110" w:type="dxa"/>
              <w:right w:w="110" w:type="dxa"/>
            </w:tcMar>
            <w:vAlign w:val="center"/>
          </w:tcPr>
          <w:p>
            <w:pPr>
              <w:keepNext/>
              <w:spacing w:before="0" w:after="0" w:line="259" w:lineRule="auto"/>
            </w:pPr>
            <w:r/>
            <w:r>
              <w:rPr>
                <w:rFonts w:ascii="Segoe UI" w:hAnsi="Segoe UI" w:cs="Segoe UI" w:eastAsia="Segoe UI"/>
                <w:b/>
                <w:i w:val="0"/>
                <w:color w:val="FFFFFF"/>
                <w:sz w:val="16"/>
              </w:rPr>
              <w:t>Originator</w:t>
            </w:r>
          </w:p>
        </w:tc>
      </w:tr>
      <w:tr>
        <w:trPr>
          <w:cantSplit/>
        </w:trPr>
        <w:tc>
          <w:tcPr>
            <w:tcW w:type="dxa" w:w="2880"/>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6"/>
              </w:rPr>
              <w:t>Attempt-3 solver log (D05)</w:t>
            </w:r>
          </w:p>
        </w:tc>
        <w:tc>
          <w:tcPr>
            <w:tcW w:type="dxa" w:w="5112"/>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6"/>
              </w:rPr>
              <w:t>Case/logs/log.solve_20251009_attempt3.txt</w:t>
            </w:r>
          </w:p>
        </w:tc>
        <w:tc>
          <w:tcPr>
            <w:tcW w:type="dxa" w:w="1800"/>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6"/>
              </w:rPr>
              <w:t>S. Bhatia, Mulshi</w:t>
            </w:r>
          </w:p>
        </w:tc>
      </w:tr>
      <w:tr>
        <w:trPr>
          <w:cantSplit/>
        </w:trPr>
        <w:tc>
          <w:tcPr>
            <w:tcW w:type="dxa" w:w="2880"/>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6"/>
              </w:rPr>
              <w:t>Delivered time control</w:t>
            </w:r>
          </w:p>
        </w:tc>
        <w:tc>
          <w:tcPr>
            <w:tcW w:type="dxa" w:w="5112"/>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6"/>
              </w:rPr>
              <w:t>Case/system/controlDict</w:t>
            </w:r>
          </w:p>
        </w:tc>
        <w:tc>
          <w:tcPr>
            <w:tcW w:type="dxa" w:w="1800"/>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6"/>
              </w:rPr>
              <w:t>S. Bhatia, Mulshi</w:t>
            </w:r>
          </w:p>
        </w:tc>
      </w:tr>
      <w:tr>
        <w:trPr>
          <w:cantSplit/>
        </w:trPr>
        <w:tc>
          <w:tcPr>
            <w:tcW w:type="dxa" w:w="2880"/>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6"/>
              </w:rPr>
              <w:t>Delivered case dictionary bundle</w:t>
            </w:r>
          </w:p>
        </w:tc>
        <w:tc>
          <w:tcPr>
            <w:tcW w:type="dxa" w:w="5112"/>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6"/>
              </w:rPr>
              <w:t>Case/system_archive/OAS_case_setup_from_DWA.txt</w:t>
            </w:r>
          </w:p>
        </w:tc>
        <w:tc>
          <w:tcPr>
            <w:tcW w:type="dxa" w:w="1800"/>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6"/>
              </w:rPr>
              <w:t>A. Deshmukh, Mulshi</w:t>
            </w:r>
          </w:p>
        </w:tc>
      </w:tr>
      <w:tr>
        <w:trPr>
          <w:cantSplit/>
        </w:trPr>
        <w:tc>
          <w:tcPr>
            <w:tcW w:type="dxa" w:w="2880"/>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6"/>
              </w:rPr>
              <w:t>Production mesh log (D03)</w:t>
            </w:r>
          </w:p>
        </w:tc>
        <w:tc>
          <w:tcPr>
            <w:tcW w:type="dxa" w:w="5112"/>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6"/>
              </w:rPr>
              <w:t>Case/logs/log.snappyHexMesh_20251009.txt</w:t>
            </w:r>
          </w:p>
        </w:tc>
        <w:tc>
          <w:tcPr>
            <w:tcW w:type="dxa" w:w="1800"/>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6"/>
              </w:rPr>
              <w:t>R. Ellsworth</w:t>
            </w:r>
          </w:p>
        </w:tc>
      </w:tr>
      <w:tr>
        <w:trPr>
          <w:cantSplit/>
        </w:trPr>
        <w:tc>
          <w:tcPr>
            <w:tcW w:type="dxa" w:w="2880"/>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6"/>
              </w:rPr>
              <w:t>LES resolution study (D04, in review)</w:t>
            </w:r>
          </w:p>
        </w:tc>
        <w:tc>
          <w:tcPr>
            <w:tcW w:type="dxa" w:w="5112"/>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6"/>
              </w:rPr>
              <w:t>Case/verification/three_grid_study_outputs.txt</w:t>
            </w:r>
          </w:p>
        </w:tc>
        <w:tc>
          <w:tcPr>
            <w:tcW w:type="dxa" w:w="1800"/>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6"/>
              </w:rPr>
              <w:t>R. Ellsworth</w:t>
            </w:r>
          </w:p>
        </w:tc>
      </w:tr>
      <w:tr>
        <w:trPr>
          <w:cantSplit/>
        </w:trPr>
        <w:tc>
          <w:tcPr>
            <w:tcW w:type="dxa" w:w="2880"/>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6"/>
              </w:rPr>
              <w:t>Firm reference time control</w:t>
            </w:r>
          </w:p>
        </w:tc>
        <w:tc>
          <w:tcPr>
            <w:tcW w:type="dxa" w:w="5112"/>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6"/>
              </w:rPr>
              <w:t>/Firm/Standards/Reference_Cases/fireFoam_transient_controlDict.txt</w:t>
            </w:r>
          </w:p>
        </w:tc>
        <w:tc>
          <w:tcPr>
            <w:tcW w:type="dxa" w:w="1800"/>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6"/>
              </w:rPr>
              <w:t>Firm</w:t>
            </w:r>
          </w:p>
        </w:tc>
      </w:tr>
      <w:tr>
        <w:trPr>
          <w:cantSplit/>
        </w:trPr>
        <w:tc>
          <w:tcPr>
            <w:tcW w:type="dxa" w:w="2880"/>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6"/>
              </w:rPr>
              <w:t>Runtime projection basis</w:t>
            </w:r>
          </w:p>
        </w:tc>
        <w:tc>
          <w:tcPr>
            <w:tcW w:type="dxa" w:w="5112"/>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6"/>
              </w:rPr>
              <w:t>/20251009_Falk_runtime_projection_basis.eml</w:t>
            </w:r>
          </w:p>
        </w:tc>
        <w:tc>
          <w:tcPr>
            <w:tcW w:type="dxa" w:w="1800"/>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6"/>
              </w:rPr>
              <w:t>M. Falk</w:t>
            </w:r>
          </w:p>
        </w:tc>
      </w:tr>
      <w:tr>
        <w:trPr>
          <w:cantSplit/>
        </w:trPr>
        <w:tc>
          <w:tcPr>
            <w:tcW w:type="dxa" w:w="2880"/>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6"/>
              </w:rPr>
              <w:t>Scope and inputs</w:t>
            </w:r>
          </w:p>
        </w:tc>
        <w:tc>
          <w:tcPr>
            <w:tcW w:type="dxa" w:w="5112"/>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6"/>
              </w:rPr>
              <w:t>SOW-01 §3.1; scoping memo 10/08/2025; site met pull D02; change-order log; DWA validation memo (CFDME-2024-018)</w:t>
            </w:r>
          </w:p>
        </w:tc>
        <w:tc>
          <w:tcPr>
            <w:tcW w:type="dxa" w:w="1800"/>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6"/>
              </w:rPr>
              <w:t>—</w:t>
            </w:r>
          </w:p>
        </w:tc>
      </w:tr>
    </w:tbl>
    <w:p>
      <w:pPr>
        <w:spacing w:after="80" w:line="192" w:lineRule="auto"/>
      </w:pPr>
    </w:p>
    <w:p>
      <w:pPr>
        <w:pStyle w:val="Heading1"/>
        <w:pBdr>
          <w:bottom w:val="single" w:sz="8" w:space="3" w:color="0E2A47"/>
        </w:pBdr>
      </w:pPr>
      <w:r>
        <w:t>3.  The Residual Plateau</w:t>
      </w:r>
    </w:p>
    <w:p>
      <w:pPr>
        <w:pStyle w:val="Heading2"/>
      </w:pPr>
      <w:r>
        <w:t>3.1  What the plume should show</w:t>
      </w:r>
    </w:p>
    <w:p>
      <w:pPr>
        <w:keepNext/>
        <w:spacing w:before="0" w:after="120"/>
      </w:pPr>
      <w:r>
        <w:rPr>
          <w:rFonts w:ascii="Segoe UI" w:hAnsi="Segoe UI" w:cs="Segoe UI" w:eastAsia="Segoe UI"/>
          <w:b w:val="0"/>
          <w:i w:val="0"/>
          <w:color w:val="1F2937"/>
          <w:sz w:val="20"/>
        </w:rPr>
        <w:t>MS §4 adopts the Cetegen–Ahmed puffing correlation as normative. D is the fire-source diameter — here the 3.0 m LES sub-domain fire-front segment fixed in the scoping memo, §5:</w:t>
      </w:r>
    </w:p>
    <w:p>
      <w:pPr>
        <w:keepNext/>
        <w:pBdr>
          <w:left w:val="single" w:sz="14" w:space="10" w:color="0E2A47"/>
        </w:pBdr>
        <w:tabs>
          <w:tab w:pos="4968" w:val="left"/>
          <w:tab w:pos="6840" w:val="left"/>
        </w:tabs>
        <w:spacing w:before="80" w:after="0" w:line="264" w:lineRule="auto"/>
        <w:ind w:left="504"/>
      </w:pPr>
      <w:r>
        <w:rPr>
          <w:rFonts w:ascii="Consolas" w:hAnsi="Consolas" w:cs="Consolas" w:eastAsia="Consolas"/>
          <w:b w:val="0"/>
          <w:i w:val="0"/>
          <w:color w:val="0E2A47"/>
          <w:sz w:val="19"/>
        </w:rPr>
        <w:t>f = 1.5 · D</w:t>
      </w:r>
      <w:r>
        <w:rPr>
          <w:rFonts w:ascii="Consolas" w:hAnsi="Consolas" w:cs="Consolas" w:eastAsia="Consolas"/>
          <w:b w:val="0"/>
          <w:i w:val="0"/>
          <w:color w:val="0E2A47"/>
          <w:sz w:val="19"/>
          <w:vertAlign w:val="superscript"/>
        </w:rPr>
        <w:t>−1/2</w:t>
      </w:r>
      <w:r>
        <w:rPr>
          <w:rFonts w:ascii="Consolas" w:hAnsi="Consolas" w:cs="Consolas" w:eastAsia="Consolas"/>
          <w:b w:val="0"/>
          <w:i w:val="0"/>
          <w:color w:val="0E2A47"/>
          <w:sz w:val="19"/>
        </w:rPr>
        <w:t xml:space="preserve"> = 1.5 × (3.0 m)</w:t>
      </w:r>
      <w:r>
        <w:rPr>
          <w:rFonts w:ascii="Consolas" w:hAnsi="Consolas" w:cs="Consolas" w:eastAsia="Consolas"/>
          <w:b w:val="0"/>
          <w:i w:val="0"/>
          <w:color w:val="0E2A47"/>
          <w:sz w:val="19"/>
          <w:vertAlign w:val="superscript"/>
        </w:rPr>
        <w:t>−1/2</w:t>
      </w:r>
      <w:r>
        <w:rPr>
          <w:rFonts w:ascii="Consolas" w:hAnsi="Consolas" w:cs="Consolas" w:eastAsia="Consolas"/>
          <w:b w:val="0"/>
          <w:i w:val="0"/>
          <w:color w:val="0E2A47"/>
          <w:sz w:val="19"/>
        </w:rPr>
        <w:tab/>
        <w:t>= 0.87 Hz</w:t>
        <w:tab/>
        <w:t>(0.8660 Hz unrounded)</w:t>
      </w:r>
    </w:p>
    <w:p>
      <w:pPr>
        <w:keepNext w:val="0"/>
        <w:pBdr>
          <w:left w:val="single" w:sz="14" w:space="10" w:color="0E2A47"/>
        </w:pBdr>
        <w:tabs>
          <w:tab w:pos="4968" w:val="left"/>
          <w:tab w:pos="6840" w:val="left"/>
        </w:tabs>
        <w:spacing w:before="0" w:after="120" w:line="264" w:lineRule="auto"/>
        <w:ind w:left="504"/>
      </w:pPr>
      <w:r>
        <w:rPr>
          <w:rFonts w:ascii="Consolas" w:hAnsi="Consolas" w:cs="Consolas" w:eastAsia="Consolas"/>
          <w:b w:val="0"/>
          <w:i w:val="0"/>
          <w:color w:val="0E2A47"/>
          <w:sz w:val="19"/>
        </w:rPr>
        <w:t>T = 1 / f</w:t>
        <w:tab/>
        <w:t>= 1.15 s</w:t>
        <w:tab/>
        <w:t>(1.1547 s unrounded)</w:t>
      </w:r>
    </w:p>
    <w:p>
      <w:pPr>
        <w:spacing w:before="0" w:after="120"/>
      </w:pPr>
      <w:r>
        <w:rPr>
          <w:rFonts w:ascii="Segoe UI" w:hAnsi="Segoe UI" w:cs="Segoe UI" w:eastAsia="Segoe UI"/>
          <w:b w:val="0"/>
          <w:i w:val="0"/>
          <w:color w:val="1F2937"/>
          <w:sz w:val="20"/>
        </w:rPr>
        <w:t>The plume length scale D* = 3.76 m is the D*/dx resolution measure, not the correlation's D; entered in its place it would give 0.77 Hz / 1.29 s, which is not this plume.</w:t>
      </w:r>
    </w:p>
    <w:p>
      <w:pPr>
        <w:pStyle w:val="Heading2"/>
      </w:pPr>
      <w:r>
        <w:t>3.2  What attempt 3 showed</w:t>
      </w:r>
    </w:p>
    <w:p>
      <w:pPr>
        <w:spacing w:before="0" w:after="120"/>
      </w:pPr>
      <w:r>
        <w:rPr>
          <w:rFonts w:ascii="Segoe UI" w:hAnsi="Segoe UI" w:cs="Segoe UI" w:eastAsia="Segoe UI"/>
          <w:b w:val="0"/>
          <w:i w:val="0"/>
          <w:color w:val="1F2937"/>
          <w:sz w:val="20"/>
        </w:rPr>
        <w:t>Residuals decayed smoothly to outer iteration 400 and then stopped falling. From iteration 400 to 800 the Ux initial residual cycled between 3.24 × 10</w:t>
      </w:r>
      <w:r>
        <w:rPr>
          <w:rFonts w:ascii="Segoe UI" w:hAnsi="Segoe UI" w:cs="Segoe UI" w:eastAsia="Segoe UI"/>
          <w:b w:val="0"/>
          <w:i w:val="0"/>
          <w:color w:val="1F2937"/>
          <w:sz w:val="20"/>
          <w:vertAlign w:val="superscript"/>
        </w:rPr>
        <w:t>−4</w:t>
      </w:r>
      <w:r>
        <w:rPr>
          <w:rFonts w:ascii="Segoe UI" w:hAnsi="Segoe UI" w:cs="Segoe UI" w:eastAsia="Segoe UI"/>
          <w:b w:val="0"/>
          <w:i w:val="0"/>
          <w:color w:val="1F2937"/>
          <w:sz w:val="20"/>
        </w:rPr>
        <w:t xml:space="preserve"> and 7.83 × 10</w:t>
      </w:r>
      <w:r>
        <w:rPr>
          <w:rFonts w:ascii="Segoe UI" w:hAnsi="Segoe UI" w:cs="Segoe UI" w:eastAsia="Segoe UI"/>
          <w:b w:val="0"/>
          <w:i w:val="0"/>
          <w:color w:val="1F2937"/>
          <w:sz w:val="20"/>
          <w:vertAlign w:val="superscript"/>
        </w:rPr>
        <w:t>−4</w:t>
      </w:r>
      <w:r>
        <w:rPr>
          <w:rFonts w:ascii="Segoe UI" w:hAnsi="Segoe UI" w:cs="Segoe UI" w:eastAsia="Segoe UI"/>
          <w:b w:val="0"/>
          <w:i w:val="0"/>
          <w:color w:val="1F2937"/>
          <w:sz w:val="20"/>
        </w:rPr>
        <w:t xml:space="preserve"> (–) and the p initial residual between 2.02 × 10</w:t>
      </w:r>
      <w:r>
        <w:rPr>
          <w:rFonts w:ascii="Segoe UI" w:hAnsi="Segoe UI" w:cs="Segoe UI" w:eastAsia="Segoe UI"/>
          <w:b w:val="0"/>
          <w:i w:val="0"/>
          <w:color w:val="1F2937"/>
          <w:sz w:val="20"/>
          <w:vertAlign w:val="superscript"/>
        </w:rPr>
        <w:t>−5</w:t>
      </w:r>
      <w:r>
        <w:rPr>
          <w:rFonts w:ascii="Segoe UI" w:hAnsi="Segoe UI" w:cs="Segoe UI" w:eastAsia="Segoe UI"/>
          <w:b w:val="0"/>
          <w:i w:val="0"/>
          <w:color w:val="1F2937"/>
          <w:sz w:val="20"/>
        </w:rPr>
        <w:t xml:space="preserve"> and 2.86 × 10</w:t>
      </w:r>
      <w:r>
        <w:rPr>
          <w:rFonts w:ascii="Segoe UI" w:hAnsi="Segoe UI" w:cs="Segoe UI" w:eastAsia="Segoe UI"/>
          <w:b w:val="0"/>
          <w:i w:val="0"/>
          <w:color w:val="1F2937"/>
          <w:sz w:val="20"/>
          <w:vertAlign w:val="superscript"/>
        </w:rPr>
        <w:t>−5</w:t>
      </w:r>
      <w:r>
        <w:rPr>
          <w:rFonts w:ascii="Segoe UI" w:hAnsi="Segoe UI" w:cs="Segoe UI" w:eastAsia="Segoe UI"/>
          <w:b w:val="0"/>
          <w:i w:val="0"/>
          <w:color w:val="1F2937"/>
          <w:sz w:val="20"/>
        </w:rPr>
        <w:t xml:space="preserve"> (–). The operator reports a period of about 1.15 s in the probe function object's time, matched at plume probe 0 (about 40 K peak-to-peak in T and 2.4 m/s in Uz): 0.87 Hz.</w:t>
      </w:r>
    </w:p>
    <w:p>
      <w:pPr>
        <w:pStyle w:val="Heading2"/>
      </w:pPr>
      <w:r>
        <w:t>3.3  How close they are</w:t>
      </w:r>
    </w:p>
    <w:tbl>
      <w:tblPr>
        <w:tblW w:type="auto" w:w="0"/>
        <w:jc w:val="center"/>
        <w:tblLayout w:type="fixed"/>
        <w:tblLayout w:type="fixed"/>
        <w:tblLook w:firstColumn="1" w:firstRow="1" w:lastColumn="0" w:lastRow="0" w:noHBand="0" w:noVBand="1" w:val="04A0"/>
      </w:tblPr>
      <w:tblGrid>
        <w:gridCol w:w="5328"/>
        <w:gridCol w:w="2232"/>
        <w:gridCol w:w="2232"/>
      </w:tblGrid>
      <w:tr>
        <w:trPr>
          <w:tblHeader/>
          <w:cantSplit/>
        </w:trPr>
        <w:tc>
          <w:tcPr>
            <w:tcW w:type="dxa" w:w="5328"/>
            <w:tcBorders>
              <w:top w:val="single" w:sz="4" w:space="0" w:color="A0AEC0"/>
              <w:left w:val="single" w:sz="4" w:space="0" w:color="A0AEC0"/>
              <w:bottom w:val="single" w:sz="4" w:space="0" w:color="A0AEC0"/>
              <w:right w:val="single" w:sz="4" w:space="0" w:color="A0AEC0"/>
            </w:tcBorders>
            <w:shd w:val="clear" w:color="auto" w:fill="0E2A47"/>
            <w:tcMar>
              <w:top w:w="80" w:type="dxa"/>
              <w:bottom w:w="80" w:type="dxa"/>
              <w:left w:w="110" w:type="dxa"/>
              <w:right w:w="110" w:type="dxa"/>
            </w:tcMar>
            <w:vAlign w:val="center"/>
          </w:tcPr>
          <w:p>
            <w:pPr>
              <w:keepNext/>
              <w:spacing w:before="0" w:after="0" w:line="259" w:lineRule="auto"/>
            </w:pPr>
            <w:r/>
            <w:r>
              <w:rPr>
                <w:rFonts w:ascii="Segoe UI" w:hAnsi="Segoe UI" w:cs="Segoe UI" w:eastAsia="Segoe UI"/>
                <w:b/>
                <w:i w:val="0"/>
                <w:color w:val="FFFFFF"/>
                <w:sz w:val="17"/>
              </w:rPr>
              <w:t>Quantity</w:t>
            </w:r>
          </w:p>
        </w:tc>
        <w:tc>
          <w:tcPr>
            <w:tcW w:type="dxa" w:w="2232"/>
            <w:tcBorders>
              <w:top w:val="single" w:sz="4" w:space="0" w:color="A0AEC0"/>
              <w:left w:val="single" w:sz="4" w:space="0" w:color="A0AEC0"/>
              <w:bottom w:val="single" w:sz="4" w:space="0" w:color="A0AEC0"/>
              <w:right w:val="single" w:sz="4" w:space="0" w:color="A0AEC0"/>
            </w:tcBorders>
            <w:shd w:val="clear" w:color="auto" w:fill="0E2A47"/>
            <w:tcMar>
              <w:top w:w="80" w:type="dxa"/>
              <w:bottom w:w="80" w:type="dxa"/>
              <w:left w:w="110" w:type="dxa"/>
              <w:right w:w="110" w:type="dxa"/>
            </w:tcMar>
            <w:vAlign w:val="center"/>
          </w:tcPr>
          <w:p>
            <w:pPr>
              <w:keepNext/>
              <w:spacing w:before="0" w:after="0" w:line="259" w:lineRule="auto"/>
            </w:pPr>
            <w:r/>
            <w:r>
              <w:rPr>
                <w:rFonts w:ascii="Segoe UI" w:hAnsi="Segoe UI" w:cs="Segoe UI" w:eastAsia="Segoe UI"/>
                <w:b/>
                <w:i w:val="0"/>
                <w:color w:val="FFFFFF"/>
                <w:sz w:val="17"/>
              </w:rPr>
              <w:t>Frequency</w:t>
            </w:r>
          </w:p>
        </w:tc>
        <w:tc>
          <w:tcPr>
            <w:tcW w:type="dxa" w:w="2232"/>
            <w:tcBorders>
              <w:top w:val="single" w:sz="4" w:space="0" w:color="A0AEC0"/>
              <w:left w:val="single" w:sz="4" w:space="0" w:color="A0AEC0"/>
              <w:bottom w:val="single" w:sz="4" w:space="0" w:color="A0AEC0"/>
              <w:right w:val="single" w:sz="4" w:space="0" w:color="A0AEC0"/>
            </w:tcBorders>
            <w:shd w:val="clear" w:color="auto" w:fill="0E2A47"/>
            <w:tcMar>
              <w:top w:w="80" w:type="dxa"/>
              <w:bottom w:w="80" w:type="dxa"/>
              <w:left w:w="110" w:type="dxa"/>
              <w:right w:w="110" w:type="dxa"/>
            </w:tcMar>
            <w:vAlign w:val="center"/>
          </w:tcPr>
          <w:p>
            <w:pPr>
              <w:keepNext/>
              <w:spacing w:before="0" w:after="0" w:line="259" w:lineRule="auto"/>
            </w:pPr>
            <w:r/>
            <w:r>
              <w:rPr>
                <w:rFonts w:ascii="Segoe UI" w:hAnsi="Segoe UI" w:cs="Segoe UI" w:eastAsia="Segoe UI"/>
                <w:b/>
                <w:i w:val="0"/>
                <w:color w:val="FFFFFF"/>
                <w:sz w:val="17"/>
              </w:rPr>
              <w:t>Period</w:t>
            </w:r>
          </w:p>
        </w:tc>
      </w:tr>
      <w:tr>
        <w:trPr>
          <w:cantSplit/>
        </w:trPr>
        <w:tc>
          <w:tcPr>
            <w:tcW w:type="dxa" w:w="5328"/>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keepNext/>
              <w:spacing w:before="0" w:after="0" w:line="259" w:lineRule="auto"/>
            </w:pPr>
            <w:r/>
            <w:r>
              <w:rPr>
                <w:rFonts w:ascii="Segoe UI" w:hAnsi="Segoe UI" w:cs="Segoe UI" w:eastAsia="Segoe UI"/>
                <w:b w:val="0"/>
                <w:i w:val="0"/>
                <w:color w:val="1F2937"/>
                <w:sz w:val="17"/>
              </w:rPr>
              <w:t>Should show (MS §4, D = 3.0 m)</w:t>
            </w:r>
          </w:p>
        </w:tc>
        <w:tc>
          <w:tcPr>
            <w:tcW w:type="dxa" w:w="2232"/>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keepNext/>
              <w:spacing w:before="0" w:after="0" w:line="259" w:lineRule="auto"/>
            </w:pPr>
            <w:r/>
            <w:r>
              <w:rPr>
                <w:rFonts w:ascii="Segoe UI" w:hAnsi="Segoe UI" w:cs="Segoe UI" w:eastAsia="Segoe UI"/>
                <w:b w:val="0"/>
                <w:i w:val="0"/>
                <w:color w:val="1F2937"/>
                <w:sz w:val="17"/>
              </w:rPr>
              <w:t>0.87 Hz</w:t>
            </w:r>
          </w:p>
        </w:tc>
        <w:tc>
          <w:tcPr>
            <w:tcW w:type="dxa" w:w="2232"/>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keepNext/>
              <w:spacing w:before="0" w:after="0" w:line="259" w:lineRule="auto"/>
            </w:pPr>
            <w:r/>
            <w:r>
              <w:rPr>
                <w:rFonts w:ascii="Segoe UI" w:hAnsi="Segoe UI" w:cs="Segoe UI" w:eastAsia="Segoe UI"/>
                <w:b w:val="0"/>
                <w:i w:val="0"/>
                <w:color w:val="1F2937"/>
                <w:sz w:val="17"/>
              </w:rPr>
              <w:t>1.15 s</w:t>
            </w:r>
          </w:p>
        </w:tc>
      </w:tr>
      <w:tr>
        <w:trPr>
          <w:cantSplit/>
        </w:trPr>
        <w:tc>
          <w:tcPr>
            <w:tcW w:type="dxa" w:w="5328"/>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center"/>
          </w:tcPr>
          <w:p>
            <w:pPr>
              <w:keepNext/>
              <w:spacing w:before="0" w:after="0" w:line="259" w:lineRule="auto"/>
            </w:pPr>
            <w:r/>
            <w:r>
              <w:rPr>
                <w:rFonts w:ascii="Segoe UI" w:hAnsi="Segoe UI" w:cs="Segoe UI" w:eastAsia="Segoe UI"/>
                <w:b w:val="0"/>
                <w:i w:val="0"/>
                <w:color w:val="1F2937"/>
                <w:sz w:val="17"/>
              </w:rPr>
              <w:t>Attempt 3 (operator-reported)</w:t>
            </w:r>
          </w:p>
        </w:tc>
        <w:tc>
          <w:tcPr>
            <w:tcW w:type="dxa" w:w="2232"/>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center"/>
          </w:tcPr>
          <w:p>
            <w:pPr>
              <w:keepNext/>
              <w:spacing w:before="0" w:after="0" w:line="259" w:lineRule="auto"/>
            </w:pPr>
            <w:r/>
            <w:r>
              <w:rPr>
                <w:rFonts w:ascii="Segoe UI" w:hAnsi="Segoe UI" w:cs="Segoe UI" w:eastAsia="Segoe UI"/>
                <w:b w:val="0"/>
                <w:i w:val="0"/>
                <w:color w:val="1F2937"/>
                <w:sz w:val="17"/>
              </w:rPr>
              <w:t>0.87 Hz</w:t>
            </w:r>
          </w:p>
        </w:tc>
        <w:tc>
          <w:tcPr>
            <w:tcW w:type="dxa" w:w="2232"/>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center"/>
          </w:tcPr>
          <w:p>
            <w:pPr>
              <w:keepNext/>
              <w:spacing w:before="0" w:after="0" w:line="259" w:lineRule="auto"/>
            </w:pPr>
            <w:r/>
            <w:r>
              <w:rPr>
                <w:rFonts w:ascii="Segoe UI" w:hAnsi="Segoe UI" w:cs="Segoe UI" w:eastAsia="Segoe UI"/>
                <w:b w:val="0"/>
                <w:i w:val="0"/>
                <w:color w:val="1F2937"/>
                <w:sz w:val="17"/>
              </w:rPr>
              <w:t>1.15 s</w:t>
            </w:r>
          </w:p>
        </w:tc>
      </w:tr>
      <w:tr>
        <w:trPr>
          <w:cantSplit/>
        </w:trPr>
        <w:tc>
          <w:tcPr>
            <w:tcW w:type="dxa" w:w="5328"/>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keepNext/>
              <w:spacing w:before="0" w:after="0" w:line="259" w:lineRule="auto"/>
            </w:pPr>
            <w:r/>
            <w:r>
              <w:rPr>
                <w:rFonts w:ascii="Segoe UI" w:hAnsi="Segoe UI" w:cs="Segoe UI" w:eastAsia="Segoe UI"/>
                <w:b/>
                <w:i w:val="0"/>
                <w:color w:val="1F2937"/>
                <w:sz w:val="17"/>
              </w:rPr>
              <w:t>Difference (from unrounded values)</w:t>
            </w:r>
          </w:p>
        </w:tc>
        <w:tc>
          <w:tcPr>
            <w:tcW w:type="dxa" w:w="2232"/>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keepNext/>
              <w:spacing w:before="0" w:after="0" w:line="259" w:lineRule="auto"/>
            </w:pPr>
            <w:r/>
            <w:r>
              <w:rPr>
                <w:rFonts w:ascii="Segoe UI" w:hAnsi="Segoe UI" w:cs="Segoe UI" w:eastAsia="Segoe UI"/>
                <w:b/>
                <w:i w:val="0"/>
                <w:color w:val="1F2937"/>
                <w:sz w:val="17"/>
              </w:rPr>
              <w:t>+0.41 %</w:t>
            </w:r>
          </w:p>
        </w:tc>
        <w:tc>
          <w:tcPr>
            <w:tcW w:type="dxa" w:w="2232"/>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keepNext/>
              <w:spacing w:before="0" w:after="0" w:line="259" w:lineRule="auto"/>
            </w:pPr>
            <w:r/>
            <w:r>
              <w:rPr>
                <w:rFonts w:ascii="Segoe UI" w:hAnsi="Segoe UI" w:cs="Segoe UI" w:eastAsia="Segoe UI"/>
                <w:b/>
                <w:i w:val="0"/>
                <w:color w:val="1F2937"/>
                <w:sz w:val="17"/>
              </w:rPr>
              <w:t>−0.41 %</w:t>
            </w:r>
          </w:p>
        </w:tc>
      </w:tr>
      <w:tr>
        <w:trPr>
          <w:cantSplit/>
        </w:trPr>
        <w:tc>
          <w:tcPr>
            <w:tcW w:type="dxa" w:w="5328"/>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7"/>
              </w:rPr>
              <w:t>For reference: three-grid transient LES study, coarse / medium / fine</w:t>
            </w:r>
          </w:p>
        </w:tc>
        <w:tc>
          <w:tcPr>
            <w:tcW w:type="dxa" w:w="2232"/>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7"/>
              </w:rPr>
              <w:t>0.88 / 0.87 / 0.87 Hz</w:t>
            </w:r>
          </w:p>
        </w:tc>
        <w:tc>
          <w:tcPr>
            <w:tcW w:type="dxa" w:w="2232"/>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7"/>
              </w:rPr>
              <w:t>1.14 / 1.15 / 1.15 s</w:t>
            </w:r>
          </w:p>
        </w:tc>
      </w:tr>
    </w:tbl>
    <w:p>
      <w:pPr>
        <w:spacing w:after="80" w:line="192" w:lineRule="auto"/>
      </w:pPr>
    </w:p>
    <w:p>
      <w:pPr>
        <w:pStyle w:val="Heading2"/>
      </w:pPr>
      <w:r>
        <w:t>3.4  Reading</w:t>
      </w:r>
    </w:p>
    <w:p>
      <w:pPr>
        <w:spacing w:before="0" w:after="120"/>
      </w:pPr>
      <w:r>
        <w:rPr>
          <w:rFonts w:ascii="Segoe UI" w:hAnsi="Segoe UI" w:cs="Segoe UI" w:eastAsia="Segoe UI"/>
          <w:b w:val="0"/>
          <w:i w:val="0"/>
          <w:color w:val="1F2937"/>
          <w:sz w:val="20"/>
        </w:rPr>
        <w:t>The plateau is the plume necking and shedding at its natural frequency — in MS §4's words, "the signature of physically-resolved plume dynamics" — showing through a solver that has no time derivative to carry it. It is not the under-relaxation or density-coupling artefact the closing narrative supposes. The operator's two overrides (Ux tolerance 1 × 10</w:t>
      </w:r>
      <w:r>
        <w:rPr>
          <w:rFonts w:ascii="Segoe UI" w:hAnsi="Segoe UI" w:cs="Segoe UI" w:eastAsia="Segoe UI"/>
          <w:b w:val="0"/>
          <w:i w:val="0"/>
          <w:color w:val="1F2937"/>
          <w:sz w:val="20"/>
          <w:vertAlign w:val="superscript"/>
        </w:rPr>
        <w:t>−5</w:t>
      </w:r>
      <w:r>
        <w:rPr>
          <w:rFonts w:ascii="Segoe UI" w:hAnsi="Segoe UI" w:cs="Segoe UI" w:eastAsia="Segoe UI"/>
          <w:b w:val="0"/>
          <w:i w:val="0"/>
          <w:color w:val="1F2937"/>
          <w:sz w:val="20"/>
        </w:rPr>
        <w:t xml:space="preserve"> → 1 × 10</w:t>
      </w:r>
      <w:r>
        <w:rPr>
          <w:rFonts w:ascii="Segoe UI" w:hAnsi="Segoe UI" w:cs="Segoe UI" w:eastAsia="Segoe UI"/>
          <w:b w:val="0"/>
          <w:i w:val="0"/>
          <w:color w:val="1F2937"/>
          <w:sz w:val="20"/>
          <w:vertAlign w:val="superscript"/>
        </w:rPr>
        <w:t>−4</w:t>
      </w:r>
      <w:r>
        <w:rPr>
          <w:rFonts w:ascii="Segoe UI" w:hAnsi="Segoe UI" w:cs="Segoe UI" w:eastAsia="Segoe UI"/>
          <w:b w:val="0"/>
          <w:i w:val="0"/>
          <w:color w:val="1F2937"/>
          <w:sz w:val="20"/>
        </w:rPr>
        <w:t xml:space="preserve"> (–) at iteration 500; p 1 × 10</w:t>
      </w:r>
      <w:r>
        <w:rPr>
          <w:rFonts w:ascii="Segoe UI" w:hAnsi="Segoe UI" w:cs="Segoe UI" w:eastAsia="Segoe UI"/>
          <w:b w:val="0"/>
          <w:i w:val="0"/>
          <w:color w:val="1F2937"/>
          <w:sz w:val="20"/>
          <w:vertAlign w:val="superscript"/>
        </w:rPr>
        <w:t>−6</w:t>
      </w:r>
      <w:r>
        <w:rPr>
          <w:rFonts w:ascii="Segoe UI" w:hAnsi="Segoe UI" w:cs="Segoe UI" w:eastAsia="Segoe UI"/>
          <w:b w:val="0"/>
          <w:i w:val="0"/>
          <w:color w:val="1F2937"/>
          <w:sz w:val="20"/>
        </w:rPr>
        <w:t xml:space="preserve"> → 1 × 10</w:t>
      </w:r>
      <w:r>
        <w:rPr>
          <w:rFonts w:ascii="Segoe UI" w:hAnsi="Segoe UI" w:cs="Segoe UI" w:eastAsia="Segoe UI"/>
          <w:b w:val="0"/>
          <w:i w:val="0"/>
          <w:color w:val="1F2937"/>
          <w:sz w:val="20"/>
          <w:vertAlign w:val="superscript"/>
        </w:rPr>
        <w:t>−5</w:t>
      </w:r>
      <w:r>
        <w:rPr>
          <w:rFonts w:ascii="Segoe UI" w:hAnsi="Segoe UI" w:cs="Segoe UI" w:eastAsia="Segoe UI"/>
          <w:b w:val="0"/>
          <w:i w:val="0"/>
          <w:color w:val="1F2937"/>
          <w:sz w:val="20"/>
        </w:rPr>
        <w:t xml:space="preserve"> (–) at iteration 700) only moved the line the residuals are judged against, and the residuals still did not settle.</w:t>
      </w:r>
    </w:p>
    <w:p>
      <w:pPr>
        <w:spacing w:before="0" w:after="120"/>
      </w:pPr>
      <w:r>
        <w:rPr>
          <w:rFonts w:ascii="Segoe UI" w:hAnsi="Segoe UI" w:cs="Segoe UI" w:eastAsia="Segoe UI"/>
          <w:b w:val="0"/>
          <w:i w:val="0"/>
          <w:color w:val="1F2937"/>
          <w:sz w:val="20"/>
        </w:rPr>
        <w:t>The attempt-3 period is the operator's reading and cannot be reproduced from the log excerpt: the plateau spans about 400 outer iterations, fewer than the "~1150 outer iterations" quoted for one period, and the printed Ux residuals peak near iterations 500, 650 and 775 — a cycle of 125 to 150 iterations, which has no physical-time meaning in a steady SIMPLE loop. The identification does not rest on it. The transient LES study recovered 1.14 s to 1.15 s on all three grids, and MS §4 excludes a steady solution whatever the plateau's exact period.</w:t>
      </w:r>
    </w:p>
    <w:p>
      <w:pPr>
        <w:pStyle w:val="Heading1"/>
        <w:pBdr>
          <w:bottom w:val="single" w:sz="8" w:space="3" w:color="0E2A47"/>
        </w:pBdr>
      </w:pPr>
      <w:r>
        <w:t>4.  Steady Solution and the Delivered Setup</w:t>
      </w:r>
    </w:p>
    <w:p>
      <w:pPr>
        <w:pStyle w:val="Heading2"/>
      </w:pPr>
      <w:r>
        <w:t>4.1  No steady solution exists</w:t>
      </w:r>
    </w:p>
    <w:p>
      <w:pPr>
        <w:keepNext/>
        <w:spacing w:before="0" w:after="120"/>
      </w:pPr>
      <w:r>
        <w:rPr>
          <w:rFonts w:ascii="Segoe UI" w:hAnsi="Segoe UI" w:cs="Segoe UI" w:eastAsia="Segoe UI"/>
          <w:b w:val="0"/>
          <w:i w:val="0"/>
          <w:color w:val="1F2937"/>
          <w:sz w:val="20"/>
        </w:rPr>
        <w:t>MS §4: because the plume oscillates at a finite, deterministic, physical frequency, "no time-invariant flow field exists that any residual-tolerance schedule can converge to." The regime is mixed convection (Fr = 0.92 to 2.21 (–) over 5 m/s to 12 m/s, scoping memo §4; the firm-level call for the Sonoran WUI envelope, MS §2), which requires the transient fireFoam package (MS §3). Steady solvers are forbidden (MS §3.6) and RANS is not permitted (MS §5). Each attempt-3 recommendation is therefore rejected:</w:t>
      </w:r>
    </w:p>
    <w:p>
      <w:pPr>
        <w:spacing w:after="60"/>
        <w:ind w:left="518" w:hanging="374"/>
      </w:pPr>
      <w:r>
        <w:rPr>
          <w:rFonts w:ascii="Segoe UI" w:hAnsi="Segoe UI" w:cs="Segoe UI" w:eastAsia="Segoe UI"/>
          <w:b/>
          <w:i w:val="0"/>
          <w:color w:val="006699"/>
          <w:sz w:val="20"/>
        </w:rPr>
        <w:t xml:space="preserve">1.  </w:t>
      </w:r>
      <w:r>
        <w:rPr>
          <w:rFonts w:ascii="Segoe UI" w:hAnsi="Segoe UI" w:cs="Segoe UI" w:eastAsia="Segoe UI"/>
          <w:b w:val="0"/>
          <w:i w:val="0"/>
          <w:color w:val="1F2937"/>
          <w:sz w:val="20"/>
        </w:rPr>
        <w:t>U under-relaxation 0.3 → 0.2 (–): slows the iteration; the physics, and the plateau, stay.</w:t>
      </w:r>
    </w:p>
    <w:p>
      <w:pPr>
        <w:spacing w:after="60"/>
        <w:ind w:left="518" w:hanging="374"/>
      </w:pPr>
      <w:r>
        <w:rPr>
          <w:rFonts w:ascii="Segoe UI" w:hAnsi="Segoe UI" w:cs="Segoe UI" w:eastAsia="Segoe UI"/>
          <w:b/>
          <w:i w:val="0"/>
          <w:color w:val="006699"/>
          <w:sz w:val="20"/>
        </w:rPr>
        <w:t xml:space="preserve">2.  </w:t>
      </w:r>
      <w:r>
        <w:rPr>
          <w:rFonts w:ascii="Segoe UI" w:hAnsi="Segoe UI" w:cs="Segoe UI" w:eastAsia="Segoe UI"/>
          <w:b w:val="0"/>
          <w:i w:val="0"/>
          <w:color w:val="1F2937"/>
          <w:sz w:val="20"/>
        </w:rPr>
        <w:t>p tolerance 1 × 10</w:t>
      </w:r>
      <w:r>
        <w:rPr>
          <w:rFonts w:ascii="Segoe UI" w:hAnsi="Segoe UI" w:cs="Segoe UI" w:eastAsia="Segoe UI"/>
          <w:b w:val="0"/>
          <w:i w:val="0"/>
          <w:color w:val="1F2937"/>
          <w:sz w:val="20"/>
          <w:vertAlign w:val="superscript"/>
        </w:rPr>
        <w:t>−8</w:t>
      </w:r>
      <w:r>
        <w:rPr>
          <w:rFonts w:ascii="Segoe UI" w:hAnsi="Segoe UI" w:cs="Segoe UI" w:eastAsia="Segoe UI"/>
          <w:b w:val="0"/>
          <w:i w:val="0"/>
          <w:color w:val="1F2937"/>
          <w:sz w:val="20"/>
        </w:rPr>
        <w:t xml:space="preserve"> (–) with more GAMG sweeps: the plateau is coherent across U, p, h, T and the probes; it is not pressure-solver noise.</w:t>
      </w:r>
    </w:p>
    <w:p>
      <w:pPr>
        <w:spacing w:after="80"/>
        <w:ind w:left="518" w:hanging="374"/>
      </w:pPr>
      <w:r>
        <w:rPr>
          <w:rFonts w:ascii="Segoe UI" w:hAnsi="Segoe UI" w:cs="Segoe UI" w:eastAsia="Segoe UI"/>
          <w:b/>
          <w:i w:val="0"/>
          <w:color w:val="006699"/>
          <w:sz w:val="20"/>
        </w:rPr>
        <w:t xml:space="preserve">3.  </w:t>
      </w:r>
      <w:r>
        <w:rPr>
          <w:rFonts w:ascii="Segoe UI" w:hAnsi="Segoe UI" w:cs="Segoe UI" w:eastAsia="Segoe UI"/>
          <w:b w:val="0"/>
          <w:i w:val="0"/>
          <w:color w:val="1F2937"/>
          <w:sz w:val="20"/>
        </w:rPr>
        <w:t>Loosen to Ux 1 × 10</w:t>
      </w:r>
      <w:r>
        <w:rPr>
          <w:rFonts w:ascii="Segoe UI" w:hAnsi="Segoe UI" w:cs="Segoe UI" w:eastAsia="Segoe UI"/>
          <w:b w:val="0"/>
          <w:i w:val="0"/>
          <w:color w:val="1F2937"/>
          <w:sz w:val="20"/>
          <w:vertAlign w:val="superscript"/>
        </w:rPr>
        <w:t>−3</w:t>
      </w:r>
      <w:r>
        <w:rPr>
          <w:rFonts w:ascii="Segoe UI" w:hAnsi="Segoe UI" w:cs="Segoe UI" w:eastAsia="Segoe UI"/>
          <w:b w:val="0"/>
          <w:i w:val="0"/>
          <w:color w:val="1F2937"/>
          <w:sz w:val="20"/>
        </w:rPr>
        <w:t xml:space="preserve"> and p 1 × 10</w:t>
      </w:r>
      <w:r>
        <w:rPr>
          <w:rFonts w:ascii="Segoe UI" w:hAnsi="Segoe UI" w:cs="Segoe UI" w:eastAsia="Segoe UI"/>
          <w:b w:val="0"/>
          <w:i w:val="0"/>
          <w:color w:val="1F2937"/>
          <w:sz w:val="20"/>
          <w:vertAlign w:val="superscript"/>
        </w:rPr>
        <w:t>−4</w:t>
      </w:r>
      <w:r>
        <w:rPr>
          <w:rFonts w:ascii="Segoe UI" w:hAnsi="Segoe UI" w:cs="Segoe UI" w:eastAsia="Segoe UI"/>
          <w:b w:val="0"/>
          <w:i w:val="0"/>
          <w:color w:val="1F2937"/>
          <w:sz w:val="20"/>
        </w:rPr>
        <w:t xml:space="preserve"> (–) and adopt the "cycle-averaged field": this declares convergence by moving the tolerance, and a pseudo-time average of a RANS iterate is not a time average of the flow.</w:t>
      </w:r>
    </w:p>
    <w:p>
      <w:pPr>
        <w:spacing w:before="0" w:after="120"/>
      </w:pPr>
      <w:r>
        <w:rPr>
          <w:rFonts w:ascii="Segoe UI" w:hAnsi="Segoe UI" w:cs="Segoe UI" w:eastAsia="Segoe UI"/>
          <w:b w:val="0"/>
          <w:i w:val="0"/>
          <w:color w:val="1F2937"/>
          <w:sz w:val="20"/>
        </w:rPr>
        <w:t>The steady k-ε "bring-up" to seed the LES is not authorized either.</w:t>
      </w:r>
    </w:p>
    <w:p>
      <w:pPr>
        <w:pStyle w:val="Heading2"/>
      </w:pPr>
      <w:r>
        <w:t>4.2  Delivered setup against the standards</w:t>
      </w:r>
    </w:p>
    <w:p>
      <w:pPr>
        <w:spacing w:before="0" w:after="120"/>
      </w:pPr>
      <w:r>
        <w:rPr>
          <w:rFonts w:ascii="Segoe UI" w:hAnsi="Segoe UI" w:cs="Segoe UI" w:eastAsia="Segoe UI"/>
          <w:b w:val="0"/>
          <w:i w:val="0"/>
          <w:color w:val="1F2937"/>
          <w:sz w:val="20"/>
        </w:rPr>
        <w:t>The delivered record contradicts itself. The case dictionary bundle, headed "Based on a validated setup", states that the solver, turbulence, freestream, combustion and radiation blocks were carried verbatim from the Dry Wash Aerospace high-altitude case (CFDME-2024-018), and lists patches (ground, structure, vegetation, inlet, outlet, lateral, top) that the production mesh does not have. The attempt-3 log header instead reports fireFoam forced into a SIMPLE loop with k-ε, EDC and fvDOM. Neither configuration conforms, so the disposition does not depend on which one ran. The DWA case is validated only for steady, non-reacting, 0.4 kg/m³ compressible aerodynamics (DWA validation memo §5–§6); that status does not transfer (MS §7), and a subcontracted case must identify such deviations in its transmittal (MS §1).</w:t>
      </w:r>
    </w:p>
    <w:tbl>
      <w:tblPr>
        <w:tblW w:type="auto" w:w="0"/>
        <w:jc w:val="center"/>
        <w:tblLayout w:type="fixed"/>
        <w:tblLayout w:type="fixed"/>
        <w:tblLook w:firstColumn="1" w:firstRow="1" w:lastColumn="0" w:lastRow="0" w:noHBand="0" w:noVBand="1" w:val="04A0"/>
      </w:tblPr>
      <w:tblGrid>
        <w:gridCol w:w="1440"/>
        <w:gridCol w:w="2951"/>
        <w:gridCol w:w="1800"/>
        <w:gridCol w:w="3600"/>
      </w:tblGrid>
      <w:tr>
        <w:trPr>
          <w:tblHeader/>
          <w:cantSplit/>
        </w:trPr>
        <w:tc>
          <w:tcPr>
            <w:tcW w:type="dxa" w:w="1440"/>
            <w:tcBorders>
              <w:top w:val="single" w:sz="4" w:space="0" w:color="A0AEC0"/>
              <w:left w:val="single" w:sz="4" w:space="0" w:color="A0AEC0"/>
              <w:bottom w:val="single" w:sz="4" w:space="0" w:color="A0AEC0"/>
              <w:right w:val="single" w:sz="4" w:space="0" w:color="A0AEC0"/>
            </w:tcBorders>
            <w:shd w:val="clear" w:color="auto" w:fill="0E2A47"/>
            <w:tcMar>
              <w:top w:w="80" w:type="dxa"/>
              <w:bottom w:w="80" w:type="dxa"/>
              <w:left w:w="110" w:type="dxa"/>
              <w:right w:w="110" w:type="dxa"/>
            </w:tcMar>
            <w:vAlign w:val="center"/>
          </w:tcPr>
          <w:p>
            <w:pPr>
              <w:keepNext/>
              <w:spacing w:before="0" w:after="0" w:line="259" w:lineRule="auto"/>
            </w:pPr>
            <w:r/>
            <w:r>
              <w:rPr>
                <w:rFonts w:ascii="Segoe UI" w:hAnsi="Segoe UI" w:cs="Segoe UI" w:eastAsia="Segoe UI"/>
                <w:b/>
                <w:i w:val="0"/>
                <w:color w:val="FFFFFF"/>
                <w:sz w:val="16"/>
              </w:rPr>
              <w:t>Item</w:t>
            </w:r>
          </w:p>
        </w:tc>
        <w:tc>
          <w:tcPr>
            <w:tcW w:type="dxa" w:w="2951"/>
            <w:tcBorders>
              <w:top w:val="single" w:sz="4" w:space="0" w:color="A0AEC0"/>
              <w:left w:val="single" w:sz="4" w:space="0" w:color="A0AEC0"/>
              <w:bottom w:val="single" w:sz="4" w:space="0" w:color="A0AEC0"/>
              <w:right w:val="single" w:sz="4" w:space="0" w:color="A0AEC0"/>
            </w:tcBorders>
            <w:shd w:val="clear" w:color="auto" w:fill="0E2A47"/>
            <w:tcMar>
              <w:top w:w="80" w:type="dxa"/>
              <w:bottom w:w="80" w:type="dxa"/>
              <w:left w:w="110" w:type="dxa"/>
              <w:right w:w="110" w:type="dxa"/>
            </w:tcMar>
            <w:vAlign w:val="center"/>
          </w:tcPr>
          <w:p>
            <w:pPr>
              <w:keepNext/>
              <w:spacing w:before="0" w:after="0" w:line="259" w:lineRule="auto"/>
            </w:pPr>
            <w:r/>
            <w:r>
              <w:rPr>
                <w:rFonts w:ascii="Segoe UI" w:hAnsi="Segoe UI" w:cs="Segoe UI" w:eastAsia="Segoe UI"/>
                <w:b/>
                <w:i w:val="0"/>
                <w:color w:val="FFFFFF"/>
                <w:sz w:val="16"/>
              </w:rPr>
              <w:t>Delivered (bundle; attempt-3 log)</w:t>
            </w:r>
          </w:p>
        </w:tc>
        <w:tc>
          <w:tcPr>
            <w:tcW w:type="dxa" w:w="1800"/>
            <w:tcBorders>
              <w:top w:val="single" w:sz="4" w:space="0" w:color="A0AEC0"/>
              <w:left w:val="single" w:sz="4" w:space="0" w:color="A0AEC0"/>
              <w:bottom w:val="single" w:sz="4" w:space="0" w:color="A0AEC0"/>
              <w:right w:val="single" w:sz="4" w:space="0" w:color="A0AEC0"/>
            </w:tcBorders>
            <w:shd w:val="clear" w:color="auto" w:fill="0E2A47"/>
            <w:tcMar>
              <w:top w:w="80" w:type="dxa"/>
              <w:bottom w:w="80" w:type="dxa"/>
              <w:left w:w="110" w:type="dxa"/>
              <w:right w:w="110" w:type="dxa"/>
            </w:tcMar>
            <w:vAlign w:val="center"/>
          </w:tcPr>
          <w:p>
            <w:pPr>
              <w:keepNext/>
              <w:spacing w:before="0" w:after="0" w:line="259" w:lineRule="auto"/>
            </w:pPr>
            <w:r/>
            <w:r>
              <w:rPr>
                <w:rFonts w:ascii="Segoe UI" w:hAnsi="Segoe UI" w:cs="Segoe UI" w:eastAsia="Segoe UI"/>
                <w:b/>
                <w:i w:val="0"/>
                <w:color w:val="FFFFFF"/>
                <w:sz w:val="16"/>
              </w:rPr>
              <w:t>Status</w:t>
            </w:r>
          </w:p>
        </w:tc>
        <w:tc>
          <w:tcPr>
            <w:tcW w:type="dxa" w:w="3600"/>
            <w:tcBorders>
              <w:top w:val="single" w:sz="4" w:space="0" w:color="A0AEC0"/>
              <w:left w:val="single" w:sz="4" w:space="0" w:color="A0AEC0"/>
              <w:bottom w:val="single" w:sz="4" w:space="0" w:color="A0AEC0"/>
              <w:right w:val="single" w:sz="4" w:space="0" w:color="A0AEC0"/>
            </w:tcBorders>
            <w:shd w:val="clear" w:color="auto" w:fill="0E2A47"/>
            <w:tcMar>
              <w:top w:w="80" w:type="dxa"/>
              <w:bottom w:w="80" w:type="dxa"/>
              <w:left w:w="110" w:type="dxa"/>
              <w:right w:w="110" w:type="dxa"/>
            </w:tcMar>
            <w:vAlign w:val="center"/>
          </w:tcPr>
          <w:p>
            <w:pPr>
              <w:keepNext/>
              <w:spacing w:before="0" w:after="0" w:line="259" w:lineRule="auto"/>
            </w:pPr>
            <w:r/>
            <w:r>
              <w:rPr>
                <w:rFonts w:ascii="Segoe UI" w:hAnsi="Segoe UI" w:cs="Segoe UI" w:eastAsia="Segoe UI"/>
                <w:b/>
                <w:i w:val="0"/>
                <w:color w:val="FFFFFF"/>
                <w:sz w:val="16"/>
              </w:rPr>
              <w:t>Shall be</w:t>
            </w:r>
          </w:p>
        </w:tc>
      </w:tr>
      <w:tr>
        <w:trPr>
          <w:cantSplit/>
        </w:trPr>
        <w:tc>
          <w:tcPr>
            <w:tcW w:type="dxa" w:w="1440"/>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i w:val="0"/>
                <w:color w:val="0E2A47"/>
                <w:sz w:val="16"/>
              </w:rPr>
              <w:t>Provenance</w:t>
            </w:r>
          </w:p>
        </w:tc>
        <w:tc>
          <w:tcPr>
            <w:tcW w:type="dxa" w:w="2951"/>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Built from CFDME-2024-018; header claims a "validated setup"</w:t>
            </w:r>
          </w:p>
        </w:tc>
        <w:tc>
          <w:tcPr>
            <w:tcW w:type="dxa" w:w="1800"/>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Non-conforming (MS §7)</w:t>
            </w:r>
          </w:p>
        </w:tc>
        <w:tc>
          <w:tcPr>
            <w:tcW w:type="dxa" w:w="3600"/>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Physics rebuilt from the firm fireFoam reference case (MS §3.1); claim struck</w:t>
            </w:r>
          </w:p>
        </w:tc>
      </w:tr>
      <w:tr>
        <w:trPr>
          <w:cantSplit/>
        </w:trPr>
        <w:tc>
          <w:tcPr>
            <w:tcW w:type="dxa" w:w="1440"/>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top"/>
          </w:tcPr>
          <w:p>
            <w:pPr>
              <w:spacing w:before="0" w:after="0" w:line="259" w:lineRule="auto"/>
            </w:pPr>
            <w:r/>
            <w:r>
              <w:rPr>
                <w:rFonts w:ascii="Segoe UI" w:hAnsi="Segoe UI" w:cs="Segoe UI" w:eastAsia="Segoe UI"/>
                <w:b/>
                <w:i w:val="0"/>
                <w:color w:val="0E2A47"/>
                <w:sz w:val="16"/>
              </w:rPr>
              <w:t>Solver, time integration</w:t>
            </w:r>
          </w:p>
        </w:tc>
        <w:tc>
          <w:tcPr>
            <w:tcW w:type="dxa" w:w="2951"/>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rhoSimpleFoam — steady, compressible, non-reacting; controlDict relabelled fireFoam. Log: fireFoam forced to SIMPLE, time = iteration count</w:t>
            </w:r>
          </w:p>
        </w:tc>
        <w:tc>
          <w:tcPr>
            <w:tcW w:type="dxa" w:w="1800"/>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Non-conforming (MS §3.1, §3.6, §4)</w:t>
            </w:r>
          </w:p>
        </w:tc>
        <w:tc>
          <w:tcPr>
            <w:tcW w:type="dxa" w:w="3600"/>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fireFoam (OpenFOAM v2312, firm build), transient; no SIMPLE override, residualControl or under-relaxation schedule</w:t>
            </w:r>
          </w:p>
        </w:tc>
      </w:tr>
      <w:tr>
        <w:trPr>
          <w:cantSplit/>
        </w:trPr>
        <w:tc>
          <w:tcPr>
            <w:tcW w:type="dxa" w:w="1440"/>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i w:val="0"/>
                <w:color w:val="0E2A47"/>
                <w:sz w:val="16"/>
              </w:rPr>
              <w:t>Turbulence</w:t>
            </w:r>
          </w:p>
        </w:tc>
        <w:tc>
          <w:tcPr>
            <w:tcW w:type="dxa" w:w="2951"/>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RAS k-ω SST (bundle); RAS k-ε (log)</w:t>
            </w:r>
          </w:p>
        </w:tc>
        <w:tc>
          <w:tcPr>
            <w:tcW w:type="dxa" w:w="1800"/>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Non-conforming (MS §5)</w:t>
            </w:r>
          </w:p>
        </w:tc>
        <w:tc>
          <w:tcPr>
            <w:tcW w:type="dxa" w:w="3600"/>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LES with WALE SGS (preferred here: the wall assembly carries the thermal load of interest; dynamic Smagorinsky permitted), recorded in the case-setup memo; first-cell y+ checked after the initial transient</w:t>
            </w:r>
          </w:p>
        </w:tc>
      </w:tr>
      <w:tr>
        <w:trPr>
          <w:cantSplit/>
        </w:trPr>
        <w:tc>
          <w:tcPr>
            <w:tcW w:type="dxa" w:w="1440"/>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top"/>
          </w:tcPr>
          <w:p>
            <w:pPr>
              <w:spacing w:before="0" w:after="0" w:line="259" w:lineRule="auto"/>
            </w:pPr>
            <w:r/>
            <w:r>
              <w:rPr>
                <w:rFonts w:ascii="Segoe UI" w:hAnsi="Segoe UI" w:cs="Segoe UI" w:eastAsia="Segoe UI"/>
                <w:b/>
                <w:i w:val="0"/>
                <w:color w:val="0E2A47"/>
                <w:sz w:val="16"/>
              </w:rPr>
              <w:t>Freestream, ambient</w:t>
            </w:r>
          </w:p>
        </w:tc>
        <w:tc>
          <w:tcPr>
            <w:tcW w:type="dxa" w:w="2951"/>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26,500 Pa, 223 K, 0.4 kg/m³, Mach 0.25 (bundle); 308.15 K ambient (log)</w:t>
            </w:r>
          </w:p>
        </w:tc>
        <w:tc>
          <w:tcPr>
            <w:tcW w:type="dxa" w:w="1800"/>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Non-conforming (MS §7)</w:t>
            </w:r>
          </w:p>
        </w:tc>
        <w:tc>
          <w:tcPr>
            <w:tcW w:type="dxa" w:w="3600"/>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Site ground-level ambient from D02 and scoping memo §2: 35–42 °C (308.15–315.15 K), RH 10–25 %, site pressure at about 750 m elevation</w:t>
            </w:r>
          </w:p>
        </w:tc>
      </w:tr>
      <w:tr>
        <w:trPr>
          <w:cantSplit/>
        </w:trPr>
        <w:tc>
          <w:tcPr>
            <w:tcW w:type="dxa" w:w="1440"/>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i w:val="0"/>
                <w:color w:val="0E2A47"/>
                <w:sz w:val="16"/>
              </w:rPr>
              <w:t>Wind inlet</w:t>
            </w:r>
          </w:p>
        </w:tc>
        <w:tc>
          <w:tcPr>
            <w:tcW w:type="dxa" w:w="2951"/>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None in bundle (uniform freestream, I = 0.5 %). Log: atmBoundaryLayerInletVelocity, Uref 8.0 m/s, Zref 6.1 m, z0 0.03 m, d 0.0 m, flowDir (cos 240, sin 240, 0)</w:t>
            </w:r>
          </w:p>
        </w:tc>
        <w:tc>
          <w:tcPr>
            <w:tcW w:type="dxa" w:w="1800"/>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Type conforms; flowDir wrong; z0 not traceable to D02 (MS §3.2)</w:t>
            </w:r>
          </w:p>
        </w:tc>
        <w:tc>
          <w:tcPr>
            <w:tcW w:type="dxa" w:w="3600"/>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As set out in Section 7.2</w:t>
            </w:r>
          </w:p>
        </w:tc>
      </w:tr>
      <w:tr>
        <w:trPr>
          <w:cantSplit/>
        </w:trPr>
        <w:tc>
          <w:tcPr>
            <w:tcW w:type="dxa" w:w="1440"/>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top"/>
          </w:tcPr>
          <w:p>
            <w:pPr>
              <w:spacing w:before="0" w:after="0" w:line="259" w:lineRule="auto"/>
            </w:pPr>
            <w:r/>
            <w:r>
              <w:rPr>
                <w:rFonts w:ascii="Segoe UI" w:hAnsi="Segoe UI" w:cs="Segoe UI" w:eastAsia="Segoe UI"/>
                <w:b/>
                <w:i w:val="0"/>
                <w:color w:val="0E2A47"/>
                <w:sz w:val="16"/>
              </w:rPr>
              <w:t>Combustion</w:t>
            </w:r>
          </w:p>
        </w:tc>
        <w:tc>
          <w:tcPr>
            <w:tcW w:type="dxa" w:w="2951"/>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None (bundle). Log: EDC v2005, chemistry every 5 outer iterations</w:t>
            </w:r>
          </w:p>
        </w:tc>
        <w:tc>
          <w:tcPr>
            <w:tcW w:type="dxa" w:w="1800"/>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Non-conforming as delivered (MS §3.3)</w:t>
            </w:r>
          </w:p>
        </w:tc>
        <w:tc>
          <w:tcPr>
            <w:tcW w:type="dxa" w:w="3600"/>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EDC, finite-rate, chemistry every time step; source term delivering the 30.1 MW design HRR (scoping memo §5.1)</w:t>
            </w:r>
          </w:p>
        </w:tc>
      </w:tr>
      <w:tr>
        <w:trPr>
          <w:cantSplit/>
        </w:trPr>
        <w:tc>
          <w:tcPr>
            <w:tcW w:type="dxa" w:w="1440"/>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i w:val="0"/>
                <w:color w:val="0E2A47"/>
                <w:sz w:val="16"/>
              </w:rPr>
              <w:t>Radiation</w:t>
            </w:r>
          </w:p>
        </w:tc>
        <w:tc>
          <w:tcPr>
            <w:tcW w:type="dxa" w:w="2951"/>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Off (bundle). Log: fvDOM, 32 rays, grey absorption (greyMeanCombustion)</w:t>
            </w:r>
          </w:p>
        </w:tc>
        <w:tc>
          <w:tcPr>
            <w:tcW w:type="dxa" w:w="1800"/>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Non-conforming (MS §3.4, App. A)</w:t>
            </w:r>
          </w:p>
        </w:tc>
        <w:tc>
          <w:tcPr>
            <w:tcW w:type="dxa" w:w="3600"/>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fvDOM with the MS App. A quadrature and banding (4 angular directions, S4-equivalent; 2 bands split at 2.5 µm for 1200–1700 K); coefficients from product composition; cavity participating, ε = 0.90 concrete, 0.25 galvanized steel (–)</w:t>
            </w:r>
          </w:p>
        </w:tc>
      </w:tr>
      <w:tr>
        <w:trPr>
          <w:cantSplit/>
        </w:trPr>
        <w:tc>
          <w:tcPr>
            <w:tcW w:type="dxa" w:w="1440"/>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top"/>
          </w:tcPr>
          <w:p>
            <w:pPr>
              <w:spacing w:before="0" w:after="0" w:line="259" w:lineRule="auto"/>
            </w:pPr>
            <w:r/>
            <w:r>
              <w:rPr>
                <w:rFonts w:ascii="Segoe UI" w:hAnsi="Segoe UI" w:cs="Segoe UI" w:eastAsia="Segoe UI"/>
                <w:b/>
                <w:i w:val="0"/>
                <w:color w:val="0E2A47"/>
                <w:sz w:val="16"/>
              </w:rPr>
              <w:t>Fluid thermophysics</w:t>
            </w:r>
          </w:p>
        </w:tc>
        <w:tc>
          <w:tcPr>
            <w:tcW w:type="dxa" w:w="2951"/>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hePsiThermo, JANAF, Sutherland (log)</w:t>
            </w:r>
          </w:p>
        </w:tc>
        <w:tc>
          <w:tcPr>
            <w:tcW w:type="dxa" w:w="1800"/>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Conforms in form (MS §3.5)</w:t>
            </w:r>
          </w:p>
        </w:tc>
        <w:tc>
          <w:tcPr>
            <w:tcW w:type="dxa" w:w="3600"/>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Confirm drawn from the firm reference library</w:t>
            </w:r>
          </w:p>
        </w:tc>
      </w:tr>
      <w:tr>
        <w:trPr>
          <w:cantSplit/>
        </w:trPr>
        <w:tc>
          <w:tcPr>
            <w:tcW w:type="dxa" w:w="1440"/>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i w:val="0"/>
                <w:color w:val="0E2A47"/>
                <w:sz w:val="16"/>
              </w:rPr>
              <w:t>Wall assembly</w:t>
            </w:r>
          </w:p>
        </w:tc>
        <w:tc>
          <w:tcPr>
            <w:tcW w:type="dxa" w:w="2951"/>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Adiabatic no-slip walls with wall functions; no solid, cavity or tie regions</w:t>
            </w:r>
          </w:p>
        </w:tc>
        <w:tc>
          <w:tcPr>
            <w:tcW w:type="dxa" w:w="1800"/>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Non-conforming (MS §6, §3.5)</w:t>
            </w:r>
          </w:p>
        </w:tc>
        <w:tc>
          <w:tcPr>
            <w:tcW w:type="dxa" w:w="3600"/>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Multi-region CHT on the existing cellZones — outer leaf, cavity (fluid with fvDOM), inner leaf, ties — with chtMultiRegion coupled interfaces and perfect contact at embedments; temperature-dependent k, ρ, cp (see note)</w:t>
            </w:r>
          </w:p>
        </w:tc>
      </w:tr>
      <w:tr>
        <w:trPr>
          <w:cantSplit/>
        </w:trPr>
        <w:tc>
          <w:tcPr>
            <w:tcW w:type="dxa" w:w="1440"/>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top"/>
          </w:tcPr>
          <w:p>
            <w:pPr>
              <w:spacing w:before="0" w:after="0" w:line="259" w:lineRule="auto"/>
            </w:pPr>
            <w:r/>
            <w:r>
              <w:rPr>
                <w:rFonts w:ascii="Segoe UI" w:hAnsi="Segoe UI" w:cs="Segoe UI" w:eastAsia="Segoe UI"/>
                <w:b/>
                <w:i w:val="0"/>
                <w:color w:val="0E2A47"/>
                <w:sz w:val="16"/>
              </w:rPr>
              <w:t>fvSchemes</w:t>
            </w:r>
          </w:p>
        </w:tc>
        <w:tc>
          <w:tcPr>
            <w:tcW w:type="dxa" w:w="2951"/>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steadyState ddt; bounded Gauss upwind (first order)</w:t>
            </w:r>
          </w:p>
        </w:tc>
        <w:tc>
          <w:tcPr>
            <w:tcW w:type="dxa" w:w="1800"/>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Non-conforming (MS §4)</w:t>
            </w:r>
          </w:p>
        </w:tc>
        <w:tc>
          <w:tcPr>
            <w:tcW w:type="dxa" w:w="3600"/>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Time-accurate LES schemes from the firm reference case</w:t>
            </w:r>
          </w:p>
        </w:tc>
      </w:tr>
      <w:tr>
        <w:trPr>
          <w:cantSplit/>
        </w:trPr>
        <w:tc>
          <w:tcPr>
            <w:tcW w:type="dxa" w:w="1440"/>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i w:val="0"/>
                <w:color w:val="0E2A47"/>
                <w:sz w:val="16"/>
              </w:rPr>
              <w:t>controlDict</w:t>
            </w:r>
          </w:p>
        </w:tc>
        <w:tc>
          <w:tcPr>
            <w:tcW w:type="dxa" w:w="2951"/>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adjustTimeStep no; writeControl timeStep; no maxCo, no maxDeltaT</w:t>
            </w:r>
          </w:p>
        </w:tc>
        <w:tc>
          <w:tcPr>
            <w:tcW w:type="dxa" w:w="1800"/>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Non-conforming (MS §4)</w:t>
            </w:r>
          </w:p>
        </w:tc>
        <w:tc>
          <w:tcPr>
            <w:tcW w:type="dxa" w:w="3600"/>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The Section 5.2 block</w:t>
            </w:r>
          </w:p>
        </w:tc>
      </w:tr>
      <w:tr>
        <w:trPr>
          <w:cantSplit/>
        </w:trPr>
        <w:tc>
          <w:tcPr>
            <w:tcW w:type="dxa" w:w="1440"/>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top"/>
          </w:tcPr>
          <w:p>
            <w:pPr>
              <w:spacing w:before="0" w:after="0" w:line="259" w:lineRule="auto"/>
            </w:pPr>
            <w:r/>
            <w:r>
              <w:rPr>
                <w:rFonts w:ascii="Segoe UI" w:hAnsi="Segoe UI" w:cs="Segoe UI" w:eastAsia="Segoe UI"/>
                <w:b/>
                <w:i w:val="0"/>
                <w:color w:val="0E2A47"/>
                <w:sz w:val="16"/>
              </w:rPr>
              <w:t>Monitors</w:t>
            </w:r>
          </w:p>
        </w:tc>
        <w:tc>
          <w:tcPr>
            <w:tcW w:type="dxa" w:w="2951"/>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Probes 0–2, labelled "plume centreline", sit at x = 1.5 m, the east edge of the source (x = −1.5 m to 1.5 m). Probe 3, "upwind face", at x = 10 m is downwind for both 240° and 270°</w:t>
            </w:r>
          </w:p>
        </w:tc>
        <w:tc>
          <w:tcPr>
            <w:tcW w:type="dxa" w:w="1800"/>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Non-conforming placement (QA VS §5.2)</w:t>
            </w:r>
          </w:p>
        </w:tc>
        <w:tc>
          <w:tcPr>
            <w:tcW w:type="dxa" w:w="3600"/>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Re-placed on the plume axis, including 0.75·D* = 2.82 m above the source top surface (the study's Pope probe), plus exposed-face, cavity, tie and mid-panel monitors for the SOW §3.1 outputs</w:t>
            </w:r>
          </w:p>
        </w:tc>
      </w:tr>
    </w:tbl>
    <w:p>
      <w:pPr>
        <w:spacing w:after="80" w:line="192" w:lineRule="auto"/>
      </w:pPr>
    </w:p>
    <w:p>
      <w:pPr>
        <w:spacing w:before="0" w:after="80"/>
      </w:pPr>
      <w:r>
        <w:rPr>
          <w:rFonts w:ascii="Segoe UI" w:hAnsi="Segoe UI" w:cs="Segoe UI" w:eastAsia="Segoe UI"/>
          <w:b w:val="0"/>
          <w:i/>
          <w:color w:val="1F2937"/>
          <w:sz w:val="18"/>
        </w:rPr>
        <w:t>Note on the wall assembly.</w:t>
      </w:r>
      <w:r>
        <w:rPr>
          <w:rFonts w:ascii="Segoe UI" w:hAnsi="Segoe UI" w:cs="Segoe UI" w:eastAsia="Segoe UI"/>
          <w:b w:val="0"/>
          <w:i w:val="0"/>
          <w:color w:val="1F2937"/>
          <w:sz w:val="18"/>
        </w:rPr>
        <w:t xml:space="preserve"> MS §3.5 forbids constant-property solid regions, but MS Appendix A states that solid properties "are held constant over the design range absent case-specific data". §3.5 is the normative text and governs: temperature-tabulated k, ρ and cp are required. The Appendix A wording is referred to the standard's custodian.</w:t>
      </w:r>
    </w:p>
    <w:p>
      <w:pPr>
        <w:pStyle w:val="Heading1"/>
        <w:pBdr>
          <w:bottom w:val="single" w:sz="8" w:space="3" w:color="0E2A47"/>
        </w:pBdr>
      </w:pPr>
      <w:r>
        <w:t>5.  Authorized Run — Time Control</w:t>
      </w:r>
    </w:p>
    <w:p>
      <w:pPr>
        <w:pStyle w:val="Heading2"/>
      </w:pPr>
      <w:r>
        <w:t>5.1  Values the standard leaves to the case</w:t>
      </w:r>
    </w:p>
    <w:p>
      <w:pPr>
        <w:spacing w:after="60"/>
        <w:ind w:left="461" w:hanging="259"/>
      </w:pPr>
      <w:r>
        <w:rPr>
          <w:rFonts w:ascii="Segoe UI" w:hAnsi="Segoe UI" w:cs="Segoe UI" w:eastAsia="Segoe UI"/>
          <w:b/>
          <w:i w:val="0"/>
          <w:color w:val="006699"/>
          <w:sz w:val="20"/>
        </w:rPr>
        <w:t xml:space="preserve">•  </w:t>
      </w:r>
      <w:r>
        <w:rPr>
          <w:rFonts w:ascii="Segoe UI" w:hAnsi="Segoe UI" w:cs="Segoe UI" w:eastAsia="Segoe UI"/>
          <w:b/>
          <w:i w:val="0"/>
          <w:color w:val="1F2937"/>
          <w:sz w:val="20"/>
        </w:rPr>
        <w:t>Puffing period:</w:t>
      </w:r>
      <w:r>
        <w:rPr>
          <w:rFonts w:ascii="Segoe UI" w:hAnsi="Segoe UI" w:cs="Segoe UI" w:eastAsia="Segoe UI"/>
          <w:b w:val="0"/>
          <w:i w:val="0"/>
          <w:color w:val="1F2937"/>
          <w:sz w:val="20"/>
        </w:rPr>
        <w:t xml:space="preserve"> T = 1.1547 s (Section 3.1); 1.15 s at reporting precision.</w:t>
      </w:r>
    </w:p>
    <w:p>
      <w:pPr>
        <w:spacing w:after="60"/>
        <w:ind w:left="461" w:hanging="259"/>
      </w:pPr>
      <w:r>
        <w:rPr>
          <w:rFonts w:ascii="Segoe UI" w:hAnsi="Segoe UI" w:cs="Segoe UI" w:eastAsia="Segoe UI"/>
          <w:b/>
          <w:i w:val="0"/>
          <w:color w:val="006699"/>
          <w:sz w:val="20"/>
        </w:rPr>
        <w:t xml:space="preserve">•  </w:t>
      </w:r>
      <w:r>
        <w:rPr>
          <w:rFonts w:ascii="Segoe UI" w:hAnsi="Segoe UI" w:cs="Segoe UI" w:eastAsia="Segoe UI"/>
          <w:b/>
          <w:i w:val="0"/>
          <w:color w:val="1F2937"/>
          <w:sz w:val="20"/>
        </w:rPr>
        <w:t>writeInterval:</w:t>
      </w:r>
      <w:r>
        <w:rPr>
          <w:rFonts w:ascii="Segoe UI" w:hAnsi="Segoe UI" w:cs="Segoe UI" w:eastAsia="Segoe UI"/>
          <w:b w:val="0"/>
          <w:i w:val="0"/>
          <w:color w:val="1F2937"/>
          <w:sz w:val="20"/>
        </w:rPr>
        <w:t xml:space="preserve"> MS §4 requires at least 25 samples per puffing period, so writeInterval ≤ T/25 = 0.0462 s rounded (0.046188 s). 0.0462 s would give 24.99 samples; the largest four-decimal value that complies is </w:t>
      </w:r>
      <w:r>
        <w:rPr>
          <w:rFonts w:ascii="Segoe UI" w:hAnsi="Segoe UI" w:cs="Segoe UI" w:eastAsia="Segoe UI"/>
          <w:b/>
          <w:i w:val="0"/>
          <w:color w:val="1F2937"/>
          <w:sz w:val="20"/>
        </w:rPr>
        <w:t>0.0461 s</w:t>
      </w:r>
      <w:r>
        <w:rPr>
          <w:rFonts w:ascii="Segoe UI" w:hAnsi="Segoe UI" w:cs="Segoe UI" w:eastAsia="Segoe UI"/>
          <w:b w:val="0"/>
          <w:i w:val="0"/>
          <w:color w:val="1F2937"/>
          <w:sz w:val="20"/>
        </w:rPr>
        <w:t xml:space="preserve"> (25.05 samples per period).</w:t>
      </w:r>
    </w:p>
    <w:p>
      <w:pPr>
        <w:spacing w:after="60"/>
        <w:ind w:left="461" w:hanging="259"/>
      </w:pPr>
      <w:r>
        <w:rPr>
          <w:rFonts w:ascii="Segoe UI" w:hAnsi="Segoe UI" w:cs="Segoe UI" w:eastAsia="Segoe UI"/>
          <w:b/>
          <w:i w:val="0"/>
          <w:color w:val="006699"/>
          <w:sz w:val="20"/>
        </w:rPr>
        <w:t xml:space="preserve">•  </w:t>
      </w:r>
      <w:r>
        <w:rPr>
          <w:rFonts w:ascii="Segoe UI" w:hAnsi="Segoe UI" w:cs="Segoe UI" w:eastAsia="Segoe UI"/>
          <w:b/>
          <w:i w:val="0"/>
          <w:color w:val="1F2937"/>
          <w:sz w:val="20"/>
        </w:rPr>
        <w:t>endTime:</w:t>
      </w:r>
      <w:r>
        <w:rPr>
          <w:rFonts w:ascii="Segoe UI" w:hAnsi="Segoe UI" w:cs="Segoe UI" w:eastAsia="Segoe UI"/>
          <w:b w:val="0"/>
          <w:i w:val="0"/>
          <w:color w:val="1F2937"/>
          <w:sz w:val="20"/>
        </w:rPr>
        <w:t xml:space="preserve"> the initial transient cleared by 8.00 s in the three-grid LES study, and MS §4 then requires 20 periods, 20 × 1.1547 s = 23.09 s. The minimum is 8.00 s + 23.09 s = 31.09 s before rounding (31.094 s exact); 31.09 s would fall 0.004 s short of 20 periods, so the shortest compliant two-decimal value is </w:t>
      </w:r>
      <w:r>
        <w:rPr>
          <w:rFonts w:ascii="Segoe UI" w:hAnsi="Segoe UI" w:cs="Segoe UI" w:eastAsia="Segoe UI"/>
          <w:b/>
          <w:i w:val="0"/>
          <w:color w:val="1F2937"/>
          <w:sz w:val="20"/>
        </w:rPr>
        <w:t>31.10 s</w:t>
      </w:r>
      <w:r>
        <w:rPr>
          <w:rFonts w:ascii="Segoe UI" w:hAnsi="Segoe UI" w:cs="Segoe UI" w:eastAsia="Segoe UI"/>
          <w:b w:val="0"/>
          <w:i w:val="0"/>
          <w:color w:val="1F2937"/>
          <w:sz w:val="20"/>
        </w:rPr>
        <w:t>.</w:t>
      </w:r>
    </w:p>
    <w:p>
      <w:pPr>
        <w:spacing w:after="100"/>
        <w:ind w:left="461" w:hanging="259"/>
      </w:pPr>
      <w:r>
        <w:rPr>
          <w:rFonts w:ascii="Segoe UI" w:hAnsi="Segoe UI" w:cs="Segoe UI" w:eastAsia="Segoe UI"/>
          <w:b/>
          <w:i w:val="0"/>
          <w:color w:val="006699"/>
          <w:sz w:val="20"/>
        </w:rPr>
        <w:t xml:space="preserve">•  </w:t>
      </w:r>
      <w:r>
        <w:rPr>
          <w:rFonts w:ascii="Segoe UI" w:hAnsi="Segoe UI" w:cs="Segoe UI" w:eastAsia="Segoe UI"/>
          <w:b/>
          <w:i w:val="0"/>
          <w:color w:val="1F2937"/>
          <w:sz w:val="20"/>
        </w:rPr>
        <w:t>maxDeltaT:</w:t>
      </w:r>
      <w:r>
        <w:rPr>
          <w:rFonts w:ascii="Segoe UI" w:hAnsi="Segoe UI" w:cs="Segoe UI" w:eastAsia="Segoe UI"/>
          <w:b w:val="0"/>
          <w:i w:val="0"/>
          <w:color w:val="1F2937"/>
          <w:sz w:val="20"/>
        </w:rPr>
        <w:t xml:space="preserve"> MS §4 leaves the ceiling case-specific ("typically 0.01 s"); the firm reference dictionary governs it: </w:t>
      </w:r>
      <w:r>
        <w:rPr>
          <w:rFonts w:ascii="Segoe UI" w:hAnsi="Segoe UI" w:cs="Segoe UI" w:eastAsia="Segoe UI"/>
          <w:b/>
          <w:i w:val="0"/>
          <w:color w:val="1F2937"/>
          <w:sz w:val="20"/>
        </w:rPr>
        <w:t>0.01 s</w:t>
      </w:r>
      <w:r>
        <w:rPr>
          <w:rFonts w:ascii="Segoe UI" w:hAnsi="Segoe UI" w:cs="Segoe UI" w:eastAsia="Segoe UI"/>
          <w:b w:val="0"/>
          <w:i w:val="0"/>
          <w:color w:val="1F2937"/>
          <w:sz w:val="20"/>
        </w:rPr>
        <w:t>.</w:t>
      </w:r>
    </w:p>
    <w:p>
      <w:pPr>
        <w:pStyle w:val="Heading2"/>
      </w:pPr>
      <w:r>
        <w:t>5.2  Time-control block, as it will run (system/controlDict body)</w:t>
      </w:r>
    </w:p>
    <w:p>
      <w:pPr>
        <w:keepNext/>
        <w:keepLines/>
        <w:pBdr>
          <w:top w:val="single" w:sz="4" w:space="4" w:color="CBD5E1"/>
          <w:left w:val="single" w:sz="18" w:space="10" w:color="0E2A47"/>
        </w:pBdr>
        <w:shd w:val="clear" w:color="auto" w:fill="F8FAFC"/>
        <w:tabs>
          <w:tab w:pos="2664" w:val="left"/>
          <w:tab w:pos="4680" w:val="left"/>
        </w:tabs>
        <w:spacing w:before="0" w:after="0" w:line="240" w:lineRule="auto"/>
        <w:ind w:left="288"/>
      </w:pPr>
      <w:r>
        <w:rPr>
          <w:rFonts w:ascii="Consolas" w:hAnsi="Consolas" w:cs="Consolas" w:eastAsia="Consolas"/>
          <w:b w:val="0"/>
          <w:i w:val="0"/>
          <w:color w:val="0E2A47"/>
          <w:sz w:val="18"/>
        </w:rPr>
        <w:t>application</w:t>
        <w:tab/>
        <w:t>fireFoam;</w:t>
      </w:r>
    </w:p>
    <w:p>
      <w:pPr>
        <w:keepNext/>
        <w:keepLines/>
        <w:pBdr>
          <w:left w:val="single" w:sz="18" w:space="10" w:color="0E2A47"/>
        </w:pBdr>
        <w:shd w:val="clear" w:color="auto" w:fill="F8FAFC"/>
        <w:tabs>
          <w:tab w:pos="2664" w:val="left"/>
          <w:tab w:pos="4680" w:val="left"/>
        </w:tabs>
        <w:spacing w:before="0" w:after="0" w:line="240" w:lineRule="auto"/>
        <w:ind w:left="288"/>
      </w:pPr>
      <w:r>
        <w:rPr>
          <w:rFonts w:ascii="Consolas" w:hAnsi="Consolas" w:cs="Consolas" w:eastAsia="Consolas"/>
          <w:b w:val="0"/>
          <w:i w:val="0"/>
          <w:color w:val="0E2A47"/>
          <w:sz w:val="18"/>
        </w:rPr>
        <w:t>startFrom</w:t>
        <w:tab/>
        <w:t>latestTime;</w:t>
      </w:r>
    </w:p>
    <w:p>
      <w:pPr>
        <w:keepNext/>
        <w:keepLines/>
        <w:pBdr>
          <w:left w:val="single" w:sz="18" w:space="10" w:color="0E2A47"/>
        </w:pBdr>
        <w:shd w:val="clear" w:color="auto" w:fill="F8FAFC"/>
        <w:tabs>
          <w:tab w:pos="2664" w:val="left"/>
          <w:tab w:pos="4680" w:val="left"/>
        </w:tabs>
        <w:spacing w:before="0" w:after="0" w:line="240" w:lineRule="auto"/>
        <w:ind w:left="288"/>
      </w:pPr>
      <w:r>
        <w:rPr>
          <w:rFonts w:ascii="Consolas" w:hAnsi="Consolas" w:cs="Consolas" w:eastAsia="Consolas"/>
          <w:b w:val="0"/>
          <w:i w:val="0"/>
          <w:color w:val="0E2A47"/>
          <w:sz w:val="18"/>
        </w:rPr>
        <w:t>startTime</w:t>
        <w:tab/>
        <w:t>0;</w:t>
        <w:tab/>
        <w:t>// s</w:t>
      </w:r>
    </w:p>
    <w:p>
      <w:pPr>
        <w:keepNext/>
        <w:keepLines/>
        <w:pBdr>
          <w:left w:val="single" w:sz="18" w:space="10" w:color="0E2A47"/>
        </w:pBdr>
        <w:shd w:val="clear" w:color="auto" w:fill="F8FAFC"/>
        <w:tabs>
          <w:tab w:pos="2664" w:val="left"/>
          <w:tab w:pos="4680" w:val="left"/>
        </w:tabs>
        <w:spacing w:before="0" w:after="0" w:line="240" w:lineRule="auto"/>
        <w:ind w:left="288"/>
      </w:pPr>
      <w:r>
        <w:rPr>
          <w:rFonts w:ascii="Consolas" w:hAnsi="Consolas" w:cs="Consolas" w:eastAsia="Consolas"/>
          <w:b w:val="0"/>
          <w:i w:val="0"/>
          <w:color w:val="0E2A47"/>
          <w:sz w:val="18"/>
        </w:rPr>
        <w:t>stopAt</w:t>
        <w:tab/>
        <w:t>endTime;</w:t>
      </w:r>
    </w:p>
    <w:p>
      <w:pPr>
        <w:keepNext/>
        <w:keepLines/>
        <w:pBdr>
          <w:left w:val="single" w:sz="18" w:space="10" w:color="0E2A47"/>
        </w:pBdr>
        <w:shd w:val="clear" w:color="auto" w:fill="F8FAFC"/>
        <w:tabs>
          <w:tab w:pos="2664" w:val="left"/>
          <w:tab w:pos="4680" w:val="left"/>
        </w:tabs>
        <w:spacing w:before="0" w:after="0" w:line="240" w:lineRule="auto"/>
        <w:ind w:left="288"/>
      </w:pPr>
      <w:r>
        <w:rPr>
          <w:rFonts w:ascii="Consolas" w:hAnsi="Consolas" w:cs="Consolas" w:eastAsia="Consolas"/>
          <w:b w:val="0"/>
          <w:i w:val="0"/>
          <w:color w:val="0E2A47"/>
          <w:sz w:val="18"/>
        </w:rPr>
        <w:t>endTime</w:t>
        <w:tab/>
        <w:t>31.10;</w:t>
        <w:tab/>
        <w:t>// s = 8.00 s startup + 20 × 1.1547 s, rounded up</w:t>
      </w:r>
    </w:p>
    <w:p>
      <w:pPr>
        <w:keepNext/>
        <w:keepLines/>
        <w:pBdr>
          <w:left w:val="single" w:sz="18" w:space="10" w:color="0E2A47"/>
        </w:pBdr>
        <w:shd w:val="clear" w:color="auto" w:fill="F8FAFC"/>
        <w:tabs>
          <w:tab w:pos="2664" w:val="left"/>
          <w:tab w:pos="4680" w:val="left"/>
        </w:tabs>
        <w:spacing w:before="0" w:after="0" w:line="240" w:lineRule="auto"/>
        <w:ind w:left="288"/>
      </w:pPr>
      <w:r>
        <w:rPr>
          <w:rFonts w:ascii="Consolas" w:hAnsi="Consolas" w:cs="Consolas" w:eastAsia="Consolas"/>
          <w:b w:val="0"/>
          <w:i w:val="0"/>
          <w:color w:val="0E2A47"/>
          <w:sz w:val="18"/>
        </w:rPr>
        <w:t>deltaT</w:t>
        <w:tab/>
        <w:t>0.001;</w:t>
        <w:tab/>
        <w:t>// s, initial step; adapted thereafter</w:t>
      </w:r>
    </w:p>
    <w:p>
      <w:pPr>
        <w:keepNext/>
        <w:keepLines/>
        <w:pBdr>
          <w:left w:val="single" w:sz="18" w:space="10" w:color="0E2A47"/>
        </w:pBdr>
        <w:shd w:val="clear" w:color="auto" w:fill="F8FAFC"/>
        <w:tabs>
          <w:tab w:pos="2664" w:val="left"/>
          <w:tab w:pos="4680" w:val="left"/>
        </w:tabs>
        <w:spacing w:before="0" w:after="0" w:line="240" w:lineRule="auto"/>
        <w:ind w:left="288"/>
      </w:pPr>
      <w:r>
        <w:rPr>
          <w:rFonts w:ascii="Consolas" w:hAnsi="Consolas" w:cs="Consolas" w:eastAsia="Consolas"/>
          <w:b w:val="0"/>
          <w:i w:val="0"/>
          <w:color w:val="0E2A47"/>
          <w:sz w:val="18"/>
        </w:rPr>
        <w:t>writeControl</w:t>
        <w:tab/>
        <w:t>adjustableRunTime;</w:t>
      </w:r>
    </w:p>
    <w:p>
      <w:pPr>
        <w:keepNext/>
        <w:keepLines/>
        <w:pBdr>
          <w:left w:val="single" w:sz="18" w:space="10" w:color="0E2A47"/>
        </w:pBdr>
        <w:shd w:val="clear" w:color="auto" w:fill="F8FAFC"/>
        <w:tabs>
          <w:tab w:pos="2664" w:val="left"/>
          <w:tab w:pos="4680" w:val="left"/>
        </w:tabs>
        <w:spacing w:before="0" w:after="0" w:line="240" w:lineRule="auto"/>
        <w:ind w:left="288"/>
      </w:pPr>
      <w:r>
        <w:rPr>
          <w:rFonts w:ascii="Consolas" w:hAnsi="Consolas" w:cs="Consolas" w:eastAsia="Consolas"/>
          <w:b w:val="0"/>
          <w:i w:val="0"/>
          <w:color w:val="0E2A47"/>
          <w:sz w:val="18"/>
        </w:rPr>
        <w:t>writeInterval</w:t>
        <w:tab/>
        <w:t>0.0461;</w:t>
        <w:tab/>
        <w:t>// s simulated; 25.05 samples per 1.1547 s period</w:t>
      </w:r>
    </w:p>
    <w:p>
      <w:pPr>
        <w:keepNext/>
        <w:keepLines/>
        <w:pBdr>
          <w:left w:val="single" w:sz="18" w:space="10" w:color="0E2A47"/>
        </w:pBdr>
        <w:shd w:val="clear" w:color="auto" w:fill="F8FAFC"/>
        <w:tabs>
          <w:tab w:pos="2664" w:val="left"/>
          <w:tab w:pos="4680" w:val="left"/>
        </w:tabs>
        <w:spacing w:before="0" w:after="0" w:line="240" w:lineRule="auto"/>
        <w:ind w:left="288"/>
      </w:pPr>
      <w:r>
        <w:rPr>
          <w:rFonts w:ascii="Consolas" w:hAnsi="Consolas" w:cs="Consolas" w:eastAsia="Consolas"/>
          <w:b w:val="0"/>
          <w:i w:val="0"/>
          <w:color w:val="0E2A47"/>
          <w:sz w:val="18"/>
        </w:rPr>
        <w:t>purgeWrite</w:t>
        <w:tab/>
        <w:t>0;</w:t>
        <w:tab/>
        <w:t>// keep all time directories</w:t>
      </w:r>
    </w:p>
    <w:p>
      <w:pPr>
        <w:keepNext/>
        <w:keepLines/>
        <w:pBdr>
          <w:left w:val="single" w:sz="18" w:space="10" w:color="0E2A47"/>
        </w:pBdr>
        <w:shd w:val="clear" w:color="auto" w:fill="F8FAFC"/>
        <w:tabs>
          <w:tab w:pos="2664" w:val="left"/>
          <w:tab w:pos="4680" w:val="left"/>
        </w:tabs>
        <w:spacing w:before="0" w:after="0" w:line="240" w:lineRule="auto"/>
        <w:ind w:left="288"/>
      </w:pPr>
      <w:r>
        <w:rPr>
          <w:rFonts w:ascii="Consolas" w:hAnsi="Consolas" w:cs="Consolas" w:eastAsia="Consolas"/>
          <w:b w:val="0"/>
          <w:i w:val="0"/>
          <w:color w:val="0E2A47"/>
          <w:sz w:val="18"/>
        </w:rPr>
        <w:t>writeFormat</w:t>
        <w:tab/>
        <w:t>ascii;</w:t>
      </w:r>
    </w:p>
    <w:p>
      <w:pPr>
        <w:keepNext/>
        <w:keepLines/>
        <w:pBdr>
          <w:left w:val="single" w:sz="18" w:space="10" w:color="0E2A47"/>
        </w:pBdr>
        <w:shd w:val="clear" w:color="auto" w:fill="F8FAFC"/>
        <w:tabs>
          <w:tab w:pos="2664" w:val="left"/>
          <w:tab w:pos="4680" w:val="left"/>
        </w:tabs>
        <w:spacing w:before="0" w:after="0" w:line="240" w:lineRule="auto"/>
        <w:ind w:left="288"/>
      </w:pPr>
      <w:r>
        <w:rPr>
          <w:rFonts w:ascii="Consolas" w:hAnsi="Consolas" w:cs="Consolas" w:eastAsia="Consolas"/>
          <w:b w:val="0"/>
          <w:i w:val="0"/>
          <w:color w:val="0E2A47"/>
          <w:sz w:val="18"/>
        </w:rPr>
        <w:t>writePrecision</w:t>
        <w:tab/>
        <w:t>8;</w:t>
        <w:tab/>
        <w:t>// significant digits</w:t>
      </w:r>
    </w:p>
    <w:p>
      <w:pPr>
        <w:keepNext/>
        <w:keepLines/>
        <w:pBdr>
          <w:left w:val="single" w:sz="18" w:space="10" w:color="0E2A47"/>
        </w:pBdr>
        <w:shd w:val="clear" w:color="auto" w:fill="F8FAFC"/>
        <w:tabs>
          <w:tab w:pos="2664" w:val="left"/>
          <w:tab w:pos="4680" w:val="left"/>
        </w:tabs>
        <w:spacing w:before="0" w:after="0" w:line="240" w:lineRule="auto"/>
        <w:ind w:left="288"/>
      </w:pPr>
      <w:r>
        <w:rPr>
          <w:rFonts w:ascii="Consolas" w:hAnsi="Consolas" w:cs="Consolas" w:eastAsia="Consolas"/>
          <w:b w:val="0"/>
          <w:i w:val="0"/>
          <w:color w:val="0E2A47"/>
          <w:sz w:val="18"/>
        </w:rPr>
        <w:t>writeCompression</w:t>
        <w:tab/>
        <w:t>off;</w:t>
      </w:r>
    </w:p>
    <w:p>
      <w:pPr>
        <w:keepNext/>
        <w:keepLines/>
        <w:pBdr>
          <w:left w:val="single" w:sz="18" w:space="10" w:color="0E2A47"/>
        </w:pBdr>
        <w:shd w:val="clear" w:color="auto" w:fill="F8FAFC"/>
        <w:tabs>
          <w:tab w:pos="2664" w:val="left"/>
          <w:tab w:pos="4680" w:val="left"/>
        </w:tabs>
        <w:spacing w:before="0" w:after="0" w:line="240" w:lineRule="auto"/>
        <w:ind w:left="288"/>
      </w:pPr>
      <w:r>
        <w:rPr>
          <w:rFonts w:ascii="Consolas" w:hAnsi="Consolas" w:cs="Consolas" w:eastAsia="Consolas"/>
          <w:b w:val="0"/>
          <w:i w:val="0"/>
          <w:color w:val="0E2A47"/>
          <w:sz w:val="18"/>
        </w:rPr>
        <w:t>timeFormat</w:t>
        <w:tab/>
        <w:t>general;</w:t>
      </w:r>
    </w:p>
    <w:p>
      <w:pPr>
        <w:keepNext/>
        <w:keepLines/>
        <w:pBdr>
          <w:left w:val="single" w:sz="18" w:space="10" w:color="0E2A47"/>
        </w:pBdr>
        <w:shd w:val="clear" w:color="auto" w:fill="F8FAFC"/>
        <w:tabs>
          <w:tab w:pos="2664" w:val="left"/>
          <w:tab w:pos="4680" w:val="left"/>
        </w:tabs>
        <w:spacing w:before="0" w:after="0" w:line="240" w:lineRule="auto"/>
        <w:ind w:left="288"/>
      </w:pPr>
      <w:r>
        <w:rPr>
          <w:rFonts w:ascii="Consolas" w:hAnsi="Consolas" w:cs="Consolas" w:eastAsia="Consolas"/>
          <w:b w:val="0"/>
          <w:i w:val="0"/>
          <w:color w:val="0E2A47"/>
          <w:sz w:val="18"/>
        </w:rPr>
        <w:t>runTimeModifiable</w:t>
        <w:tab/>
        <w:t>true;</w:t>
      </w:r>
    </w:p>
    <w:p>
      <w:pPr>
        <w:keepNext/>
        <w:keepLines/>
        <w:pBdr>
          <w:left w:val="single" w:sz="18" w:space="10" w:color="0E2A47"/>
        </w:pBdr>
        <w:shd w:val="clear" w:color="auto" w:fill="F8FAFC"/>
        <w:tabs>
          <w:tab w:pos="2664" w:val="left"/>
          <w:tab w:pos="4680" w:val="left"/>
        </w:tabs>
        <w:spacing w:before="0" w:after="0" w:line="240" w:lineRule="auto"/>
        <w:ind w:left="288"/>
      </w:pPr>
      <w:r>
        <w:rPr>
          <w:rFonts w:ascii="Consolas" w:hAnsi="Consolas" w:cs="Consolas" w:eastAsia="Consolas"/>
          <w:b w:val="0"/>
          <w:i w:val="0"/>
          <w:color w:val="0E2A47"/>
          <w:sz w:val="18"/>
        </w:rPr>
        <w:t>adjustTimeStep</w:t>
        <w:tab/>
        <w:t>yes;</w:t>
      </w:r>
    </w:p>
    <w:p>
      <w:pPr>
        <w:keepNext/>
        <w:keepLines/>
        <w:pBdr>
          <w:left w:val="single" w:sz="18" w:space="10" w:color="0E2A47"/>
        </w:pBdr>
        <w:shd w:val="clear" w:color="auto" w:fill="F8FAFC"/>
        <w:tabs>
          <w:tab w:pos="2664" w:val="left"/>
          <w:tab w:pos="4680" w:val="left"/>
        </w:tabs>
        <w:spacing w:before="0" w:after="0" w:line="240" w:lineRule="auto"/>
        <w:ind w:left="288"/>
      </w:pPr>
      <w:r>
        <w:rPr>
          <w:rFonts w:ascii="Consolas" w:hAnsi="Consolas" w:cs="Consolas" w:eastAsia="Consolas"/>
          <w:b w:val="0"/>
          <w:i w:val="0"/>
          <w:color w:val="0E2A47"/>
          <w:sz w:val="18"/>
        </w:rPr>
        <w:t>maxCo</w:t>
        <w:tab/>
        <w:t>0.9;</w:t>
        <w:tab/>
        <w:t>// (–)</w:t>
      </w:r>
    </w:p>
    <w:p>
      <w:pPr>
        <w:keepNext w:val="0"/>
        <w:keepLines/>
        <w:pBdr>
          <w:left w:val="single" w:sz="18" w:space="10" w:color="0E2A47"/>
          <w:bottom w:val="single" w:sz="4" w:space="4" w:color="CBD5E1"/>
        </w:pBdr>
        <w:shd w:val="clear" w:color="auto" w:fill="F8FAFC"/>
        <w:tabs>
          <w:tab w:pos="2664" w:val="left"/>
          <w:tab w:pos="4680" w:val="left"/>
        </w:tabs>
        <w:spacing w:before="0" w:after="0" w:line="240" w:lineRule="auto"/>
        <w:ind w:left="288"/>
      </w:pPr>
      <w:r>
        <w:rPr>
          <w:rFonts w:ascii="Consolas" w:hAnsi="Consolas" w:cs="Consolas" w:eastAsia="Consolas"/>
          <w:b w:val="0"/>
          <w:i w:val="0"/>
          <w:color w:val="0E2A47"/>
          <w:sz w:val="18"/>
        </w:rPr>
        <w:t>maxDeltaT</w:t>
        <w:tab/>
        <w:t>0.01;</w:t>
        <w:tab/>
        <w:t>// s, ceiling per firm reference dictionary</w:t>
      </w:r>
    </w:p>
    <w:p>
      <w:pPr>
        <w:spacing w:after="40"/>
      </w:pPr>
    </w:p>
    <w:p>
      <w:pPr>
        <w:pStyle w:val="Heading2"/>
      </w:pPr>
      <w:r>
        <w:t>5.3  Against the time-control block Mulshi delivered</w:t>
      </w:r>
    </w:p>
    <w:p>
      <w:pPr>
        <w:keepNext/>
        <w:spacing w:before="0" w:after="60"/>
      </w:pPr>
      <w:r>
        <w:rPr>
          <w:rFonts w:ascii="Segoe UI" w:hAnsi="Segoe UI" w:cs="Segoe UI" w:eastAsia="Segoe UI"/>
          <w:b w:val="0"/>
          <w:i w:val="0"/>
          <w:color w:val="1F2937"/>
          <w:sz w:val="20"/>
        </w:rPr>
        <w:t>Every entry that differs, with both values:</w:t>
      </w:r>
    </w:p>
    <w:tbl>
      <w:tblPr>
        <w:tblW w:type="auto" w:w="0"/>
        <w:jc w:val="center"/>
        <w:tblLayout w:type="fixed"/>
        <w:tblLayout w:type="fixed"/>
        <w:tblLook w:firstColumn="1" w:firstRow="1" w:lastColumn="0" w:lastRow="0" w:noHBand="0" w:noVBand="1" w:val="04A0"/>
      </w:tblPr>
      <w:tblGrid>
        <w:gridCol w:w="1512"/>
        <w:gridCol w:w="3528"/>
        <w:gridCol w:w="1800"/>
        <w:gridCol w:w="2951"/>
      </w:tblGrid>
      <w:tr>
        <w:trPr>
          <w:tblHeader/>
          <w:cantSplit/>
        </w:trPr>
        <w:tc>
          <w:tcPr>
            <w:tcW w:type="dxa" w:w="1512"/>
            <w:tcBorders>
              <w:top w:val="single" w:sz="4" w:space="0" w:color="A0AEC0"/>
              <w:left w:val="single" w:sz="4" w:space="0" w:color="A0AEC0"/>
              <w:bottom w:val="single" w:sz="4" w:space="0" w:color="A0AEC0"/>
              <w:right w:val="single" w:sz="4" w:space="0" w:color="A0AEC0"/>
            </w:tcBorders>
            <w:shd w:val="clear" w:color="auto" w:fill="0E2A47"/>
            <w:tcMar>
              <w:top w:w="80" w:type="dxa"/>
              <w:bottom w:w="80" w:type="dxa"/>
              <w:left w:w="110" w:type="dxa"/>
              <w:right w:w="110" w:type="dxa"/>
            </w:tcMar>
            <w:vAlign w:val="center"/>
          </w:tcPr>
          <w:p>
            <w:pPr>
              <w:keepNext/>
              <w:spacing w:before="0" w:after="0" w:line="259" w:lineRule="auto"/>
            </w:pPr>
            <w:r/>
            <w:r>
              <w:rPr>
                <w:rFonts w:ascii="Segoe UI" w:hAnsi="Segoe UI" w:cs="Segoe UI" w:eastAsia="Segoe UI"/>
                <w:b/>
                <w:i w:val="0"/>
                <w:color w:val="FFFFFF"/>
                <w:sz w:val="16"/>
              </w:rPr>
              <w:t>Entry</w:t>
            </w:r>
          </w:p>
        </w:tc>
        <w:tc>
          <w:tcPr>
            <w:tcW w:type="dxa" w:w="3528"/>
            <w:tcBorders>
              <w:top w:val="single" w:sz="4" w:space="0" w:color="A0AEC0"/>
              <w:left w:val="single" w:sz="4" w:space="0" w:color="A0AEC0"/>
              <w:bottom w:val="single" w:sz="4" w:space="0" w:color="A0AEC0"/>
              <w:right w:val="single" w:sz="4" w:space="0" w:color="A0AEC0"/>
            </w:tcBorders>
            <w:shd w:val="clear" w:color="auto" w:fill="0E2A47"/>
            <w:tcMar>
              <w:top w:w="80" w:type="dxa"/>
              <w:bottom w:w="80" w:type="dxa"/>
              <w:left w:w="110" w:type="dxa"/>
              <w:right w:w="110" w:type="dxa"/>
            </w:tcMar>
            <w:vAlign w:val="center"/>
          </w:tcPr>
          <w:p>
            <w:pPr>
              <w:keepNext/>
              <w:spacing w:before="0" w:after="0" w:line="259" w:lineRule="auto"/>
            </w:pPr>
            <w:r/>
            <w:r>
              <w:rPr>
                <w:rFonts w:ascii="Segoe UI" w:hAnsi="Segoe UI" w:cs="Segoe UI" w:eastAsia="Segoe UI"/>
                <w:b/>
                <w:i w:val="0"/>
                <w:color w:val="FFFFFF"/>
                <w:sz w:val="16"/>
              </w:rPr>
              <w:t>Delivered (Case/system/controlDict)</w:t>
            </w:r>
          </w:p>
        </w:tc>
        <w:tc>
          <w:tcPr>
            <w:tcW w:type="dxa" w:w="1800"/>
            <w:tcBorders>
              <w:top w:val="single" w:sz="4" w:space="0" w:color="A0AEC0"/>
              <w:left w:val="single" w:sz="4" w:space="0" w:color="A0AEC0"/>
              <w:bottom w:val="single" w:sz="4" w:space="0" w:color="A0AEC0"/>
              <w:right w:val="single" w:sz="4" w:space="0" w:color="A0AEC0"/>
            </w:tcBorders>
            <w:shd w:val="clear" w:color="auto" w:fill="0E2A47"/>
            <w:tcMar>
              <w:top w:w="80" w:type="dxa"/>
              <w:bottom w:w="80" w:type="dxa"/>
              <w:left w:w="110" w:type="dxa"/>
              <w:right w:w="110" w:type="dxa"/>
            </w:tcMar>
            <w:vAlign w:val="center"/>
          </w:tcPr>
          <w:p>
            <w:pPr>
              <w:keepNext/>
              <w:spacing w:before="0" w:after="0" w:line="259" w:lineRule="auto"/>
            </w:pPr>
            <w:r/>
            <w:r>
              <w:rPr>
                <w:rFonts w:ascii="Segoe UI" w:hAnsi="Segoe UI" w:cs="Segoe UI" w:eastAsia="Segoe UI"/>
                <w:b/>
                <w:i w:val="0"/>
                <w:color w:val="FFFFFF"/>
                <w:sz w:val="16"/>
              </w:rPr>
              <w:t>Authorized</w:t>
            </w:r>
          </w:p>
        </w:tc>
        <w:tc>
          <w:tcPr>
            <w:tcW w:type="dxa" w:w="2951"/>
            <w:tcBorders>
              <w:top w:val="single" w:sz="4" w:space="0" w:color="A0AEC0"/>
              <w:left w:val="single" w:sz="4" w:space="0" w:color="A0AEC0"/>
              <w:bottom w:val="single" w:sz="4" w:space="0" w:color="A0AEC0"/>
              <w:right w:val="single" w:sz="4" w:space="0" w:color="A0AEC0"/>
            </w:tcBorders>
            <w:shd w:val="clear" w:color="auto" w:fill="0E2A47"/>
            <w:tcMar>
              <w:top w:w="80" w:type="dxa"/>
              <w:bottom w:w="80" w:type="dxa"/>
              <w:left w:w="110" w:type="dxa"/>
              <w:right w:w="110" w:type="dxa"/>
            </w:tcMar>
            <w:vAlign w:val="center"/>
          </w:tcPr>
          <w:p>
            <w:pPr>
              <w:keepNext/>
              <w:spacing w:before="0" w:after="0" w:line="259" w:lineRule="auto"/>
            </w:pPr>
            <w:r/>
            <w:r>
              <w:rPr>
                <w:rFonts w:ascii="Segoe UI" w:hAnsi="Segoe UI" w:cs="Segoe UI" w:eastAsia="Segoe UI"/>
                <w:b/>
                <w:i w:val="0"/>
                <w:color w:val="FFFFFF"/>
                <w:sz w:val="16"/>
              </w:rPr>
              <w:t>Basis</w:t>
            </w:r>
          </w:p>
        </w:tc>
      </w:tr>
      <w:tr>
        <w:trPr>
          <w:cantSplit/>
        </w:trPr>
        <w:tc>
          <w:tcPr>
            <w:tcW w:type="dxa" w:w="1512"/>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i w:val="0"/>
                <w:color w:val="0E2A47"/>
                <w:sz w:val="16"/>
              </w:rPr>
              <w:t>startFrom</w:t>
            </w:r>
          </w:p>
        </w:tc>
        <w:tc>
          <w:tcPr>
            <w:tcW w:type="dxa" w:w="3528"/>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startTime</w:t>
            </w:r>
          </w:p>
        </w:tc>
        <w:tc>
          <w:tcPr>
            <w:tcW w:type="dxa" w:w="1800"/>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latestTime</w:t>
            </w:r>
          </w:p>
        </w:tc>
        <w:tc>
          <w:tcPr>
            <w:tcW w:type="dxa" w:w="2951"/>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Firm reference; restart-safe (launch condition 1)</w:t>
            </w:r>
          </w:p>
        </w:tc>
      </w:tr>
      <w:tr>
        <w:trPr>
          <w:cantSplit/>
        </w:trPr>
        <w:tc>
          <w:tcPr>
            <w:tcW w:type="dxa" w:w="1512"/>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top"/>
          </w:tcPr>
          <w:p>
            <w:pPr>
              <w:spacing w:before="0" w:after="0" w:line="259" w:lineRule="auto"/>
            </w:pPr>
            <w:r/>
            <w:r>
              <w:rPr>
                <w:rFonts w:ascii="Segoe UI" w:hAnsi="Segoe UI" w:cs="Segoe UI" w:eastAsia="Segoe UI"/>
                <w:b/>
                <w:i w:val="0"/>
                <w:color w:val="0E2A47"/>
                <w:sz w:val="16"/>
              </w:rPr>
              <w:t>endTime</w:t>
            </w:r>
          </w:p>
        </w:tc>
        <w:tc>
          <w:tcPr>
            <w:tcW w:type="dxa" w:w="3528"/>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2000 — an iteration count in the steady template; read as physical time, 2000 s, 64 times the requirement</w:t>
            </w:r>
          </w:p>
        </w:tc>
        <w:tc>
          <w:tcPr>
            <w:tcW w:type="dxa" w:w="1800"/>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31.10 s</w:t>
            </w:r>
          </w:p>
        </w:tc>
        <w:tc>
          <w:tcPr>
            <w:tcW w:type="dxa" w:w="2951"/>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MS §4: 8.00 s startup + 20 periods</w:t>
            </w:r>
          </w:p>
        </w:tc>
      </w:tr>
      <w:tr>
        <w:trPr>
          <w:cantSplit/>
        </w:trPr>
        <w:tc>
          <w:tcPr>
            <w:tcW w:type="dxa" w:w="1512"/>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i w:val="0"/>
                <w:color w:val="0E2A47"/>
                <w:sz w:val="16"/>
              </w:rPr>
              <w:t>deltaT</w:t>
            </w:r>
          </w:p>
        </w:tc>
        <w:tc>
          <w:tcPr>
            <w:tcW w:type="dxa" w:w="3528"/>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0.01 s, fixed</w:t>
            </w:r>
          </w:p>
        </w:tc>
        <w:tc>
          <w:tcPr>
            <w:tcW w:type="dxa" w:w="1800"/>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0.001 s initial, then adaptive</w:t>
            </w:r>
          </w:p>
        </w:tc>
        <w:tc>
          <w:tcPr>
            <w:tcW w:type="dxa" w:w="2951"/>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Firm reference. A fixed 0.01 s gives Co = 1.98 (–) in a 0.0625 m cell at the study's 12.4 m/s plume velocity</w:t>
            </w:r>
          </w:p>
        </w:tc>
      </w:tr>
      <w:tr>
        <w:trPr>
          <w:cantSplit/>
        </w:trPr>
        <w:tc>
          <w:tcPr>
            <w:tcW w:type="dxa" w:w="1512"/>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top"/>
          </w:tcPr>
          <w:p>
            <w:pPr>
              <w:spacing w:before="0" w:after="0" w:line="259" w:lineRule="auto"/>
            </w:pPr>
            <w:r/>
            <w:r>
              <w:rPr>
                <w:rFonts w:ascii="Segoe UI" w:hAnsi="Segoe UI" w:cs="Segoe UI" w:eastAsia="Segoe UI"/>
                <w:b/>
                <w:i w:val="0"/>
                <w:color w:val="0E2A47"/>
                <w:sz w:val="16"/>
              </w:rPr>
              <w:t>adjustTimeStep</w:t>
            </w:r>
          </w:p>
        </w:tc>
        <w:tc>
          <w:tcPr>
            <w:tcW w:type="dxa" w:w="3528"/>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no</w:t>
            </w:r>
          </w:p>
        </w:tc>
        <w:tc>
          <w:tcPr>
            <w:tcW w:type="dxa" w:w="1800"/>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yes</w:t>
            </w:r>
          </w:p>
        </w:tc>
        <w:tc>
          <w:tcPr>
            <w:tcW w:type="dxa" w:w="2951"/>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MS §4, mandatory</w:t>
            </w:r>
          </w:p>
        </w:tc>
      </w:tr>
      <w:tr>
        <w:trPr>
          <w:cantSplit/>
        </w:trPr>
        <w:tc>
          <w:tcPr>
            <w:tcW w:type="dxa" w:w="1512"/>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i w:val="0"/>
                <w:color w:val="0E2A47"/>
                <w:sz w:val="16"/>
              </w:rPr>
              <w:t>writeControl</w:t>
            </w:r>
          </w:p>
        </w:tc>
        <w:tc>
          <w:tcPr>
            <w:tcW w:type="dxa" w:w="3528"/>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timeStep</w:t>
            </w:r>
          </w:p>
        </w:tc>
        <w:tc>
          <w:tcPr>
            <w:tcW w:type="dxa" w:w="1800"/>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adjustableRunTime</w:t>
            </w:r>
          </w:p>
        </w:tc>
        <w:tc>
          <w:tcPr>
            <w:tcW w:type="dxa" w:w="2951"/>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MS §4, mandatory</w:t>
            </w:r>
          </w:p>
        </w:tc>
      </w:tr>
      <w:tr>
        <w:trPr>
          <w:cantSplit/>
        </w:trPr>
        <w:tc>
          <w:tcPr>
            <w:tcW w:type="dxa" w:w="1512"/>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top"/>
          </w:tcPr>
          <w:p>
            <w:pPr>
              <w:spacing w:before="0" w:after="0" w:line="259" w:lineRule="auto"/>
            </w:pPr>
            <w:r/>
            <w:r>
              <w:rPr>
                <w:rFonts w:ascii="Segoe UI" w:hAnsi="Segoe UI" w:cs="Segoe UI" w:eastAsia="Segoe UI"/>
                <w:b/>
                <w:i w:val="0"/>
                <w:color w:val="0E2A47"/>
                <w:sz w:val="16"/>
              </w:rPr>
              <w:t>writeInterval</w:t>
            </w:r>
          </w:p>
        </w:tc>
        <w:tc>
          <w:tcPr>
            <w:tcW w:type="dxa" w:w="3528"/>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100 time steps (1.00 s at 0.01 s: 1.15 samples per period, below the 2-per-period Nyquist limit)</w:t>
            </w:r>
          </w:p>
        </w:tc>
        <w:tc>
          <w:tcPr>
            <w:tcW w:type="dxa" w:w="1800"/>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0.0461 s</w:t>
            </w:r>
          </w:p>
        </w:tc>
        <w:tc>
          <w:tcPr>
            <w:tcW w:type="dxa" w:w="2951"/>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MS §4: at least 25 samples per period</w:t>
            </w:r>
          </w:p>
        </w:tc>
      </w:tr>
      <w:tr>
        <w:trPr>
          <w:cantSplit/>
        </w:trPr>
        <w:tc>
          <w:tcPr>
            <w:tcW w:type="dxa" w:w="1512"/>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i w:val="0"/>
                <w:color w:val="0E2A47"/>
                <w:sz w:val="16"/>
              </w:rPr>
              <w:t>writePrecision</w:t>
            </w:r>
          </w:p>
        </w:tc>
        <w:tc>
          <w:tcPr>
            <w:tcW w:type="dxa" w:w="3528"/>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6 significant digits</w:t>
            </w:r>
          </w:p>
        </w:tc>
        <w:tc>
          <w:tcPr>
            <w:tcW w:type="dxa" w:w="1800"/>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8 significant digits</w:t>
            </w:r>
          </w:p>
        </w:tc>
        <w:tc>
          <w:tcPr>
            <w:tcW w:type="dxa" w:w="2951"/>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Firm reference</w:t>
            </w:r>
          </w:p>
        </w:tc>
      </w:tr>
      <w:tr>
        <w:trPr>
          <w:cantSplit/>
        </w:trPr>
        <w:tc>
          <w:tcPr>
            <w:tcW w:type="dxa" w:w="1512"/>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top"/>
          </w:tcPr>
          <w:p>
            <w:pPr>
              <w:spacing w:before="0" w:after="0" w:line="259" w:lineRule="auto"/>
            </w:pPr>
            <w:r/>
            <w:r>
              <w:rPr>
                <w:rFonts w:ascii="Segoe UI" w:hAnsi="Segoe UI" w:cs="Segoe UI" w:eastAsia="Segoe UI"/>
                <w:b/>
                <w:i w:val="0"/>
                <w:color w:val="0E2A47"/>
                <w:sz w:val="16"/>
              </w:rPr>
              <w:t>maxCo</w:t>
            </w:r>
          </w:p>
        </w:tc>
        <w:tc>
          <w:tcPr>
            <w:tcW w:type="dxa" w:w="3528"/>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absent</w:t>
            </w:r>
          </w:p>
        </w:tc>
        <w:tc>
          <w:tcPr>
            <w:tcW w:type="dxa" w:w="1800"/>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0.9 (–)</w:t>
            </w:r>
          </w:p>
        </w:tc>
        <w:tc>
          <w:tcPr>
            <w:tcW w:type="dxa" w:w="2951"/>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MS §4, mandatory</w:t>
            </w:r>
          </w:p>
        </w:tc>
      </w:tr>
      <w:tr>
        <w:trPr>
          <w:cantSplit/>
        </w:trPr>
        <w:tc>
          <w:tcPr>
            <w:tcW w:type="dxa" w:w="1512"/>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i w:val="0"/>
                <w:color w:val="0E2A47"/>
                <w:sz w:val="16"/>
              </w:rPr>
              <w:t>maxDeltaT</w:t>
            </w:r>
          </w:p>
        </w:tc>
        <w:tc>
          <w:tcPr>
            <w:tcW w:type="dxa" w:w="3528"/>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absent</w:t>
            </w:r>
          </w:p>
        </w:tc>
        <w:tc>
          <w:tcPr>
            <w:tcW w:type="dxa" w:w="1800"/>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0.01 s</w:t>
            </w:r>
          </w:p>
        </w:tc>
        <w:tc>
          <w:tcPr>
            <w:tcW w:type="dxa" w:w="2951"/>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MS §4; ceiling from the firm reference dictionary</w:t>
            </w:r>
          </w:p>
        </w:tc>
      </w:tr>
    </w:tbl>
    <w:p>
      <w:pPr>
        <w:spacing w:after="80" w:line="192" w:lineRule="auto"/>
      </w:pPr>
    </w:p>
    <w:p>
      <w:pPr>
        <w:spacing w:before="0" w:after="120"/>
      </w:pPr>
      <w:r>
        <w:rPr>
          <w:rFonts w:ascii="Segoe UI" w:hAnsi="Segoe UI" w:cs="Segoe UI" w:eastAsia="Segoe UI"/>
          <w:b w:val="0"/>
          <w:i w:val="0"/>
          <w:color w:val="1F2937"/>
          <w:sz w:val="19"/>
        </w:rPr>
        <w:t>Unchanged in both: application fireFoam; startTime 0 s; stopAt endTime; purgeWrite 0 (all time directories kept); writeFormat ascii; writeCompression off; timeFormat general; runTimeModifiable true. The delivered endTime of 2000 is not what attempt 3 ran (800 outer iterations at unit increments, per its log); the dictionary appears staged for a further steady attempt.</w:t>
      </w:r>
    </w:p>
    <w:p>
      <w:pPr>
        <w:pStyle w:val="Heading2"/>
      </w:pPr>
      <w:r>
        <w:t>5.4  Launch conditions</w:t>
      </w:r>
    </w:p>
    <w:p>
      <w:pPr>
        <w:spacing w:after="60"/>
        <w:ind w:left="518" w:hanging="374"/>
      </w:pPr>
      <w:r>
        <w:rPr>
          <w:rFonts w:ascii="Segoe UI" w:hAnsi="Segoe UI" w:cs="Segoe UI" w:eastAsia="Segoe UI"/>
          <w:b/>
          <w:i w:val="0"/>
          <w:color w:val="006699"/>
          <w:sz w:val="20"/>
        </w:rPr>
        <w:t xml:space="preserve">1.  </w:t>
      </w:r>
      <w:r>
        <w:rPr>
          <w:rFonts w:ascii="Segoe UI" w:hAnsi="Segoe UI" w:cs="Segoe UI" w:eastAsia="Segoe UI"/>
          <w:b w:val="0"/>
          <w:i w:val="0"/>
          <w:color w:val="1F2937"/>
          <w:sz w:val="20"/>
        </w:rPr>
        <w:t>Start in a clean case directory holding only the 0/ set built for the authorized physics. The attempt-3 time directories (100 to 800) must not be present, because startFrom latestTime would otherwise pick up the steady RANS iterate. Restarts use only this run's own time directories.</w:t>
      </w:r>
    </w:p>
    <w:p>
      <w:pPr>
        <w:spacing w:after="60"/>
        <w:ind w:left="518" w:hanging="374"/>
      </w:pPr>
      <w:r>
        <w:rPr>
          <w:rFonts w:ascii="Segoe UI" w:hAnsi="Segoe UI" w:cs="Segoe UI" w:eastAsia="Segoe UI"/>
          <w:b/>
          <w:i w:val="0"/>
          <w:color w:val="006699"/>
          <w:sz w:val="20"/>
        </w:rPr>
        <w:t xml:space="preserve">2.  </w:t>
      </w:r>
      <w:r>
        <w:rPr>
          <w:rFonts w:ascii="Segoe UI" w:hAnsi="Segoe UI" w:cs="Segoe UI" w:eastAsia="Segoe UI"/>
          <w:b w:val="0"/>
          <w:i w:val="0"/>
          <w:color w:val="1F2937"/>
          <w:sz w:val="20"/>
        </w:rPr>
        <w:t>Physics as in the Section 4.2 "Shall be" column, with the regime call, SGS closure, radiation banding, solid property tables and inlet settings recorded in the case-setup memo before launch (peer-review checklist items 2, 3 and 5).</w:t>
      </w:r>
    </w:p>
    <w:p>
      <w:pPr>
        <w:spacing w:after="60"/>
        <w:ind w:left="518" w:hanging="374"/>
      </w:pPr>
      <w:r>
        <w:rPr>
          <w:rFonts w:ascii="Segoe UI" w:hAnsi="Segoe UI" w:cs="Segoe UI" w:eastAsia="Segoe UI"/>
          <w:b/>
          <w:i w:val="0"/>
          <w:color w:val="006699"/>
          <w:sz w:val="20"/>
        </w:rPr>
        <w:t xml:space="preserve">3.  </w:t>
      </w:r>
      <w:r>
        <w:rPr>
          <w:rFonts w:ascii="Segoe UI" w:hAnsi="Segoe UI" w:cs="Segoe UI" w:eastAsia="Segoe UI"/>
          <w:b w:val="0"/>
          <w:i w:val="0"/>
          <w:color w:val="1F2937"/>
          <w:sz w:val="20"/>
        </w:rPr>
        <w:t>Inlet as in Section 7.2; geometry OAS-WUI-01_revC; tie-embedment refinement confirmed as in Section 6.3.</w:t>
      </w:r>
    </w:p>
    <w:p>
      <w:pPr>
        <w:spacing w:after="60"/>
        <w:ind w:left="518" w:hanging="374"/>
      </w:pPr>
      <w:r>
        <w:rPr>
          <w:rFonts w:ascii="Segoe UI" w:hAnsi="Segoe UI" w:cs="Segoe UI" w:eastAsia="Segoe UI"/>
          <w:b/>
          <w:i w:val="0"/>
          <w:color w:val="006699"/>
          <w:sz w:val="20"/>
        </w:rPr>
        <w:t xml:space="preserve">4.  </w:t>
      </w:r>
      <w:r>
        <w:rPr>
          <w:rFonts w:ascii="Segoe UI" w:hAnsi="Segoe UI" w:cs="Segoe UI" w:eastAsia="Segoe UI"/>
          <w:b w:val="0"/>
          <w:i w:val="0"/>
          <w:color w:val="1F2937"/>
          <w:sz w:val="20"/>
        </w:rPr>
        <w:t>Monitors as in Section 4.2 (Monitors row), sampled every time step.</w:t>
      </w:r>
    </w:p>
    <w:p>
      <w:pPr>
        <w:spacing w:after="60"/>
        <w:ind w:left="518" w:hanging="374"/>
      </w:pPr>
      <w:r>
        <w:rPr>
          <w:rFonts w:ascii="Segoe UI" w:hAnsi="Segoe UI" w:cs="Segoe UI" w:eastAsia="Segoe UI"/>
          <w:b/>
          <w:i w:val="0"/>
          <w:color w:val="006699"/>
          <w:sz w:val="20"/>
        </w:rPr>
        <w:t xml:space="preserve">5.  </w:t>
      </w:r>
      <w:r>
        <w:rPr>
          <w:rFonts w:ascii="Segoe UI" w:hAnsi="Segoe UI" w:cs="Segoe UI" w:eastAsia="Segoe UI"/>
          <w:b w:val="0"/>
          <w:i w:val="0"/>
          <w:color w:val="1F2937"/>
          <w:sz w:val="20"/>
        </w:rPr>
        <w:t>Confirm on the monitors that the initial transient has cleared by 8.00 s. If it has not, extend endTime during the run (runTimeModifiable true) so that 20 full periods, 23.09 s, follow the observed clearance.</w:t>
      </w:r>
    </w:p>
    <w:p>
      <w:pPr>
        <w:spacing w:after="60"/>
        <w:ind w:left="518" w:hanging="374"/>
      </w:pPr>
      <w:r>
        <w:rPr>
          <w:rFonts w:ascii="Segoe UI" w:hAnsi="Segoe UI" w:cs="Segoe UI" w:eastAsia="Segoe UI"/>
          <w:b/>
          <w:i w:val="0"/>
          <w:color w:val="006699"/>
          <w:sz w:val="20"/>
        </w:rPr>
        <w:t xml:space="preserve">6.  </w:t>
      </w:r>
      <w:r>
        <w:rPr>
          <w:rFonts w:ascii="Segoe UI" w:hAnsi="Segoe UI" w:cs="Segoe UI" w:eastAsia="Segoe UI"/>
          <w:b w:val="0"/>
          <w:i w:val="0"/>
          <w:color w:val="1F2937"/>
          <w:sz w:val="20"/>
        </w:rPr>
        <w:t>Fix and record the core count for all six cases, and log solver wall clock separately from queue, staging, decomposition and post-processing (Section 8).</w:t>
      </w:r>
    </w:p>
    <w:p>
      <w:pPr>
        <w:spacing w:after="100"/>
        <w:ind w:left="518" w:hanging="374"/>
      </w:pPr>
      <w:r>
        <w:rPr>
          <w:rFonts w:ascii="Segoe UI" w:hAnsi="Segoe UI" w:cs="Segoe UI" w:eastAsia="Segoe UI"/>
          <w:b/>
          <w:i w:val="0"/>
          <w:color w:val="006699"/>
          <w:sz w:val="20"/>
        </w:rPr>
        <w:t xml:space="preserve">7.  </w:t>
      </w:r>
      <w:r>
        <w:rPr>
          <w:rFonts w:ascii="Segoe UI" w:hAnsi="Segoe UI" w:cs="Segoe UI" w:eastAsia="Segoe UI"/>
          <w:b w:val="0"/>
          <w:i w:val="0"/>
          <w:color w:val="1F2937"/>
          <w:sz w:val="20"/>
        </w:rPr>
        <w:t>Plan storage for about 675 full field writes per case at 0.0461 s.</w:t>
      </w:r>
    </w:p>
    <w:p>
      <w:pPr>
        <w:pStyle w:val="Heading1"/>
        <w:pBdr>
          <w:bottom w:val="single" w:sz="8" w:space="3" w:color="0E2A47"/>
        </w:pBdr>
      </w:pPr>
      <w:r>
        <w:t>6.  Mesh and Verification</w:t>
      </w:r>
    </w:p>
    <w:p>
      <w:pPr>
        <w:pStyle w:val="Heading2"/>
      </w:pPr>
      <w:r>
        <w:t>6.1  The mesh attempt 3 ran on</w:t>
      </w:r>
    </w:p>
    <w:p>
      <w:pPr>
        <w:spacing w:before="0" w:after="120"/>
      </w:pPr>
      <w:r>
        <w:rPr>
          <w:rFonts w:ascii="Segoe UI" w:hAnsi="Segoe UI" w:cs="Segoe UI" w:eastAsia="Segoe UI"/>
          <w:b w:val="0"/>
          <w:i w:val="0"/>
          <w:color w:val="1F2937"/>
          <w:sz w:val="20"/>
        </w:rPr>
        <w:t>The firm's production mesh (D03), built by R. Ellsworth on 10/09/2025 (borrego job 41287) from OAS-WUI-01_revC as received with the SOW: 11,214,862 cells; domain (−60, −60, 0) m to (60, 60, 40) m; five cellZones — atmosphere 9,872,108, outer leaf 582,214, cavity 212,486, inner leaf 460,872 and ties 87,182 cells; 0.5 m cells in the plume core, 0.0625 m in the wall assembly and cavity, 0.03125 m at the ties; checkMesh passed (maximum non-orthogonality 58.34°, maximum skewness 2.14 (–)). The attempt-3 log reports identical counts and quality figures. The mesh is not Mulshi's and is not a product of attempt 3.</w:t>
      </w:r>
    </w:p>
    <w:p>
      <w:pPr>
        <w:pStyle w:val="Heading2"/>
      </w:pPr>
      <w:r>
        <w:t>6.2  What our verification covers</w:t>
      </w:r>
    </w:p>
    <w:p>
      <w:pPr>
        <w:keepNext/>
        <w:spacing w:before="0" w:after="40"/>
      </w:pPr>
      <w:r>
        <w:rPr>
          <w:rFonts w:ascii="Segoe UI" w:hAnsi="Segoe UI" w:cs="Segoe UI" w:eastAsia="Segoe UI"/>
          <w:b w:val="0"/>
          <w:i w:val="0"/>
          <w:color w:val="1F2937"/>
          <w:sz w:val="20"/>
        </w:rPr>
        <w:t>The three-grid LES resolution study (D04, in review):</w:t>
      </w:r>
    </w:p>
    <w:p>
      <w:pPr>
        <w:spacing w:after="60"/>
        <w:ind w:left="461" w:hanging="259"/>
      </w:pPr>
      <w:r>
        <w:rPr>
          <w:rFonts w:ascii="Segoe UI" w:hAnsi="Segoe UI" w:cs="Segoe UI" w:eastAsia="Segoe UI"/>
          <w:b/>
          <w:i w:val="0"/>
          <w:color w:val="006699"/>
          <w:sz w:val="20"/>
        </w:rPr>
        <w:t xml:space="preserve">•  </w:t>
      </w:r>
      <w:r>
        <w:rPr>
          <w:rFonts w:ascii="Segoe UI" w:hAnsi="Segoe UI" w:cs="Segoe UI" w:eastAsia="Segoe UI"/>
          <w:b w:val="0"/>
          <w:i w:val="0"/>
          <w:color w:val="1F2937"/>
          <w:sz w:val="20"/>
        </w:rPr>
        <w:t>Plume resolution index D*/dx = 3.76 m / 0.5 m = 7.52 (–), inside the 5–10 (–) band of QA VS §5.1, with D* from the 30.1 MW design heat release rate.</w:t>
      </w:r>
    </w:p>
    <w:p>
      <w:pPr>
        <w:spacing w:after="60"/>
        <w:ind w:left="461" w:hanging="259"/>
      </w:pPr>
      <w:r>
        <w:rPr>
          <w:rFonts w:ascii="Segoe UI" w:hAnsi="Segoe UI" w:cs="Segoe UI" w:eastAsia="Segoe UI"/>
          <w:b/>
          <w:i w:val="0"/>
          <w:color w:val="006699"/>
          <w:sz w:val="20"/>
        </w:rPr>
        <w:t xml:space="preserve">•  </w:t>
      </w:r>
      <w:r>
        <w:rPr>
          <w:rFonts w:ascii="Segoe UI" w:hAnsi="Segoe UI" w:cs="Segoe UI" w:eastAsia="Segoe UI"/>
          <w:b w:val="0"/>
          <w:i w:val="0"/>
          <w:color w:val="1F2937"/>
          <w:sz w:val="20"/>
        </w:rPr>
        <w:t>Pope resolved-TKE fraction 0.84 (84 %) at the plume-axis probe 0.75·D* above the source on the study's fine grid (11,196,000 cells), above the 0.80 (80 %) minimum of QA VS §5.2.</w:t>
      </w:r>
    </w:p>
    <w:p>
      <w:pPr>
        <w:spacing w:after="60"/>
        <w:ind w:left="461" w:hanging="259"/>
      </w:pPr>
      <w:r>
        <w:rPr>
          <w:rFonts w:ascii="Segoe UI" w:hAnsi="Segoe UI" w:cs="Segoe UI" w:eastAsia="Segoe UI"/>
          <w:b/>
          <w:i w:val="0"/>
          <w:color w:val="006699"/>
          <w:sz w:val="20"/>
        </w:rPr>
        <w:t xml:space="preserve">•  </w:t>
      </w:r>
      <w:r>
        <w:rPr>
          <w:rFonts w:ascii="Segoe UI" w:hAnsi="Segoe UI" w:cs="Segoe UI" w:eastAsia="Segoe UI"/>
          <w:b w:val="0"/>
          <w:i w:val="0"/>
          <w:color w:val="1F2937"/>
          <w:sz w:val="20"/>
        </w:rPr>
        <w:t>Puffing period recovered on all three grids: 1.14 s, 1.15 s, 1.15 s.</w:t>
      </w:r>
    </w:p>
    <w:p>
      <w:pPr>
        <w:spacing w:before="0" w:after="120"/>
      </w:pPr>
      <w:r>
        <w:rPr>
          <w:rFonts w:ascii="Segoe UI" w:hAnsi="Segoe UI" w:cs="Segoe UI" w:eastAsia="Segoe UI"/>
          <w:b w:val="0"/>
          <w:i w:val="0"/>
          <w:color w:val="1F2937"/>
          <w:sz w:val="20"/>
        </w:rPr>
        <w:t>For the production mesh itself, the only check on record is mesh quality (checkMesh).</w:t>
      </w:r>
    </w:p>
    <w:p>
      <w:pPr>
        <w:pStyle w:val="Heading2"/>
      </w:pPr>
      <w:r>
        <w:t>6.3  What it does not cover</w:t>
      </w:r>
    </w:p>
    <w:p>
      <w:pPr>
        <w:spacing w:after="60"/>
        <w:ind w:left="461" w:hanging="259"/>
      </w:pPr>
      <w:r>
        <w:rPr>
          <w:rFonts w:ascii="Segoe UI" w:hAnsi="Segoe UI" w:cs="Segoe UI" w:eastAsia="Segoe UI"/>
          <w:b/>
          <w:i w:val="0"/>
          <w:color w:val="006699"/>
          <w:sz w:val="20"/>
        </w:rPr>
        <w:t xml:space="preserve">•  </w:t>
      </w:r>
      <w:r>
        <w:rPr>
          <w:rFonts w:ascii="Segoe UI" w:hAnsi="Segoe UI" w:cs="Segoe UI" w:eastAsia="Segoe UI"/>
          <w:b/>
          <w:i w:val="0"/>
          <w:color w:val="1F2937"/>
          <w:sz w:val="20"/>
        </w:rPr>
        <w:t>The production mesh is not one of the study grids.</w:t>
      </w:r>
      <w:r>
        <w:rPr>
          <w:rFonts w:ascii="Segoe UI" w:hAnsi="Segoe UI" w:cs="Segoe UI" w:eastAsia="Segoe UI"/>
          <w:b w:val="0"/>
          <w:i w:val="0"/>
          <w:color w:val="1F2937"/>
          <w:sz w:val="20"/>
        </w:rPr>
        <w:t xml:space="preserve"> The study was fluid-only: domain top 60 m, one fireRefinementZone, patches inlet_240 / inlet_270 / outlet / top / ground, a cylindrical source zone. The production mesh has a 40 m domain top, five cellZones including the conjugate wall assembly and ties, patches inlet_west / outlet_east / lateral_north / lateral_south / atmosphere_top, and a 3.0 m × 0.15 m plumeSource patch. Only the 0.5 m resolution basis carries across, as the mesh log itself states; the near-equal cell counts are coincidental.</w:t>
      </w:r>
    </w:p>
    <w:p>
      <w:pPr>
        <w:spacing w:after="60"/>
        <w:ind w:left="461" w:hanging="259"/>
      </w:pPr>
      <w:r>
        <w:rPr>
          <w:rFonts w:ascii="Segoe UI" w:hAnsi="Segoe UI" w:cs="Segoe UI" w:eastAsia="Segoe UI"/>
          <w:b/>
          <w:i w:val="0"/>
          <w:color w:val="006699"/>
          <w:sz w:val="20"/>
        </w:rPr>
        <w:t xml:space="preserve">•  </w:t>
      </w:r>
      <w:r>
        <w:rPr>
          <w:rFonts w:ascii="Segoe UI" w:hAnsi="Segoe UI" w:cs="Segoe UI" w:eastAsia="Segoe UI"/>
          <w:b/>
          <w:i w:val="0"/>
          <w:color w:val="1F2937"/>
          <w:sz w:val="20"/>
        </w:rPr>
        <w:t>Pope criterion on the production mesh:</w:t>
      </w:r>
      <w:r>
        <w:rPr>
          <w:rFonts w:ascii="Segoe UI" w:hAnsi="Segoe UI" w:cs="Segoe UI" w:eastAsia="Segoe UI"/>
          <w:b w:val="0"/>
          <w:i w:val="0"/>
          <w:color w:val="1F2937"/>
          <w:sz w:val="20"/>
        </w:rPr>
        <w:t xml:space="preserve"> not yet evaluated. It needs the authorized run, whose 23.09 s post-startup window exceeds the 10-period (11.55 s) averaging minimum.</w:t>
      </w:r>
    </w:p>
    <w:p>
      <w:pPr>
        <w:spacing w:after="60"/>
        <w:ind w:left="461" w:hanging="259"/>
      </w:pPr>
      <w:r>
        <w:rPr>
          <w:rFonts w:ascii="Segoe UI" w:hAnsi="Segoe UI" w:cs="Segoe UI" w:eastAsia="Segoe UI"/>
          <w:b/>
          <w:i w:val="0"/>
          <w:color w:val="006699"/>
          <w:sz w:val="20"/>
        </w:rPr>
        <w:t xml:space="preserve">•  </w:t>
      </w:r>
      <w:r>
        <w:rPr>
          <w:rFonts w:ascii="Segoe UI" w:hAnsi="Segoe UI" w:cs="Segoe UI" w:eastAsia="Segoe UI"/>
          <w:b/>
          <w:i w:val="0"/>
          <w:color w:val="1F2937"/>
          <w:sz w:val="20"/>
        </w:rPr>
        <w:t>Conjugate regions</w:t>
      </w:r>
      <w:r>
        <w:rPr>
          <w:rFonts w:ascii="Segoe UI" w:hAnsi="Segoe UI" w:cs="Segoe UI" w:eastAsia="Segoe UI"/>
          <w:b w:val="0"/>
          <w:i w:val="0"/>
          <w:color w:val="1F2937"/>
          <w:sz w:val="20"/>
        </w:rPr>
        <w:t xml:space="preserve"> — leaves, cavity radiation, ties — were in no verification run. On the mesh record the tie–concrete interface is at 0.03125 m against 0.0625 m in the wall assembly, a 2:1 ratio; MS §6 requires at least 4:1 (0.015625 m or finer at the embedment). Confirm on the mesh and refine, or disposition in writing, before the conjugate run.</w:t>
      </w:r>
    </w:p>
    <w:p>
      <w:pPr>
        <w:spacing w:after="60"/>
        <w:ind w:left="461" w:hanging="259"/>
      </w:pPr>
      <w:r>
        <w:rPr>
          <w:rFonts w:ascii="Segoe UI" w:hAnsi="Segoe UI" w:cs="Segoe UI" w:eastAsia="Segoe UI"/>
          <w:b/>
          <w:i w:val="0"/>
          <w:color w:val="006699"/>
          <w:sz w:val="20"/>
        </w:rPr>
        <w:t xml:space="preserve">•  </w:t>
      </w:r>
      <w:r>
        <w:rPr>
          <w:rFonts w:ascii="Segoe UI" w:hAnsi="Segoe UI" w:cs="Segoe UI" w:eastAsia="Segoe UI"/>
          <w:b/>
          <w:i w:val="0"/>
          <w:color w:val="1F2937"/>
          <w:sz w:val="20"/>
        </w:rPr>
        <w:t>Domain-top reduction</w:t>
      </w:r>
      <w:r>
        <w:rPr>
          <w:rFonts w:ascii="Segoe UI" w:hAnsi="Segoe UI" w:cs="Segoe UI" w:eastAsia="Segoe UI"/>
          <w:b w:val="0"/>
          <w:i w:val="0"/>
          <w:color w:val="1F2937"/>
          <w:sz w:val="20"/>
        </w:rPr>
        <w:t xml:space="preserve"> from 60 m to 40 m: sensitivity not assessed.</w:t>
      </w:r>
    </w:p>
    <w:p>
      <w:pPr>
        <w:spacing w:after="60"/>
        <w:ind w:left="461" w:hanging="259"/>
      </w:pPr>
      <w:r>
        <w:rPr>
          <w:rFonts w:ascii="Segoe UI" w:hAnsi="Segoe UI" w:cs="Segoe UI" w:eastAsia="Segoe UI"/>
          <w:b/>
          <w:i w:val="0"/>
          <w:color w:val="006699"/>
          <w:sz w:val="20"/>
        </w:rPr>
        <w:t xml:space="preserve">•  </w:t>
      </w:r>
      <w:r>
        <w:rPr>
          <w:rFonts w:ascii="Segoe UI" w:hAnsi="Segoe UI" w:cs="Segoe UI" w:eastAsia="Segoe UI"/>
          <w:b/>
          <w:i w:val="0"/>
          <w:color w:val="1F2937"/>
          <w:sz w:val="20"/>
        </w:rPr>
        <w:t>No GCI</w:t>
      </w:r>
      <w:r>
        <w:rPr>
          <w:rFonts w:ascii="Segoe UI" w:hAnsi="Segoe UI" w:cs="Segoe UI" w:eastAsia="Segoe UI"/>
          <w:b w:val="0"/>
          <w:i w:val="0"/>
          <w:color w:val="1F2937"/>
          <w:sz w:val="20"/>
        </w:rPr>
        <w:t xml:space="preserve"> is computed or permitted from the three-grid set (QA VS §4, §6). Its non-monotonic T_peak and U_z,peak are expected LES behaviour, and the table may appear only as an appendix sensitivity study.</w:t>
      </w:r>
    </w:p>
    <w:p>
      <w:pPr>
        <w:spacing w:after="100"/>
        <w:ind w:left="461" w:hanging="259"/>
      </w:pPr>
      <w:r>
        <w:rPr>
          <w:rFonts w:ascii="Segoe UI" w:hAnsi="Segoe UI" w:cs="Segoe UI" w:eastAsia="Segoe UI"/>
          <w:b/>
          <w:i w:val="0"/>
          <w:color w:val="006699"/>
          <w:sz w:val="20"/>
        </w:rPr>
        <w:t xml:space="preserve">•  </w:t>
      </w:r>
      <w:r>
        <w:rPr>
          <w:rFonts w:ascii="Segoe UI" w:hAnsi="Segoe UI" w:cs="Segoe UI" w:eastAsia="Segoe UI"/>
          <w:b/>
          <w:i w:val="0"/>
          <w:color w:val="1F2937"/>
          <w:sz w:val="20"/>
        </w:rPr>
        <w:t>Acceptance of the study itself is open</w:t>
      </w:r>
      <w:r>
        <w:rPr>
          <w:rFonts w:ascii="Segoe UI" w:hAnsi="Segoe UI" w:cs="Segoe UI" w:eastAsia="Segoe UI"/>
          <w:b w:val="0"/>
          <w:i w:val="0"/>
          <w:color w:val="1F2937"/>
          <w:sz w:val="20"/>
        </w:rPr>
        <w:t xml:space="preserve"> (D04 in review; peer-review checklist item 4).</w:t>
      </w:r>
    </w:p>
    <w:p>
      <w:pPr>
        <w:pStyle w:val="Heading1"/>
        <w:pBdr>
          <w:bottom w:val="single" w:sz="8" w:space="3" w:color="0E2A47"/>
        </w:pBdr>
      </w:pPr>
      <w:r>
        <w:t>7.  What Carries Forward</w:t>
      </w:r>
    </w:p>
    <w:p>
      <w:pPr>
        <w:pStyle w:val="Heading2"/>
      </w:pPr>
      <w:r>
        <w:t>7.1  Carries forward</w:t>
      </w:r>
    </w:p>
    <w:p>
      <w:pPr>
        <w:keepNext/>
        <w:spacing w:before="0" w:after="40"/>
      </w:pPr>
      <w:r>
        <w:rPr>
          <w:rFonts w:ascii="Segoe UI" w:hAnsi="Segoe UI" w:cs="Segoe UI" w:eastAsia="Segoe UI"/>
          <w:b w:val="0"/>
          <w:i w:val="0"/>
          <w:color w:val="1F2937"/>
          <w:sz w:val="20"/>
        </w:rPr>
        <w:t>MS §7 allows the geometry and a good mesh to be retained; the physics is built new.</w:t>
      </w:r>
    </w:p>
    <w:p>
      <w:pPr>
        <w:spacing w:after="60"/>
        <w:ind w:left="461" w:hanging="259"/>
      </w:pPr>
      <w:r>
        <w:rPr>
          <w:rFonts w:ascii="Segoe UI" w:hAnsi="Segoe UI" w:cs="Segoe UI" w:eastAsia="Segoe UI"/>
          <w:b/>
          <w:i w:val="0"/>
          <w:color w:val="006699"/>
          <w:sz w:val="20"/>
        </w:rPr>
        <w:t xml:space="preserve">•  </w:t>
      </w:r>
      <w:r>
        <w:rPr>
          <w:rFonts w:ascii="Segoe UI" w:hAnsi="Segoe UI" w:cs="Segoe UI" w:eastAsia="Segoe UI"/>
          <w:b/>
          <w:i w:val="0"/>
          <w:color w:val="1F2937"/>
          <w:sz w:val="20"/>
        </w:rPr>
        <w:t>Geometry of record OAS-WUI-01_revC</w:t>
      </w:r>
      <w:r>
        <w:rPr>
          <w:rFonts w:ascii="Segoe UI" w:hAnsi="Segoe UI" w:cs="Segoe UI" w:eastAsia="Segoe UI"/>
          <w:b w:val="0"/>
          <w:i w:val="0"/>
          <w:color w:val="1F2937"/>
          <w:sz w:val="20"/>
        </w:rPr>
        <w:t xml:space="preserve"> (SOW §2). revD arrived 10/09/2025 16:12 MST, after the mesh was built and while attempt 3 was running. A geometry revision superseding the geometry of record needs an executed change order (SOW §8), and none exists (CO-001 and CO-002 only). revD is not used; adopting it would need a new mesh, verification and cost basis.</w:t>
      </w:r>
    </w:p>
    <w:p>
      <w:pPr>
        <w:spacing w:after="60"/>
        <w:ind w:left="461" w:hanging="259"/>
      </w:pPr>
      <w:r>
        <w:rPr>
          <w:rFonts w:ascii="Segoe UI" w:hAnsi="Segoe UI" w:cs="Segoe UI" w:eastAsia="Segoe UI"/>
          <w:b/>
          <w:i w:val="0"/>
          <w:color w:val="006699"/>
          <w:sz w:val="20"/>
        </w:rPr>
        <w:t xml:space="preserve">•  </w:t>
      </w:r>
      <w:r>
        <w:rPr>
          <w:rFonts w:ascii="Segoe UI" w:hAnsi="Segoe UI" w:cs="Segoe UI" w:eastAsia="Segoe UI"/>
          <w:b/>
          <w:i w:val="0"/>
          <w:color w:val="1F2937"/>
          <w:sz w:val="20"/>
        </w:rPr>
        <w:t>The production mesh (D03)</w:t>
      </w:r>
      <w:r>
        <w:rPr>
          <w:rFonts w:ascii="Segoe UI" w:hAnsi="Segoe UI" w:cs="Segoe UI" w:eastAsia="Segoe UI"/>
          <w:b w:val="0"/>
          <w:i w:val="0"/>
          <w:color w:val="1F2937"/>
          <w:sz w:val="20"/>
        </w:rPr>
        <w:t>, its patch naming and cellZone topology, subject to the tie-embedment check in Section 6.3.</w:t>
      </w:r>
    </w:p>
    <w:p>
      <w:pPr>
        <w:spacing w:after="60"/>
        <w:ind w:left="461" w:hanging="259"/>
      </w:pPr>
      <w:r>
        <w:rPr>
          <w:rFonts w:ascii="Segoe UI" w:hAnsi="Segoe UI" w:cs="Segoe UI" w:eastAsia="Segoe UI"/>
          <w:b/>
          <w:i w:val="0"/>
          <w:color w:val="006699"/>
          <w:sz w:val="20"/>
        </w:rPr>
        <w:t xml:space="preserve">•  </w:t>
      </w:r>
      <w:r>
        <w:rPr>
          <w:rFonts w:ascii="Segoe UI" w:hAnsi="Segoe UI" w:cs="Segoe UI" w:eastAsia="Segoe UI"/>
          <w:b/>
          <w:i w:val="0"/>
          <w:color w:val="1F2937"/>
          <w:sz w:val="20"/>
        </w:rPr>
        <w:t>From Case/system/controlDict:</w:t>
      </w:r>
      <w:r>
        <w:rPr>
          <w:rFonts w:ascii="Segoe UI" w:hAnsi="Segoe UI" w:cs="Segoe UI" w:eastAsia="Segoe UI"/>
          <w:b w:val="0"/>
          <w:i w:val="0"/>
          <w:color w:val="1F2937"/>
          <w:sz w:val="20"/>
        </w:rPr>
        <w:t xml:space="preserve"> application fireFoam and the unchanged entries listed in Section 5.3.</w:t>
      </w:r>
    </w:p>
    <w:p>
      <w:pPr>
        <w:spacing w:after="100"/>
        <w:ind w:left="461" w:hanging="259"/>
      </w:pPr>
      <w:r>
        <w:rPr>
          <w:rFonts w:ascii="Segoe UI" w:hAnsi="Segoe UI" w:cs="Segoe UI" w:eastAsia="Segoe UI"/>
          <w:b/>
          <w:i w:val="0"/>
          <w:color w:val="006699"/>
          <w:sz w:val="20"/>
        </w:rPr>
        <w:t xml:space="preserve">•  </w:t>
      </w:r>
      <w:r>
        <w:rPr>
          <w:rFonts w:ascii="Segoe UI" w:hAnsi="Segoe UI" w:cs="Segoe UI" w:eastAsia="Segoe UI"/>
          <w:b/>
          <w:i w:val="0"/>
          <w:color w:val="1F2937"/>
          <w:sz w:val="20"/>
        </w:rPr>
        <w:t>The inlet boundary-condition type and its defining settings</w:t>
      </w:r>
      <w:r>
        <w:rPr>
          <w:rFonts w:ascii="Segoe UI" w:hAnsi="Segoe UI" w:cs="Segoe UI" w:eastAsia="Segoe UI"/>
          <w:b w:val="0"/>
          <w:i w:val="0"/>
          <w:color w:val="1F2937"/>
          <w:sz w:val="20"/>
        </w:rPr>
        <w:t>, corrected as below.</w:t>
      </w:r>
    </w:p>
    <w:p>
      <w:pPr>
        <w:pStyle w:val="Heading2"/>
      </w:pPr>
      <w:r>
        <w:t>7.2  The inlet's defining settings</w:t>
      </w:r>
    </w:p>
    <w:tbl>
      <w:tblPr>
        <w:tblW w:type="auto" w:w="0"/>
        <w:jc w:val="center"/>
        <w:tblLayout w:type="fixed"/>
        <w:tblLayout w:type="fixed"/>
        <w:tblLook w:firstColumn="1" w:firstRow="1" w:lastColumn="0" w:lastRow="0" w:noHBand="0" w:noVBand="1" w:val="04A0"/>
      </w:tblPr>
      <w:tblGrid>
        <w:gridCol w:w="1800"/>
        <w:gridCol w:w="2951"/>
        <w:gridCol w:w="5040"/>
      </w:tblGrid>
      <w:tr>
        <w:trPr>
          <w:tblHeader/>
          <w:cantSplit/>
        </w:trPr>
        <w:tc>
          <w:tcPr>
            <w:tcW w:type="dxa" w:w="1800"/>
            <w:tcBorders>
              <w:top w:val="single" w:sz="4" w:space="0" w:color="A0AEC0"/>
              <w:left w:val="single" w:sz="4" w:space="0" w:color="A0AEC0"/>
              <w:bottom w:val="single" w:sz="4" w:space="0" w:color="A0AEC0"/>
              <w:right w:val="single" w:sz="4" w:space="0" w:color="A0AEC0"/>
            </w:tcBorders>
            <w:shd w:val="clear" w:color="auto" w:fill="0E2A47"/>
            <w:tcMar>
              <w:top w:w="80" w:type="dxa"/>
              <w:bottom w:w="80" w:type="dxa"/>
              <w:left w:w="110" w:type="dxa"/>
              <w:right w:w="110" w:type="dxa"/>
            </w:tcMar>
            <w:vAlign w:val="center"/>
          </w:tcPr>
          <w:p>
            <w:pPr>
              <w:keepNext/>
              <w:spacing w:before="0" w:after="0" w:line="259" w:lineRule="auto"/>
            </w:pPr>
            <w:r/>
            <w:r>
              <w:rPr>
                <w:rFonts w:ascii="Segoe UI" w:hAnsi="Segoe UI" w:cs="Segoe UI" w:eastAsia="Segoe UI"/>
                <w:b/>
                <w:i w:val="0"/>
                <w:color w:val="FFFFFF"/>
                <w:sz w:val="16"/>
              </w:rPr>
              <w:t>Setting</w:t>
            </w:r>
          </w:p>
        </w:tc>
        <w:tc>
          <w:tcPr>
            <w:tcW w:type="dxa" w:w="2951"/>
            <w:tcBorders>
              <w:top w:val="single" w:sz="4" w:space="0" w:color="A0AEC0"/>
              <w:left w:val="single" w:sz="4" w:space="0" w:color="A0AEC0"/>
              <w:bottom w:val="single" w:sz="4" w:space="0" w:color="A0AEC0"/>
              <w:right w:val="single" w:sz="4" w:space="0" w:color="A0AEC0"/>
            </w:tcBorders>
            <w:shd w:val="clear" w:color="auto" w:fill="0E2A47"/>
            <w:tcMar>
              <w:top w:w="80" w:type="dxa"/>
              <w:bottom w:w="80" w:type="dxa"/>
              <w:left w:w="110" w:type="dxa"/>
              <w:right w:w="110" w:type="dxa"/>
            </w:tcMar>
            <w:vAlign w:val="center"/>
          </w:tcPr>
          <w:p>
            <w:pPr>
              <w:keepNext/>
              <w:spacing w:before="0" w:after="0" w:line="259" w:lineRule="auto"/>
            </w:pPr>
            <w:r/>
            <w:r>
              <w:rPr>
                <w:rFonts w:ascii="Segoe UI" w:hAnsi="Segoe UI" w:cs="Segoe UI" w:eastAsia="Segoe UI"/>
                <w:b/>
                <w:i w:val="0"/>
                <w:color w:val="FFFFFF"/>
                <w:sz w:val="16"/>
              </w:rPr>
              <w:t>Delivered (attempt-3 log)</w:t>
            </w:r>
          </w:p>
        </w:tc>
        <w:tc>
          <w:tcPr>
            <w:tcW w:type="dxa" w:w="5040"/>
            <w:tcBorders>
              <w:top w:val="single" w:sz="4" w:space="0" w:color="A0AEC0"/>
              <w:left w:val="single" w:sz="4" w:space="0" w:color="A0AEC0"/>
              <w:bottom w:val="single" w:sz="4" w:space="0" w:color="A0AEC0"/>
              <w:right w:val="single" w:sz="4" w:space="0" w:color="A0AEC0"/>
            </w:tcBorders>
            <w:shd w:val="clear" w:color="auto" w:fill="0E2A47"/>
            <w:tcMar>
              <w:top w:w="80" w:type="dxa"/>
              <w:bottom w:w="80" w:type="dxa"/>
              <w:left w:w="110" w:type="dxa"/>
              <w:right w:w="110" w:type="dxa"/>
            </w:tcMar>
            <w:vAlign w:val="center"/>
          </w:tcPr>
          <w:p>
            <w:pPr>
              <w:keepNext/>
              <w:spacing w:before="0" w:after="0" w:line="259" w:lineRule="auto"/>
            </w:pPr>
            <w:r/>
            <w:r>
              <w:rPr>
                <w:rFonts w:ascii="Segoe UI" w:hAnsi="Segoe UI" w:cs="Segoe UI" w:eastAsia="Segoe UI"/>
                <w:b/>
                <w:i w:val="0"/>
                <w:color w:val="FFFFFF"/>
                <w:sz w:val="16"/>
              </w:rPr>
              <w:t>Carries forward as</w:t>
            </w:r>
          </w:p>
        </w:tc>
      </w:tr>
      <w:tr>
        <w:trPr>
          <w:cantSplit/>
        </w:trPr>
        <w:tc>
          <w:tcPr>
            <w:tcW w:type="dxa" w:w="1800"/>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i w:val="0"/>
                <w:color w:val="0E2A47"/>
                <w:sz w:val="16"/>
              </w:rPr>
              <w:t>Type</w:t>
            </w:r>
          </w:p>
        </w:tc>
        <w:tc>
          <w:tcPr>
            <w:tcW w:type="dxa" w:w="2951"/>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atmBoundaryLayerInletVelocity</w:t>
            </w:r>
          </w:p>
        </w:tc>
        <w:tc>
          <w:tcPr>
            <w:tcW w:type="dxa" w:w="5040"/>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atmBoundaryLayerInletVelocity (MS §3.2)</w:t>
            </w:r>
          </w:p>
        </w:tc>
      </w:tr>
      <w:tr>
        <w:trPr>
          <w:cantSplit/>
        </w:trPr>
        <w:tc>
          <w:tcPr>
            <w:tcW w:type="dxa" w:w="1800"/>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top"/>
          </w:tcPr>
          <w:p>
            <w:pPr>
              <w:spacing w:before="0" w:after="0" w:line="259" w:lineRule="auto"/>
            </w:pPr>
            <w:r/>
            <w:r>
              <w:rPr>
                <w:rFonts w:ascii="Segoe UI" w:hAnsi="Segoe UI" w:cs="Segoe UI" w:eastAsia="Segoe UI"/>
                <w:b/>
                <w:i w:val="0"/>
                <w:color w:val="0E2A47"/>
                <w:sz w:val="16"/>
              </w:rPr>
              <w:t>Uref</w:t>
            </w:r>
          </w:p>
        </w:tc>
        <w:tc>
          <w:tcPr>
            <w:tcW w:type="dxa" w:w="2951"/>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8.0 m/s</w:t>
            </w:r>
          </w:p>
        </w:tc>
        <w:tc>
          <w:tcPr>
            <w:tcW w:type="dxa" w:w="5040"/>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5.0 m/s, 8.0 m/s or 12.0 m/s, per SOW §3.1 case</w:t>
            </w:r>
          </w:p>
        </w:tc>
      </w:tr>
      <w:tr>
        <w:trPr>
          <w:cantSplit/>
        </w:trPr>
        <w:tc>
          <w:tcPr>
            <w:tcW w:type="dxa" w:w="1800"/>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i w:val="0"/>
                <w:color w:val="0E2A47"/>
                <w:sz w:val="16"/>
              </w:rPr>
              <w:t>Zref</w:t>
            </w:r>
          </w:p>
        </w:tc>
        <w:tc>
          <w:tcPr>
            <w:tcW w:type="dxa" w:w="2951"/>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6.1 m</w:t>
            </w:r>
          </w:p>
        </w:tc>
        <w:tc>
          <w:tcPr>
            <w:tcW w:type="dxa" w:w="5040"/>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6.10 m — the SOW reference height, 20 ft × 0.3048 m/ft = 6.096 m</w:t>
            </w:r>
          </w:p>
        </w:tc>
      </w:tr>
      <w:tr>
        <w:trPr>
          <w:cantSplit/>
        </w:trPr>
        <w:tc>
          <w:tcPr>
            <w:tcW w:type="dxa" w:w="1800"/>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top"/>
          </w:tcPr>
          <w:p>
            <w:pPr>
              <w:spacing w:before="0" w:after="0" w:line="259" w:lineRule="auto"/>
            </w:pPr>
            <w:r/>
            <w:r>
              <w:rPr>
                <w:rFonts w:ascii="Segoe UI" w:hAnsi="Segoe UI" w:cs="Segoe UI" w:eastAsia="Segoe UI"/>
                <w:b/>
                <w:i w:val="0"/>
                <w:color w:val="0E2A47"/>
                <w:sz w:val="16"/>
              </w:rPr>
              <w:t>z0</w:t>
            </w:r>
          </w:p>
        </w:tc>
        <w:tc>
          <w:tcPr>
            <w:tcW w:type="dxa" w:w="2951"/>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0.03 m, "buffelgrass roughness"</w:t>
            </w:r>
          </w:p>
        </w:tc>
        <w:tc>
          <w:tcPr>
            <w:tcW w:type="dxa" w:w="5040"/>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0.03 m, once its basis is recorded in the case-setup memo; the site met pull D02 carries no roughness length, and MS §3.2 requires it from the site pull</w:t>
            </w:r>
          </w:p>
        </w:tc>
      </w:tr>
      <w:tr>
        <w:trPr>
          <w:cantSplit/>
        </w:trPr>
        <w:tc>
          <w:tcPr>
            <w:tcW w:type="dxa" w:w="1800"/>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i w:val="0"/>
                <w:color w:val="0E2A47"/>
                <w:sz w:val="16"/>
              </w:rPr>
              <w:t>d</w:t>
            </w:r>
          </w:p>
        </w:tc>
        <w:tc>
          <w:tcPr>
            <w:tcW w:type="dxa" w:w="2951"/>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0.0 m</w:t>
            </w:r>
          </w:p>
        </w:tc>
        <w:tc>
          <w:tcPr>
            <w:tcW w:type="dxa" w:w="5040"/>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0.00 m</w:t>
            </w:r>
          </w:p>
        </w:tc>
      </w:tr>
      <w:tr>
        <w:trPr>
          <w:cantSplit/>
        </w:trPr>
        <w:tc>
          <w:tcPr>
            <w:tcW w:type="dxa" w:w="1800"/>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top"/>
          </w:tcPr>
          <w:p>
            <w:pPr>
              <w:spacing w:before="0" w:after="0" w:line="259" w:lineRule="auto"/>
            </w:pPr>
            <w:r/>
            <w:r>
              <w:rPr>
                <w:rFonts w:ascii="Segoe UI" w:hAnsi="Segoe UI" w:cs="Segoe UI" w:eastAsia="Segoe UI"/>
                <w:b/>
                <w:i w:val="0"/>
                <w:color w:val="0E2A47"/>
                <w:sz w:val="16"/>
              </w:rPr>
              <w:t>flowDir</w:t>
            </w:r>
          </w:p>
        </w:tc>
        <w:tc>
          <w:tcPr>
            <w:tcW w:type="dxa" w:w="2951"/>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(cos 240, sin 240, 0)</w:t>
            </w:r>
          </w:p>
        </w:tc>
        <w:tc>
          <w:tcPr>
            <w:tcW w:type="dxa" w:w="5040"/>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240°: (0.8660, 0.5000, 0) (–); 270°: (1, 0, 0) (–); x east, y north</w:t>
            </w:r>
          </w:p>
        </w:tc>
      </w:tr>
      <w:tr>
        <w:trPr>
          <w:cantSplit/>
        </w:trPr>
        <w:tc>
          <w:tcPr>
            <w:tcW w:type="dxa" w:w="1800"/>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i w:val="0"/>
                <w:color w:val="0E2A47"/>
                <w:sz w:val="16"/>
              </w:rPr>
              <w:t>zDir</w:t>
            </w:r>
          </w:p>
        </w:tc>
        <w:tc>
          <w:tcPr>
            <w:tcW w:type="dxa" w:w="2951"/>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not recorded</w:t>
            </w:r>
          </w:p>
        </w:tc>
        <w:tc>
          <w:tcPr>
            <w:tcW w:type="dxa" w:w="5040"/>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(0, 0, 1) (–)</w:t>
            </w:r>
          </w:p>
        </w:tc>
      </w:tr>
      <w:tr>
        <w:trPr>
          <w:cantSplit/>
        </w:trPr>
        <w:tc>
          <w:tcPr>
            <w:tcW w:type="dxa" w:w="1800"/>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top"/>
          </w:tcPr>
          <w:p>
            <w:pPr>
              <w:spacing w:before="0" w:after="0" w:line="259" w:lineRule="auto"/>
            </w:pPr>
            <w:r/>
            <w:r>
              <w:rPr>
                <w:rFonts w:ascii="Segoe UI" w:hAnsi="Segoe UI" w:cs="Segoe UI" w:eastAsia="Segoe UI"/>
                <w:b/>
                <w:i w:val="0"/>
                <w:color w:val="0E2A47"/>
                <w:sz w:val="16"/>
              </w:rPr>
              <w:t>Inflow patches</w:t>
            </w:r>
          </w:p>
        </w:tc>
        <w:tc>
          <w:tcPr>
            <w:tcW w:type="dxa" w:w="2951"/>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inlet_west</w:t>
            </w:r>
          </w:p>
        </w:tc>
        <w:tc>
          <w:tcPr>
            <w:tcW w:type="dxa" w:w="5040"/>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270°: inlet_west. 240°: inlet_west and lateral_south — a 240° wind enters through both</w:t>
            </w:r>
          </w:p>
        </w:tc>
      </w:tr>
      <w:tr>
        <w:trPr>
          <w:cantSplit/>
        </w:trPr>
        <w:tc>
          <w:tcPr>
            <w:tcW w:type="dxa" w:w="1800"/>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i w:val="0"/>
                <w:color w:val="0E2A47"/>
                <w:sz w:val="16"/>
              </w:rPr>
              <w:t>Turbulence companions</w:t>
            </w:r>
          </w:p>
        </w:tc>
        <w:tc>
          <w:tcPr>
            <w:tcW w:type="dxa" w:w="2951"/>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atmBoundaryLayerInletK / Epsilon (k-ε)</w:t>
            </w:r>
          </w:p>
        </w:tc>
        <w:tc>
          <w:tcPr>
            <w:tcW w:type="dxa" w:w="5040"/>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Matching atmBoundaryLayer* conditions for whatever quantities the chosen SGS closure transports</w:t>
            </w:r>
          </w:p>
        </w:tc>
      </w:tr>
      <w:tr>
        <w:trPr>
          <w:cantSplit/>
        </w:trPr>
        <w:tc>
          <w:tcPr>
            <w:tcW w:type="dxa" w:w="1800"/>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top"/>
          </w:tcPr>
          <w:p>
            <w:pPr>
              <w:spacing w:before="0" w:after="0" w:line="259" w:lineRule="auto"/>
            </w:pPr>
            <w:r/>
            <w:r>
              <w:rPr>
                <w:rFonts w:ascii="Segoe UI" w:hAnsi="Segoe UI" w:cs="Segoe UI" w:eastAsia="Segoe UI"/>
                <w:b/>
                <w:i w:val="0"/>
                <w:color w:val="0E2A47"/>
                <w:sz w:val="16"/>
              </w:rPr>
              <w:t>Ambient</w:t>
            </w:r>
          </w:p>
        </w:tc>
        <w:tc>
          <w:tcPr>
            <w:tcW w:type="dxa" w:w="2951"/>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308.15 K</w:t>
            </w:r>
          </w:p>
        </w:tc>
        <w:tc>
          <w:tcPr>
            <w:tcW w:type="dxa" w:w="5040"/>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top"/>
          </w:tcPr>
          <w:p>
            <w:pPr>
              <w:spacing w:before="0" w:after="0" w:line="259" w:lineRule="auto"/>
            </w:pPr>
            <w:r/>
            <w:r>
              <w:rPr>
                <w:rFonts w:ascii="Segoe UI" w:hAnsi="Segoe UI" w:cs="Segoe UI" w:eastAsia="Segoe UI"/>
                <w:b w:val="0"/>
                <w:i w:val="0"/>
                <w:color w:val="1F2937"/>
                <w:sz w:val="16"/>
              </w:rPr>
              <w:t>Per case from D02 (35–42 °C, RH 10–25 %), recorded in the case-setup memo</w:t>
            </w:r>
          </w:p>
        </w:tc>
      </w:tr>
    </w:tbl>
    <w:p>
      <w:pPr>
        <w:spacing w:after="80" w:line="192" w:lineRule="auto"/>
      </w:pPr>
    </w:p>
    <w:p>
      <w:pPr>
        <w:spacing w:before="0" w:after="120"/>
      </w:pPr>
      <w:r>
        <w:rPr>
          <w:rFonts w:ascii="Segoe UI" w:hAnsi="Segoe UI" w:cs="Segoe UI" w:eastAsia="Segoe UI"/>
          <w:b/>
          <w:i w:val="0"/>
          <w:color w:val="1F2937"/>
          <w:sz w:val="19"/>
        </w:rPr>
        <w:t>flowDir.</w:t>
      </w:r>
      <w:r>
        <w:rPr>
          <w:rFonts w:ascii="Segoe UI" w:hAnsi="Segoe UI" w:cs="Segoe UI" w:eastAsia="Segoe UI"/>
          <w:b w:val="0"/>
          <w:i w:val="0"/>
          <w:color w:val="1F2937"/>
          <w:sz w:val="19"/>
        </w:rPr>
        <w:t xml:space="preserve"> Wind direction is a compass "from" bearing (Units SOP §2), so a 240° wind blows toward 060°. The delivered (cos 240°, sin 240°, 0) = (−0.5000, −0.8660, 0) points toward 210°, a wind from 030°; evaluated in radians, as the solver would, it points toward about 019°. The attempt-3 probes contradict the declared inlet in any case: probe 3 at (10, 0, 2) m reads (8.00, 0.13, 0.02) m/s — flow along +x, a 270° wind — and reads 8.00 m/s at 2 m against 7.74 m/s at 8 m (probe 4), where the declared log-law profile gives about 6.3 m/s and 8.4 m/s. The inlet carries forward as specified here, not as run.</w:t>
      </w:r>
    </w:p>
    <w:p>
      <w:pPr>
        <w:pStyle w:val="Heading2"/>
      </w:pPr>
      <w:r>
        <w:t>7.3  Does not carry forward</w:t>
      </w:r>
    </w:p>
    <w:p>
      <w:pPr>
        <w:spacing w:before="0" w:after="120"/>
      </w:pPr>
      <w:r>
        <w:rPr>
          <w:rFonts w:ascii="Segoe UI" w:hAnsi="Segoe UI" w:cs="Segoe UI" w:eastAsia="Segoe UI"/>
          <w:b w:val="0"/>
          <w:i w:val="0"/>
          <w:color w:val="1F2937"/>
          <w:sz w:val="20"/>
        </w:rPr>
        <w:t>Solver mode, turbulence model, freestream block, combustion and radiation settings as delivered, fvSchemes, time control, residual controls and under-relaxation, the probe set, and every attempt-3 field and time directory.</w:t>
      </w:r>
    </w:p>
    <w:p>
      <w:pPr>
        <w:pStyle w:val="Heading1"/>
        <w:pBdr>
          <w:bottom w:val="single" w:sz="8" w:space="3" w:color="0E2A47"/>
        </w:pBdr>
      </w:pPr>
      <w:r>
        <w:t>8.  Solver Wall Clock</w:t>
      </w:r>
    </w:p>
    <w:p>
      <w:pPr>
        <w:pStyle w:val="Heading2"/>
      </w:pPr>
      <w:r>
        <w:t>8.1  Basis</w:t>
      </w:r>
    </w:p>
    <w:p>
      <w:pPr>
        <w:spacing w:before="0" w:after="120"/>
      </w:pPr>
      <w:r>
        <w:rPr>
          <w:rFonts w:ascii="Segoe UI" w:hAnsi="Segoe UI" w:cs="Segoe UI" w:eastAsia="Segoe UI"/>
          <w:b w:val="0"/>
          <w:i w:val="0"/>
          <w:color w:val="1F2937"/>
          <w:sz w:val="20"/>
        </w:rPr>
        <w:t>Firm practice (M. Falk, 10/09/2025): rate = simulated seconds reached ÷ solver wall clock, from a run of record on the grid the production case will run on, at a fixed mesh, solver stack and core count; multiplied by the physical duration the case must cover; quoted per case, then multiplied by the cases the governing scope document procures, with no restart discount; solver wall clock only.</w:t>
      </w:r>
    </w:p>
    <w:p>
      <w:pPr>
        <w:pStyle w:val="Heading2"/>
      </w:pPr>
      <w:r>
        <w:t>8.2  Figure</w:t>
      </w:r>
    </w:p>
    <w:p>
      <w:pPr>
        <w:keepNext/>
        <w:spacing w:before="0" w:after="60"/>
      </w:pPr>
      <w:r>
        <w:rPr>
          <w:rFonts w:ascii="Segoe UI" w:hAnsi="Segoe UI" w:cs="Segoe UI" w:eastAsia="Segoe UI"/>
          <w:b w:val="0"/>
          <w:i w:val="0"/>
          <w:color w:val="1F2937"/>
          <w:sz w:val="20"/>
        </w:rPr>
        <w:t>No transient run exists on the production mesh. The only transient runs of record are the three study grids:</w:t>
      </w:r>
    </w:p>
    <w:tbl>
      <w:tblPr>
        <w:tblW w:type="auto" w:w="0"/>
        <w:jc w:val="center"/>
        <w:tblLayout w:type="fixed"/>
        <w:tblLayout w:type="fixed"/>
        <w:tblLook w:firstColumn="1" w:firstRow="1" w:lastColumn="0" w:lastRow="0" w:noHBand="0" w:noVBand="1" w:val="04A0"/>
      </w:tblPr>
      <w:tblGrid>
        <w:gridCol w:w="1512"/>
        <w:gridCol w:w="1180"/>
        <w:gridCol w:w="1224"/>
        <w:gridCol w:w="1152"/>
        <w:gridCol w:w="1036"/>
        <w:gridCol w:w="1296"/>
        <w:gridCol w:w="1238"/>
        <w:gridCol w:w="1152"/>
      </w:tblGrid>
      <w:tr>
        <w:trPr>
          <w:tblHeader/>
          <w:cantSplit/>
        </w:trPr>
        <w:tc>
          <w:tcPr>
            <w:tcW w:type="dxa" w:w="1512"/>
            <w:tcBorders>
              <w:top w:val="single" w:sz="4" w:space="0" w:color="A0AEC0"/>
              <w:left w:val="single" w:sz="4" w:space="0" w:color="A0AEC0"/>
              <w:bottom w:val="single" w:sz="4" w:space="0" w:color="A0AEC0"/>
              <w:right w:val="single" w:sz="4" w:space="0" w:color="A0AEC0"/>
            </w:tcBorders>
            <w:shd w:val="clear" w:color="auto" w:fill="0E2A47"/>
            <w:tcMar>
              <w:top w:w="80" w:type="dxa"/>
              <w:bottom w:w="80" w:type="dxa"/>
              <w:left w:w="110" w:type="dxa"/>
              <w:right w:w="110" w:type="dxa"/>
            </w:tcMar>
            <w:vAlign w:val="center"/>
          </w:tcPr>
          <w:p>
            <w:pPr>
              <w:keepNext/>
              <w:spacing w:before="0" w:after="0" w:line="259" w:lineRule="auto"/>
            </w:pPr>
            <w:r/>
            <w:r>
              <w:rPr>
                <w:rFonts w:ascii="Segoe UI" w:hAnsi="Segoe UI" w:cs="Segoe UI" w:eastAsia="Segoe UI"/>
                <w:b/>
                <w:i w:val="0"/>
                <w:color w:val="FFFFFF"/>
                <w:sz w:val="15"/>
              </w:rPr>
              <w:t>Grid</w:t>
            </w:r>
          </w:p>
        </w:tc>
        <w:tc>
          <w:tcPr>
            <w:tcW w:type="dxa" w:w="1180"/>
            <w:tcBorders>
              <w:top w:val="single" w:sz="4" w:space="0" w:color="A0AEC0"/>
              <w:left w:val="single" w:sz="4" w:space="0" w:color="A0AEC0"/>
              <w:bottom w:val="single" w:sz="4" w:space="0" w:color="A0AEC0"/>
              <w:right w:val="single" w:sz="4" w:space="0" w:color="A0AEC0"/>
            </w:tcBorders>
            <w:shd w:val="clear" w:color="auto" w:fill="0E2A47"/>
            <w:tcMar>
              <w:top w:w="80" w:type="dxa"/>
              <w:bottom w:w="80" w:type="dxa"/>
              <w:left w:w="110" w:type="dxa"/>
              <w:right w:w="110" w:type="dxa"/>
            </w:tcMar>
            <w:vAlign w:val="center"/>
          </w:tcPr>
          <w:p>
            <w:pPr>
              <w:keepNext/>
              <w:spacing w:before="0" w:after="0" w:line="259" w:lineRule="auto"/>
            </w:pPr>
            <w:r/>
            <w:r>
              <w:rPr>
                <w:rFonts w:ascii="Segoe UI" w:hAnsi="Segoe UI" w:cs="Segoe UI" w:eastAsia="Segoe UI"/>
                <w:b/>
                <w:i w:val="0"/>
                <w:color w:val="FFFFFF"/>
                <w:sz w:val="15"/>
              </w:rPr>
              <w:t>Cells</w:t>
            </w:r>
          </w:p>
        </w:tc>
        <w:tc>
          <w:tcPr>
            <w:tcW w:type="dxa" w:w="1224"/>
            <w:tcBorders>
              <w:top w:val="single" w:sz="4" w:space="0" w:color="A0AEC0"/>
              <w:left w:val="single" w:sz="4" w:space="0" w:color="A0AEC0"/>
              <w:bottom w:val="single" w:sz="4" w:space="0" w:color="A0AEC0"/>
              <w:right w:val="single" w:sz="4" w:space="0" w:color="A0AEC0"/>
            </w:tcBorders>
            <w:shd w:val="clear" w:color="auto" w:fill="0E2A47"/>
            <w:tcMar>
              <w:top w:w="80" w:type="dxa"/>
              <w:bottom w:w="80" w:type="dxa"/>
              <w:left w:w="110" w:type="dxa"/>
              <w:right w:w="110" w:type="dxa"/>
            </w:tcMar>
            <w:vAlign w:val="center"/>
          </w:tcPr>
          <w:p>
            <w:pPr>
              <w:keepNext/>
              <w:spacing w:before="0" w:after="0" w:line="259" w:lineRule="auto"/>
            </w:pPr>
            <w:r/>
            <w:r>
              <w:rPr>
                <w:rFonts w:ascii="Segoe UI" w:hAnsi="Segoe UI" w:cs="Segoe UI" w:eastAsia="Segoe UI"/>
                <w:b/>
                <w:i w:val="0"/>
                <w:color w:val="FFFFFF"/>
                <w:sz w:val="15"/>
              </w:rPr>
              <w:t>Cores</w:t>
            </w:r>
          </w:p>
        </w:tc>
        <w:tc>
          <w:tcPr>
            <w:tcW w:type="dxa" w:w="1152"/>
            <w:tcBorders>
              <w:top w:val="single" w:sz="4" w:space="0" w:color="A0AEC0"/>
              <w:left w:val="single" w:sz="4" w:space="0" w:color="A0AEC0"/>
              <w:bottom w:val="single" w:sz="4" w:space="0" w:color="A0AEC0"/>
              <w:right w:val="single" w:sz="4" w:space="0" w:color="A0AEC0"/>
            </w:tcBorders>
            <w:shd w:val="clear" w:color="auto" w:fill="0E2A47"/>
            <w:tcMar>
              <w:top w:w="80" w:type="dxa"/>
              <w:bottom w:w="80" w:type="dxa"/>
              <w:left w:w="110" w:type="dxa"/>
              <w:right w:w="110" w:type="dxa"/>
            </w:tcMar>
            <w:vAlign w:val="center"/>
          </w:tcPr>
          <w:p>
            <w:pPr>
              <w:keepNext/>
              <w:spacing w:before="0" w:after="0" w:line="259" w:lineRule="auto"/>
            </w:pPr>
            <w:r/>
            <w:r>
              <w:rPr>
                <w:rFonts w:ascii="Segoe UI" w:hAnsi="Segoe UI" w:cs="Segoe UI" w:eastAsia="Segoe UI"/>
                <w:b/>
                <w:i w:val="0"/>
                <w:color w:val="FFFFFF"/>
                <w:sz w:val="15"/>
              </w:rPr>
              <w:t>Average Δt</w:t>
            </w:r>
          </w:p>
        </w:tc>
        <w:tc>
          <w:tcPr>
            <w:tcW w:type="dxa" w:w="1036"/>
            <w:tcBorders>
              <w:top w:val="single" w:sz="4" w:space="0" w:color="A0AEC0"/>
              <w:left w:val="single" w:sz="4" w:space="0" w:color="A0AEC0"/>
              <w:bottom w:val="single" w:sz="4" w:space="0" w:color="A0AEC0"/>
              <w:right w:val="single" w:sz="4" w:space="0" w:color="A0AEC0"/>
            </w:tcBorders>
            <w:shd w:val="clear" w:color="auto" w:fill="0E2A47"/>
            <w:tcMar>
              <w:top w:w="80" w:type="dxa"/>
              <w:bottom w:w="80" w:type="dxa"/>
              <w:left w:w="110" w:type="dxa"/>
              <w:right w:w="110" w:type="dxa"/>
            </w:tcMar>
            <w:vAlign w:val="center"/>
          </w:tcPr>
          <w:p>
            <w:pPr>
              <w:keepNext/>
              <w:spacing w:before="0" w:after="0" w:line="259" w:lineRule="auto"/>
            </w:pPr>
            <w:r/>
            <w:r>
              <w:rPr>
                <w:rFonts w:ascii="Segoe UI" w:hAnsi="Segoe UI" w:cs="Segoe UI" w:eastAsia="Segoe UI"/>
                <w:b/>
                <w:i w:val="0"/>
                <w:color w:val="FFFFFF"/>
                <w:sz w:val="15"/>
              </w:rPr>
              <w:t>Max Co (–), limit 0.9</w:t>
            </w:r>
          </w:p>
        </w:tc>
        <w:tc>
          <w:tcPr>
            <w:tcW w:type="dxa" w:w="1296"/>
            <w:tcBorders>
              <w:top w:val="single" w:sz="4" w:space="0" w:color="A0AEC0"/>
              <w:left w:val="single" w:sz="4" w:space="0" w:color="A0AEC0"/>
              <w:bottom w:val="single" w:sz="4" w:space="0" w:color="A0AEC0"/>
              <w:right w:val="single" w:sz="4" w:space="0" w:color="A0AEC0"/>
            </w:tcBorders>
            <w:shd w:val="clear" w:color="auto" w:fill="0E2A47"/>
            <w:tcMar>
              <w:top w:w="80" w:type="dxa"/>
              <w:bottom w:w="80" w:type="dxa"/>
              <w:left w:w="110" w:type="dxa"/>
              <w:right w:w="110" w:type="dxa"/>
            </w:tcMar>
            <w:vAlign w:val="center"/>
          </w:tcPr>
          <w:p>
            <w:pPr>
              <w:keepNext/>
              <w:spacing w:before="0" w:after="0" w:line="259" w:lineRule="auto"/>
            </w:pPr>
            <w:r/>
            <w:r>
              <w:rPr>
                <w:rFonts w:ascii="Segoe UI" w:hAnsi="Segoe UI" w:cs="Segoe UI" w:eastAsia="Segoe UI"/>
                <w:b/>
                <w:i w:val="0"/>
                <w:color w:val="FFFFFF"/>
                <w:sz w:val="15"/>
              </w:rPr>
              <w:t>Solver wall clock for 40.00 s</w:t>
            </w:r>
          </w:p>
        </w:tc>
        <w:tc>
          <w:tcPr>
            <w:tcW w:type="dxa" w:w="1238"/>
            <w:tcBorders>
              <w:top w:val="single" w:sz="4" w:space="0" w:color="A0AEC0"/>
              <w:left w:val="single" w:sz="4" w:space="0" w:color="A0AEC0"/>
              <w:bottom w:val="single" w:sz="4" w:space="0" w:color="A0AEC0"/>
              <w:right w:val="single" w:sz="4" w:space="0" w:color="A0AEC0"/>
            </w:tcBorders>
            <w:shd w:val="clear" w:color="auto" w:fill="0E2A47"/>
            <w:tcMar>
              <w:top w:w="80" w:type="dxa"/>
              <w:bottom w:w="80" w:type="dxa"/>
              <w:left w:w="110" w:type="dxa"/>
              <w:right w:w="110" w:type="dxa"/>
            </w:tcMar>
            <w:vAlign w:val="center"/>
          </w:tcPr>
          <w:p>
            <w:pPr>
              <w:keepNext/>
              <w:spacing w:before="0" w:after="0" w:line="259" w:lineRule="auto"/>
            </w:pPr>
            <w:r/>
            <w:r>
              <w:rPr>
                <w:rFonts w:ascii="Segoe UI" w:hAnsi="Segoe UI" w:cs="Segoe UI" w:eastAsia="Segoe UI"/>
                <w:b/>
                <w:i w:val="0"/>
                <w:color w:val="FFFFFF"/>
                <w:sz w:val="15"/>
              </w:rPr>
              <w:t>Wall-clock min per simulated s</w:t>
            </w:r>
          </w:p>
        </w:tc>
        <w:tc>
          <w:tcPr>
            <w:tcW w:type="dxa" w:w="1152"/>
            <w:tcBorders>
              <w:top w:val="single" w:sz="4" w:space="0" w:color="A0AEC0"/>
              <w:left w:val="single" w:sz="4" w:space="0" w:color="A0AEC0"/>
              <w:bottom w:val="single" w:sz="4" w:space="0" w:color="A0AEC0"/>
              <w:right w:val="single" w:sz="4" w:space="0" w:color="A0AEC0"/>
            </w:tcBorders>
            <w:shd w:val="clear" w:color="auto" w:fill="0E2A47"/>
            <w:tcMar>
              <w:top w:w="80" w:type="dxa"/>
              <w:bottom w:w="80" w:type="dxa"/>
              <w:left w:w="110" w:type="dxa"/>
              <w:right w:w="110" w:type="dxa"/>
            </w:tcMar>
            <w:vAlign w:val="center"/>
          </w:tcPr>
          <w:p>
            <w:pPr>
              <w:keepNext/>
              <w:spacing w:before="0" w:after="0" w:line="259" w:lineRule="auto"/>
            </w:pPr>
            <w:r/>
            <w:r>
              <w:rPr>
                <w:rFonts w:ascii="Segoe UI" w:hAnsi="Segoe UI" w:cs="Segoe UI" w:eastAsia="Segoe UI"/>
                <w:b/>
                <w:i w:val="0"/>
                <w:color w:val="FFFFFF"/>
                <w:sz w:val="15"/>
              </w:rPr>
              <w:t>At 31.10 s</w:t>
            </w:r>
          </w:p>
        </w:tc>
      </w:tr>
      <w:tr>
        <w:trPr>
          <w:cantSplit/>
        </w:trPr>
        <w:tc>
          <w:tcPr>
            <w:tcW w:type="dxa" w:w="1512"/>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keepNext/>
              <w:spacing w:before="0" w:after="0" w:line="259" w:lineRule="auto"/>
            </w:pPr>
            <w:r/>
            <w:r>
              <w:rPr>
                <w:rFonts w:ascii="Segoe UI" w:hAnsi="Segoe UI" w:cs="Segoe UI" w:eastAsia="Segoe UI"/>
                <w:b w:val="0"/>
                <w:i w:val="0"/>
                <w:color w:val="1F2937"/>
                <w:sz w:val="15"/>
              </w:rPr>
              <w:t>Coarse, dx 1.0 m</w:t>
            </w:r>
          </w:p>
        </w:tc>
        <w:tc>
          <w:tcPr>
            <w:tcW w:type="dxa" w:w="1180"/>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keepNext/>
              <w:spacing w:before="0" w:after="0" w:line="259" w:lineRule="auto"/>
            </w:pPr>
            <w:r/>
            <w:r>
              <w:rPr>
                <w:rFonts w:ascii="Segoe UI" w:hAnsi="Segoe UI" w:cs="Segoe UI" w:eastAsia="Segoe UI"/>
                <w:b w:val="0"/>
                <w:i w:val="0"/>
                <w:color w:val="1F2937"/>
                <w:sz w:val="15"/>
              </w:rPr>
              <w:t>1,410,240</w:t>
            </w:r>
          </w:p>
        </w:tc>
        <w:tc>
          <w:tcPr>
            <w:tcW w:type="dxa" w:w="1224"/>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keepNext/>
              <w:spacing w:before="0" w:after="0" w:line="259" w:lineRule="auto"/>
            </w:pPr>
            <w:r/>
            <w:r>
              <w:rPr>
                <w:rFonts w:ascii="Segoe UI" w:hAnsi="Segoe UI" w:cs="Segoe UI" w:eastAsia="Segoe UI"/>
                <w:b w:val="0"/>
                <w:i w:val="0"/>
                <w:color w:val="1F2937"/>
                <w:sz w:val="15"/>
              </w:rPr>
              <w:t>96</w:t>
            </w:r>
          </w:p>
        </w:tc>
        <w:tc>
          <w:tcPr>
            <w:tcW w:type="dxa" w:w="1152"/>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keepNext/>
              <w:spacing w:before="0" w:after="0" w:line="259" w:lineRule="auto"/>
            </w:pPr>
            <w:r/>
            <w:r>
              <w:rPr>
                <w:rFonts w:ascii="Segoe UI" w:hAnsi="Segoe UI" w:cs="Segoe UI" w:eastAsia="Segoe UI"/>
                <w:b w:val="0"/>
                <w:i w:val="0"/>
                <w:color w:val="1F2937"/>
                <w:sz w:val="15"/>
              </w:rPr>
              <w:t>4.7 × 10</w:t>
            </w:r>
            <w:r>
              <w:rPr>
                <w:rFonts w:ascii="Segoe UI" w:hAnsi="Segoe UI" w:cs="Segoe UI" w:eastAsia="Segoe UI"/>
                <w:b w:val="0"/>
                <w:i w:val="0"/>
                <w:color w:val="1F2937"/>
                <w:sz w:val="15"/>
                <w:vertAlign w:val="superscript"/>
              </w:rPr>
              <w:t>−3</w:t>
            </w:r>
            <w:r>
              <w:rPr>
                <w:rFonts w:ascii="Segoe UI" w:hAnsi="Segoe UI" w:cs="Segoe UI" w:eastAsia="Segoe UI"/>
                <w:b w:val="0"/>
                <w:i w:val="0"/>
                <w:color w:val="1F2937"/>
                <w:sz w:val="15"/>
              </w:rPr>
              <w:t xml:space="preserve"> s</w:t>
            </w:r>
          </w:p>
        </w:tc>
        <w:tc>
          <w:tcPr>
            <w:tcW w:type="dxa" w:w="1036"/>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keepNext/>
              <w:spacing w:before="0" w:after="0" w:line="259" w:lineRule="auto"/>
            </w:pPr>
            <w:r/>
            <w:r>
              <w:rPr>
                <w:rFonts w:ascii="Segoe UI" w:hAnsi="Segoe UI" w:cs="Segoe UI" w:eastAsia="Segoe UI"/>
                <w:b w:val="0"/>
                <w:i w:val="0"/>
                <w:color w:val="1F2937"/>
                <w:sz w:val="15"/>
              </w:rPr>
              <w:t>0.87 (–)</w:t>
            </w:r>
          </w:p>
        </w:tc>
        <w:tc>
          <w:tcPr>
            <w:tcW w:type="dxa" w:w="1296"/>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keepNext/>
              <w:spacing w:before="0" w:after="0" w:line="259" w:lineRule="auto"/>
            </w:pPr>
            <w:r/>
            <w:r>
              <w:rPr>
                <w:rFonts w:ascii="Segoe UI" w:hAnsi="Segoe UI" w:cs="Segoe UI" w:eastAsia="Segoe UI"/>
                <w:b w:val="0"/>
                <w:i w:val="0"/>
                <w:color w:val="1F2937"/>
                <w:sz w:val="15"/>
              </w:rPr>
              <w:t>1 h 10 min</w:t>
            </w:r>
          </w:p>
        </w:tc>
        <w:tc>
          <w:tcPr>
            <w:tcW w:type="dxa" w:w="1238"/>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keepNext/>
              <w:spacing w:before="0" w:after="0" w:line="259" w:lineRule="auto"/>
            </w:pPr>
            <w:r/>
            <w:r>
              <w:rPr>
                <w:rFonts w:ascii="Segoe UI" w:hAnsi="Segoe UI" w:cs="Segoe UI" w:eastAsia="Segoe UI"/>
                <w:b w:val="0"/>
                <w:i w:val="0"/>
                <w:color w:val="1F2937"/>
                <w:sz w:val="15"/>
              </w:rPr>
              <w:t>1.75 min/s</w:t>
            </w:r>
          </w:p>
        </w:tc>
        <w:tc>
          <w:tcPr>
            <w:tcW w:type="dxa" w:w="1152"/>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keepNext/>
              <w:spacing w:before="0" w:after="0" w:line="259" w:lineRule="auto"/>
            </w:pPr>
            <w:r/>
            <w:r>
              <w:rPr>
                <w:rFonts w:ascii="Segoe UI" w:hAnsi="Segoe UI" w:cs="Segoe UI" w:eastAsia="Segoe UI"/>
                <w:b w:val="0"/>
                <w:i w:val="0"/>
                <w:color w:val="1F2937"/>
                <w:sz w:val="15"/>
              </w:rPr>
              <w:t>0 h 54 min</w:t>
            </w:r>
          </w:p>
        </w:tc>
      </w:tr>
      <w:tr>
        <w:trPr>
          <w:cantSplit/>
        </w:trPr>
        <w:tc>
          <w:tcPr>
            <w:tcW w:type="dxa" w:w="1512"/>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center"/>
          </w:tcPr>
          <w:p>
            <w:pPr>
              <w:keepNext/>
              <w:spacing w:before="0" w:after="0" w:line="259" w:lineRule="auto"/>
            </w:pPr>
            <w:r/>
            <w:r>
              <w:rPr>
                <w:rFonts w:ascii="Segoe UI" w:hAnsi="Segoe UI" w:cs="Segoe UI" w:eastAsia="Segoe UI"/>
                <w:b w:val="0"/>
                <w:i w:val="0"/>
                <w:color w:val="1F2937"/>
                <w:sz w:val="15"/>
              </w:rPr>
              <w:t>Medium, dx 0.7 m</w:t>
            </w:r>
          </w:p>
        </w:tc>
        <w:tc>
          <w:tcPr>
            <w:tcW w:type="dxa" w:w="1180"/>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center"/>
          </w:tcPr>
          <w:p>
            <w:pPr>
              <w:keepNext/>
              <w:spacing w:before="0" w:after="0" w:line="259" w:lineRule="auto"/>
            </w:pPr>
            <w:r/>
            <w:r>
              <w:rPr>
                <w:rFonts w:ascii="Segoe UI" w:hAnsi="Segoe UI" w:cs="Segoe UI" w:eastAsia="Segoe UI"/>
                <w:b w:val="0"/>
                <w:i w:val="0"/>
                <w:color w:val="1F2937"/>
                <w:sz w:val="15"/>
              </w:rPr>
              <w:t>4,023,680</w:t>
            </w:r>
          </w:p>
        </w:tc>
        <w:tc>
          <w:tcPr>
            <w:tcW w:type="dxa" w:w="1224"/>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center"/>
          </w:tcPr>
          <w:p>
            <w:pPr>
              <w:keepNext/>
              <w:spacing w:before="0" w:after="0" w:line="259" w:lineRule="auto"/>
            </w:pPr>
            <w:r/>
            <w:r>
              <w:rPr>
                <w:rFonts w:ascii="Segoe UI" w:hAnsi="Segoe UI" w:cs="Segoe UI" w:eastAsia="Segoe UI"/>
                <w:b w:val="0"/>
                <w:i w:val="0"/>
                <w:color w:val="1F2937"/>
                <w:sz w:val="15"/>
              </w:rPr>
              <w:t>192</w:t>
            </w:r>
          </w:p>
        </w:tc>
        <w:tc>
          <w:tcPr>
            <w:tcW w:type="dxa" w:w="1152"/>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center"/>
          </w:tcPr>
          <w:p>
            <w:pPr>
              <w:keepNext/>
              <w:spacing w:before="0" w:after="0" w:line="259" w:lineRule="auto"/>
            </w:pPr>
            <w:r/>
            <w:r>
              <w:rPr>
                <w:rFonts w:ascii="Segoe UI" w:hAnsi="Segoe UI" w:cs="Segoe UI" w:eastAsia="Segoe UI"/>
                <w:b w:val="0"/>
                <w:i w:val="0"/>
                <w:color w:val="1F2937"/>
                <w:sz w:val="15"/>
              </w:rPr>
              <w:t>3.1 × 10</w:t>
            </w:r>
            <w:r>
              <w:rPr>
                <w:rFonts w:ascii="Segoe UI" w:hAnsi="Segoe UI" w:cs="Segoe UI" w:eastAsia="Segoe UI"/>
                <w:b w:val="0"/>
                <w:i w:val="0"/>
                <w:color w:val="1F2937"/>
                <w:sz w:val="15"/>
                <w:vertAlign w:val="superscript"/>
              </w:rPr>
              <w:t>−3</w:t>
            </w:r>
            <w:r>
              <w:rPr>
                <w:rFonts w:ascii="Segoe UI" w:hAnsi="Segoe UI" w:cs="Segoe UI" w:eastAsia="Segoe UI"/>
                <w:b w:val="0"/>
                <w:i w:val="0"/>
                <w:color w:val="1F2937"/>
                <w:sz w:val="15"/>
              </w:rPr>
              <w:t xml:space="preserve"> s</w:t>
            </w:r>
          </w:p>
        </w:tc>
        <w:tc>
          <w:tcPr>
            <w:tcW w:type="dxa" w:w="1036"/>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center"/>
          </w:tcPr>
          <w:p>
            <w:pPr>
              <w:keepNext/>
              <w:spacing w:before="0" w:after="0" w:line="259" w:lineRule="auto"/>
            </w:pPr>
            <w:r/>
            <w:r>
              <w:rPr>
                <w:rFonts w:ascii="Segoe UI" w:hAnsi="Segoe UI" w:cs="Segoe UI" w:eastAsia="Segoe UI"/>
                <w:b w:val="0"/>
                <w:i w:val="0"/>
                <w:color w:val="1F2937"/>
                <w:sz w:val="15"/>
              </w:rPr>
              <w:t>0.89 (–)</w:t>
            </w:r>
          </w:p>
        </w:tc>
        <w:tc>
          <w:tcPr>
            <w:tcW w:type="dxa" w:w="1296"/>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center"/>
          </w:tcPr>
          <w:p>
            <w:pPr>
              <w:keepNext/>
              <w:spacing w:before="0" w:after="0" w:line="259" w:lineRule="auto"/>
            </w:pPr>
            <w:r/>
            <w:r>
              <w:rPr>
                <w:rFonts w:ascii="Segoe UI" w:hAnsi="Segoe UI" w:cs="Segoe UI" w:eastAsia="Segoe UI"/>
                <w:b w:val="0"/>
                <w:i w:val="0"/>
                <w:color w:val="1F2937"/>
                <w:sz w:val="15"/>
              </w:rPr>
              <w:t>2 h 30 min</w:t>
            </w:r>
          </w:p>
        </w:tc>
        <w:tc>
          <w:tcPr>
            <w:tcW w:type="dxa" w:w="1238"/>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center"/>
          </w:tcPr>
          <w:p>
            <w:pPr>
              <w:keepNext/>
              <w:spacing w:before="0" w:after="0" w:line="259" w:lineRule="auto"/>
            </w:pPr>
            <w:r/>
            <w:r>
              <w:rPr>
                <w:rFonts w:ascii="Segoe UI" w:hAnsi="Segoe UI" w:cs="Segoe UI" w:eastAsia="Segoe UI"/>
                <w:b w:val="0"/>
                <w:i w:val="0"/>
                <w:color w:val="1F2937"/>
                <w:sz w:val="15"/>
              </w:rPr>
              <w:t>3.75 min/s</w:t>
            </w:r>
          </w:p>
        </w:tc>
        <w:tc>
          <w:tcPr>
            <w:tcW w:type="dxa" w:w="1152"/>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center"/>
          </w:tcPr>
          <w:p>
            <w:pPr>
              <w:keepNext/>
              <w:spacing w:before="0" w:after="0" w:line="259" w:lineRule="auto"/>
            </w:pPr>
            <w:r/>
            <w:r>
              <w:rPr>
                <w:rFonts w:ascii="Segoe UI" w:hAnsi="Segoe UI" w:cs="Segoe UI" w:eastAsia="Segoe UI"/>
                <w:b w:val="0"/>
                <w:i w:val="0"/>
                <w:color w:val="1F2937"/>
                <w:sz w:val="15"/>
              </w:rPr>
              <w:t>1 h 57 min</w:t>
            </w:r>
          </w:p>
        </w:tc>
      </w:tr>
      <w:tr>
        <w:trPr>
          <w:cantSplit/>
        </w:trPr>
        <w:tc>
          <w:tcPr>
            <w:tcW w:type="dxa" w:w="1512"/>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keepNext/>
              <w:spacing w:before="0" w:after="0" w:line="259" w:lineRule="auto"/>
            </w:pPr>
            <w:r/>
            <w:r>
              <w:rPr>
                <w:rFonts w:ascii="Segoe UI" w:hAnsi="Segoe UI" w:cs="Segoe UI" w:eastAsia="Segoe UI"/>
                <w:b/>
                <w:i w:val="0"/>
                <w:color w:val="1F2937"/>
                <w:sz w:val="15"/>
              </w:rPr>
              <w:t>Fine, dx 0.5 m</w:t>
            </w:r>
          </w:p>
        </w:tc>
        <w:tc>
          <w:tcPr>
            <w:tcW w:type="dxa" w:w="1180"/>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keepNext/>
              <w:spacing w:before="0" w:after="0" w:line="259" w:lineRule="auto"/>
            </w:pPr>
            <w:r/>
            <w:r>
              <w:rPr>
                <w:rFonts w:ascii="Segoe UI" w:hAnsi="Segoe UI" w:cs="Segoe UI" w:eastAsia="Segoe UI"/>
                <w:b w:val="0"/>
                <w:i w:val="0"/>
                <w:color w:val="1F2937"/>
                <w:sz w:val="15"/>
              </w:rPr>
              <w:t>11,196,000</w:t>
            </w:r>
          </w:p>
        </w:tc>
        <w:tc>
          <w:tcPr>
            <w:tcW w:type="dxa" w:w="1224"/>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keepNext/>
              <w:spacing w:before="0" w:after="0" w:line="259" w:lineRule="auto"/>
            </w:pPr>
            <w:r/>
            <w:r>
              <w:rPr>
                <w:rFonts w:ascii="Segoe UI" w:hAnsi="Segoe UI" w:cs="Segoe UI" w:eastAsia="Segoe UI"/>
                <w:b w:val="0"/>
                <w:i w:val="0"/>
                <w:color w:val="1F2937"/>
                <w:sz w:val="15"/>
              </w:rPr>
              <w:t>not recorded (borrego + cloud burst)</w:t>
            </w:r>
          </w:p>
        </w:tc>
        <w:tc>
          <w:tcPr>
            <w:tcW w:type="dxa" w:w="1152"/>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keepNext/>
              <w:spacing w:before="0" w:after="0" w:line="259" w:lineRule="auto"/>
            </w:pPr>
            <w:r/>
            <w:r>
              <w:rPr>
                <w:rFonts w:ascii="Segoe UI" w:hAnsi="Segoe UI" w:cs="Segoe UI" w:eastAsia="Segoe UI"/>
                <w:b w:val="0"/>
                <w:i w:val="0"/>
                <w:color w:val="1F2937"/>
                <w:sz w:val="15"/>
              </w:rPr>
              <w:t>2.2 × 10</w:t>
            </w:r>
            <w:r>
              <w:rPr>
                <w:rFonts w:ascii="Segoe UI" w:hAnsi="Segoe UI" w:cs="Segoe UI" w:eastAsia="Segoe UI"/>
                <w:b w:val="0"/>
                <w:i w:val="0"/>
                <w:color w:val="1F2937"/>
                <w:sz w:val="15"/>
                <w:vertAlign w:val="superscript"/>
              </w:rPr>
              <w:t>−3</w:t>
            </w:r>
            <w:r>
              <w:rPr>
                <w:rFonts w:ascii="Segoe UI" w:hAnsi="Segoe UI" w:cs="Segoe UI" w:eastAsia="Segoe UI"/>
                <w:b w:val="0"/>
                <w:i w:val="0"/>
                <w:color w:val="1F2937"/>
                <w:sz w:val="15"/>
              </w:rPr>
              <w:t xml:space="preserve"> s</w:t>
            </w:r>
          </w:p>
        </w:tc>
        <w:tc>
          <w:tcPr>
            <w:tcW w:type="dxa" w:w="1036"/>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keepNext/>
              <w:spacing w:before="0" w:after="0" w:line="259" w:lineRule="auto"/>
            </w:pPr>
            <w:r/>
            <w:r>
              <w:rPr>
                <w:rFonts w:ascii="Segoe UI" w:hAnsi="Segoe UI" w:cs="Segoe UI" w:eastAsia="Segoe UI"/>
                <w:b w:val="0"/>
                <w:i w:val="0"/>
                <w:color w:val="1F2937"/>
                <w:sz w:val="15"/>
              </w:rPr>
              <w:t>0.90 (–)</w:t>
            </w:r>
          </w:p>
        </w:tc>
        <w:tc>
          <w:tcPr>
            <w:tcW w:type="dxa" w:w="1296"/>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keepNext/>
              <w:spacing w:before="0" w:after="0" w:line="259" w:lineRule="auto"/>
            </w:pPr>
            <w:r/>
            <w:r>
              <w:rPr>
                <w:rFonts w:ascii="Segoe UI" w:hAnsi="Segoe UI" w:cs="Segoe UI" w:eastAsia="Segoe UI"/>
                <w:b w:val="0"/>
                <w:i w:val="0"/>
                <w:color w:val="1F2937"/>
                <w:sz w:val="15"/>
              </w:rPr>
              <w:t>5 h 45 min</w:t>
            </w:r>
          </w:p>
        </w:tc>
        <w:tc>
          <w:tcPr>
            <w:tcW w:type="dxa" w:w="1238"/>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keepNext/>
              <w:spacing w:before="0" w:after="0" w:line="259" w:lineRule="auto"/>
            </w:pPr>
            <w:r/>
            <w:r>
              <w:rPr>
                <w:rFonts w:ascii="Segoe UI" w:hAnsi="Segoe UI" w:cs="Segoe UI" w:eastAsia="Segoe UI"/>
                <w:b w:val="0"/>
                <w:i w:val="0"/>
                <w:color w:val="1F2937"/>
                <w:sz w:val="15"/>
              </w:rPr>
              <w:t>8.63 min/s</w:t>
            </w:r>
          </w:p>
        </w:tc>
        <w:tc>
          <w:tcPr>
            <w:tcW w:type="dxa" w:w="1152"/>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keepNext/>
              <w:spacing w:before="0" w:after="0" w:line="259" w:lineRule="auto"/>
            </w:pPr>
            <w:r/>
            <w:r>
              <w:rPr>
                <w:rFonts w:ascii="Segoe UI" w:hAnsi="Segoe UI" w:cs="Segoe UI" w:eastAsia="Segoe UI"/>
                <w:b/>
                <w:i w:val="0"/>
                <w:color w:val="1F2937"/>
                <w:sz w:val="15"/>
              </w:rPr>
              <w:t>4 h 28 min</w:t>
            </w:r>
          </w:p>
        </w:tc>
      </w:tr>
      <w:tr>
        <w:trPr>
          <w:cantSplit/>
        </w:trPr>
        <w:tc>
          <w:tcPr>
            <w:tcW w:type="dxa" w:w="1512"/>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5"/>
              </w:rPr>
              <w:t>Production, dx 0.5 m</w:t>
            </w:r>
          </w:p>
        </w:tc>
        <w:tc>
          <w:tcPr>
            <w:tcW w:type="dxa" w:w="1180"/>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5"/>
              </w:rPr>
              <w:t>11,214,862</w:t>
            </w:r>
          </w:p>
        </w:tc>
        <w:tc>
          <w:tcPr>
            <w:tcW w:type="dxa" w:w="1224"/>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5"/>
              </w:rPr>
              <w:t>not set</w:t>
            </w:r>
          </w:p>
        </w:tc>
        <w:tc>
          <w:tcPr>
            <w:tcW w:type="dxa" w:w="1152"/>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5"/>
              </w:rPr>
              <w:t>no transient run</w:t>
            </w:r>
          </w:p>
        </w:tc>
        <w:tc>
          <w:tcPr>
            <w:tcW w:type="dxa" w:w="1036"/>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5"/>
              </w:rPr>
              <w:t>—</w:t>
            </w:r>
          </w:p>
        </w:tc>
        <w:tc>
          <w:tcPr>
            <w:tcW w:type="dxa" w:w="1296"/>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5"/>
              </w:rPr>
              <w:t>—</w:t>
            </w:r>
          </w:p>
        </w:tc>
        <w:tc>
          <w:tcPr>
            <w:tcW w:type="dxa" w:w="1238"/>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5"/>
              </w:rPr>
              <w:t>—</w:t>
            </w:r>
          </w:p>
        </w:tc>
        <w:tc>
          <w:tcPr>
            <w:tcW w:type="dxa" w:w="1152"/>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5"/>
              </w:rPr>
              <w:t>—</w:t>
            </w:r>
          </w:p>
        </w:tc>
      </w:tr>
    </w:tbl>
    <w:p>
      <w:pPr>
        <w:spacing w:after="80" w:line="192" w:lineRule="auto"/>
      </w:pPr>
    </w:p>
    <w:p>
      <w:pPr>
        <w:keepNext/>
        <w:spacing w:before="0" w:after="40"/>
      </w:pPr>
      <w:r>
        <w:rPr>
          <w:rFonts w:ascii="Segoe UI" w:hAnsi="Segoe UI" w:cs="Segoe UI" w:eastAsia="Segoe UI"/>
          <w:b w:val="0"/>
          <w:i w:val="0"/>
          <w:color w:val="1F2937"/>
          <w:sz w:val="19"/>
        </w:rPr>
        <w:t>The fine grid is the closest to the production resolution. The coarse and medium rows answer a different question and are shown only to make the scaling visible.</w:t>
      </w:r>
    </w:p>
    <w:p>
      <w:pPr>
        <w:keepNext/>
        <w:pBdr>
          <w:left w:val="single" w:sz="14" w:space="10" w:color="0E2A47"/>
        </w:pBdr>
        <w:tabs>
          <w:tab w:pos="2160" w:val="left"/>
        </w:tabs>
        <w:spacing w:before="80" w:after="0" w:line="264" w:lineRule="auto"/>
        <w:ind w:left="504"/>
      </w:pPr>
      <w:r>
        <w:rPr>
          <w:rFonts w:ascii="Consolas" w:hAnsi="Consolas" w:cs="Consolas" w:eastAsia="Consolas"/>
          <w:b w:val="0"/>
          <w:i w:val="0"/>
          <w:color w:val="0E2A47"/>
          <w:sz w:val="19"/>
        </w:rPr>
        <w:t>Rate:</w:t>
        <w:tab/>
        <w:t>5 h 45 min ÷ 40.00 s = 8.625 min per simulated s</w:t>
      </w:r>
    </w:p>
    <w:p>
      <w:pPr>
        <w:keepNext/>
        <w:pBdr>
          <w:left w:val="single" w:sz="14" w:space="10" w:color="0E2A47"/>
        </w:pBdr>
        <w:tabs>
          <w:tab w:pos="2160" w:val="left"/>
        </w:tabs>
        <w:spacing w:before="0" w:after="0" w:line="264" w:lineRule="auto"/>
        <w:ind w:left="504"/>
      </w:pPr>
      <w:r>
        <w:rPr>
          <w:rFonts w:ascii="Consolas" w:hAnsi="Consolas" w:cs="Consolas" w:eastAsia="Consolas"/>
          <w:b w:val="0"/>
          <w:i w:val="0"/>
          <w:color w:val="0E2A47"/>
          <w:sz w:val="19"/>
        </w:rPr>
        <w:t>One case:</w:t>
        <w:tab/>
        <w:t>31.10 s × 8.625 min/s = 4 h 28 min</w:t>
      </w:r>
    </w:p>
    <w:p>
      <w:pPr>
        <w:keepNext w:val="0"/>
        <w:pBdr>
          <w:left w:val="single" w:sz="14" w:space="10" w:color="0E2A47"/>
        </w:pBdr>
        <w:tabs>
          <w:tab w:pos="2160" w:val="left"/>
        </w:tabs>
        <w:spacing w:before="0" w:after="120" w:line="264" w:lineRule="auto"/>
        <w:ind w:left="504"/>
      </w:pPr>
      <w:r>
        <w:rPr>
          <w:rFonts w:ascii="Consolas" w:hAnsi="Consolas" w:cs="Consolas" w:eastAsia="Consolas"/>
          <w:b w:val="0"/>
          <w:i w:val="0"/>
          <w:color w:val="0E2A47"/>
          <w:sz w:val="19"/>
        </w:rPr>
        <w:t>Full matrix:</w:t>
        <w:tab/>
        <w:t>6 × 31.10 s × 8.625 min/s = 26 h 49 min</w:t>
      </w:r>
    </w:p>
    <w:p>
      <w:pPr>
        <w:spacing w:before="0" w:after="80"/>
      </w:pPr>
      <w:r>
        <w:rPr>
          <w:rFonts w:ascii="Segoe UI" w:hAnsi="Segoe UI" w:cs="Segoe UI" w:eastAsia="Segoe UI"/>
          <w:b w:val="0"/>
          <w:i w:val="0"/>
          <w:color w:val="1F2937"/>
          <w:sz w:val="19"/>
        </w:rPr>
        <w:t>Both are solver wall clock. The matrix figure is computed before rounding; six times the rounded 4 h 28 min would read 26 h 48 min.</w:t>
      </w:r>
    </w:p>
    <w:p>
      <w:pPr>
        <w:spacing w:before="0" w:after="120"/>
      </w:pPr>
      <w:r>
        <w:rPr>
          <w:rFonts w:ascii="Segoe UI" w:hAnsi="Segoe UI" w:cs="Segoe UI" w:eastAsia="Segoe UI"/>
          <w:b w:val="0"/>
          <w:i w:val="0"/>
          <w:color w:val="1F2937"/>
          <w:sz w:val="20"/>
        </w:rPr>
        <w:t>Six cases is what SOW §3.1 procures: 240° and 270° at 5 m/s, 8 m/s and 12 m/s at the 6.10 m reference height. The client's 10/09/2025 request to "add" 270° repeats cases 3.1-D to 3.1-F, which are already procured, and does not enlarge the matrix. No restart discount is taken.</w:t>
      </w:r>
    </w:p>
    <w:p>
      <w:pPr>
        <w:pStyle w:val="Heading2"/>
      </w:pPr>
      <w:r>
        <w:t>8.3  Whether the basis can be met</w:t>
      </w:r>
    </w:p>
    <w:p>
      <w:pPr>
        <w:keepNext/>
        <w:spacing w:before="0" w:after="60"/>
      </w:pPr>
      <w:r>
        <w:rPr>
          <w:rFonts w:ascii="Segoe UI" w:hAnsi="Segoe UI" w:cs="Segoe UI" w:eastAsia="Segoe UI"/>
          <w:b w:val="0"/>
          <w:i w:val="0"/>
          <w:color w:val="1F2937"/>
          <w:sz w:val="20"/>
        </w:rPr>
        <w:t>No. Condition by condition:</w:t>
      </w:r>
    </w:p>
    <w:tbl>
      <w:tblPr>
        <w:tblW w:type="auto" w:w="0"/>
        <w:jc w:val="center"/>
        <w:tblLayout w:type="fixed"/>
        <w:tblLayout w:type="fixed"/>
        <w:tblLook w:firstColumn="1" w:firstRow="1" w:lastColumn="0" w:lastRow="0" w:noHBand="0" w:noVBand="1" w:val="04A0"/>
      </w:tblPr>
      <w:tblGrid>
        <w:gridCol w:w="3240"/>
        <w:gridCol w:w="1296"/>
        <w:gridCol w:w="5256"/>
      </w:tblGrid>
      <w:tr>
        <w:trPr>
          <w:tblHeader/>
          <w:cantSplit/>
        </w:trPr>
        <w:tc>
          <w:tcPr>
            <w:tcW w:type="dxa" w:w="3240"/>
            <w:tcBorders>
              <w:top w:val="single" w:sz="4" w:space="0" w:color="A0AEC0"/>
              <w:left w:val="single" w:sz="4" w:space="0" w:color="A0AEC0"/>
              <w:bottom w:val="single" w:sz="4" w:space="0" w:color="A0AEC0"/>
              <w:right w:val="single" w:sz="4" w:space="0" w:color="A0AEC0"/>
            </w:tcBorders>
            <w:shd w:val="clear" w:color="auto" w:fill="0E2A47"/>
            <w:tcMar>
              <w:top w:w="80" w:type="dxa"/>
              <w:bottom w:w="80" w:type="dxa"/>
              <w:left w:w="110" w:type="dxa"/>
              <w:right w:w="110" w:type="dxa"/>
            </w:tcMar>
            <w:vAlign w:val="center"/>
          </w:tcPr>
          <w:p>
            <w:pPr>
              <w:keepNext/>
              <w:spacing w:before="0" w:after="0" w:line="259" w:lineRule="auto"/>
            </w:pPr>
            <w:r/>
            <w:r>
              <w:rPr>
                <w:rFonts w:ascii="Segoe UI" w:hAnsi="Segoe UI" w:cs="Segoe UI" w:eastAsia="Segoe UI"/>
                <w:b/>
                <w:i w:val="0"/>
                <w:color w:val="FFFFFF"/>
                <w:sz w:val="16"/>
              </w:rPr>
              <w:t>Condition the basis sets</w:t>
            </w:r>
          </w:p>
        </w:tc>
        <w:tc>
          <w:tcPr>
            <w:tcW w:type="dxa" w:w="1296"/>
            <w:tcBorders>
              <w:top w:val="single" w:sz="4" w:space="0" w:color="A0AEC0"/>
              <w:left w:val="single" w:sz="4" w:space="0" w:color="A0AEC0"/>
              <w:bottom w:val="single" w:sz="4" w:space="0" w:color="A0AEC0"/>
              <w:right w:val="single" w:sz="4" w:space="0" w:color="A0AEC0"/>
            </w:tcBorders>
            <w:shd w:val="clear" w:color="auto" w:fill="0E2A47"/>
            <w:tcMar>
              <w:top w:w="80" w:type="dxa"/>
              <w:bottom w:w="80" w:type="dxa"/>
              <w:left w:w="110" w:type="dxa"/>
              <w:right w:w="110" w:type="dxa"/>
            </w:tcMar>
            <w:vAlign w:val="center"/>
          </w:tcPr>
          <w:p>
            <w:pPr>
              <w:keepNext/>
              <w:spacing w:before="0" w:after="0" w:line="259" w:lineRule="auto"/>
            </w:pPr>
            <w:r/>
            <w:r>
              <w:rPr>
                <w:rFonts w:ascii="Segoe UI" w:hAnsi="Segoe UI" w:cs="Segoe UI" w:eastAsia="Segoe UI"/>
                <w:b/>
                <w:i w:val="0"/>
                <w:color w:val="FFFFFF"/>
                <w:sz w:val="16"/>
              </w:rPr>
              <w:t>Met?</w:t>
            </w:r>
          </w:p>
        </w:tc>
        <w:tc>
          <w:tcPr>
            <w:tcW w:type="dxa" w:w="5256"/>
            <w:tcBorders>
              <w:top w:val="single" w:sz="4" w:space="0" w:color="A0AEC0"/>
              <w:left w:val="single" w:sz="4" w:space="0" w:color="A0AEC0"/>
              <w:bottom w:val="single" w:sz="4" w:space="0" w:color="A0AEC0"/>
              <w:right w:val="single" w:sz="4" w:space="0" w:color="A0AEC0"/>
            </w:tcBorders>
            <w:shd w:val="clear" w:color="auto" w:fill="0E2A47"/>
            <w:tcMar>
              <w:top w:w="80" w:type="dxa"/>
              <w:bottom w:w="80" w:type="dxa"/>
              <w:left w:w="110" w:type="dxa"/>
              <w:right w:w="110" w:type="dxa"/>
            </w:tcMar>
            <w:vAlign w:val="center"/>
          </w:tcPr>
          <w:p>
            <w:pPr>
              <w:keepNext/>
              <w:spacing w:before="0" w:after="0" w:line="259" w:lineRule="auto"/>
            </w:pPr>
            <w:r/>
            <w:r>
              <w:rPr>
                <w:rFonts w:ascii="Segoe UI" w:hAnsi="Segoe UI" w:cs="Segoe UI" w:eastAsia="Segoe UI"/>
                <w:b/>
                <w:i w:val="0"/>
                <w:color w:val="FFFFFF"/>
                <w:sz w:val="16"/>
              </w:rPr>
              <w:t>Why</w:t>
            </w:r>
          </w:p>
        </w:tc>
      </w:tr>
      <w:tr>
        <w:trPr>
          <w:cantSplit/>
        </w:trPr>
        <w:tc>
          <w:tcPr>
            <w:tcW w:type="dxa" w:w="3240"/>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6"/>
              </w:rPr>
              <w:t>Rate from a run of record on the production grid</w:t>
            </w:r>
          </w:p>
        </w:tc>
        <w:tc>
          <w:tcPr>
            <w:tcW w:type="dxa" w:w="1296"/>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spacing w:before="0" w:after="0" w:line="259" w:lineRule="auto"/>
            </w:pPr>
            <w:r/>
            <w:r>
              <w:rPr>
                <w:rFonts w:ascii="Segoe UI" w:hAnsi="Segoe UI" w:cs="Segoe UI" w:eastAsia="Segoe UI"/>
                <w:b/>
                <w:i w:val="0"/>
                <w:color w:val="1F2937"/>
                <w:sz w:val="16"/>
              </w:rPr>
              <w:t>No</w:t>
            </w:r>
          </w:p>
        </w:tc>
        <w:tc>
          <w:tcPr>
            <w:tcW w:type="dxa" w:w="5256"/>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6"/>
              </w:rPr>
              <w:t>None exists. Attempt 3, the only run on that grid, integrated no physical time (0.00 s), so it yields no rate.</w:t>
            </w:r>
          </w:p>
        </w:tc>
      </w:tr>
      <w:tr>
        <w:trPr>
          <w:cantSplit/>
        </w:trPr>
        <w:tc>
          <w:tcPr>
            <w:tcW w:type="dxa" w:w="3240"/>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6"/>
              </w:rPr>
              <w:t>Fixed mesh</w:t>
            </w:r>
          </w:p>
        </w:tc>
        <w:tc>
          <w:tcPr>
            <w:tcW w:type="dxa" w:w="1296"/>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center"/>
          </w:tcPr>
          <w:p>
            <w:pPr>
              <w:spacing w:before="0" w:after="0" w:line="259" w:lineRule="auto"/>
            </w:pPr>
            <w:r/>
            <w:r>
              <w:rPr>
                <w:rFonts w:ascii="Segoe UI" w:hAnsi="Segoe UI" w:cs="Segoe UI" w:eastAsia="Segoe UI"/>
                <w:b/>
                <w:i w:val="0"/>
                <w:color w:val="1F2937"/>
                <w:sz w:val="16"/>
              </w:rPr>
              <w:t>No</w:t>
            </w:r>
          </w:p>
        </w:tc>
        <w:tc>
          <w:tcPr>
            <w:tcW w:type="dxa" w:w="5256"/>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6"/>
              </w:rPr>
              <w:t>The study's fine grid is a different mesh (Section 6.3).</w:t>
            </w:r>
          </w:p>
        </w:tc>
      </w:tr>
      <w:tr>
        <w:trPr>
          <w:cantSplit/>
        </w:trPr>
        <w:tc>
          <w:tcPr>
            <w:tcW w:type="dxa" w:w="3240"/>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6"/>
              </w:rPr>
              <w:t>Fixed solver stack</w:t>
            </w:r>
          </w:p>
        </w:tc>
        <w:tc>
          <w:tcPr>
            <w:tcW w:type="dxa" w:w="1296"/>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spacing w:before="0" w:after="0" w:line="259" w:lineRule="auto"/>
            </w:pPr>
            <w:r/>
            <w:r>
              <w:rPr>
                <w:rFonts w:ascii="Segoe UI" w:hAnsi="Segoe UI" w:cs="Segoe UI" w:eastAsia="Segoe UI"/>
                <w:b/>
                <w:i w:val="0"/>
                <w:color w:val="1F2937"/>
                <w:sz w:val="16"/>
              </w:rPr>
              <w:t>No</w:t>
            </w:r>
          </w:p>
        </w:tc>
        <w:tc>
          <w:tcPr>
            <w:tcW w:type="dxa" w:w="5256"/>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6"/>
              </w:rPr>
              <w:t>The study was fluid-only. The authorized run adds the multi-region conjugate solve (MS §6) and the MS App. A radiation banding; the study's SGS closure and radiation settings are not recorded.</w:t>
            </w:r>
          </w:p>
        </w:tc>
      </w:tr>
      <w:tr>
        <w:trPr>
          <w:cantSplit/>
        </w:trPr>
        <w:tc>
          <w:tcPr>
            <w:tcW w:type="dxa" w:w="3240"/>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6"/>
              </w:rPr>
              <w:t>Fixed core count</w:t>
            </w:r>
          </w:p>
        </w:tc>
        <w:tc>
          <w:tcPr>
            <w:tcW w:type="dxa" w:w="1296"/>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center"/>
          </w:tcPr>
          <w:p>
            <w:pPr>
              <w:spacing w:before="0" w:after="0" w:line="259" w:lineRule="auto"/>
            </w:pPr>
            <w:r/>
            <w:r>
              <w:rPr>
                <w:rFonts w:ascii="Segoe UI" w:hAnsi="Segoe UI" w:cs="Segoe UI" w:eastAsia="Segoe UI"/>
                <w:b/>
                <w:i w:val="0"/>
                <w:color w:val="1F2937"/>
                <w:sz w:val="16"/>
              </w:rPr>
              <w:t>No</w:t>
            </w:r>
          </w:p>
        </w:tc>
        <w:tc>
          <w:tcPr>
            <w:tcW w:type="dxa" w:w="5256"/>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6"/>
              </w:rPr>
              <w:t>Not recorded for the fine grid ("borrego + cloud burst"); attempt 3 used 64 cores; the production count is not yet set.</w:t>
            </w:r>
          </w:p>
        </w:tc>
      </w:tr>
      <w:tr>
        <w:trPr>
          <w:cantSplit/>
        </w:trPr>
        <w:tc>
          <w:tcPr>
            <w:tcW w:type="dxa" w:w="3240"/>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6"/>
              </w:rPr>
              <w:t>Per case, then × cases procured; no restart discount</w:t>
            </w:r>
          </w:p>
        </w:tc>
        <w:tc>
          <w:tcPr>
            <w:tcW w:type="dxa" w:w="1296"/>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6"/>
              </w:rPr>
              <w:t>Yes</w:t>
            </w:r>
          </w:p>
        </w:tc>
        <w:tc>
          <w:tcPr>
            <w:tcW w:type="dxa" w:w="5256"/>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6"/>
              </w:rPr>
              <w:t>6 cases (SOW §3.1).</w:t>
            </w:r>
          </w:p>
        </w:tc>
      </w:tr>
      <w:tr>
        <w:trPr>
          <w:cantSplit/>
        </w:trPr>
        <w:tc>
          <w:tcPr>
            <w:tcW w:type="dxa" w:w="3240"/>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6"/>
              </w:rPr>
              <w:t>Solver wall clock only</w:t>
            </w:r>
          </w:p>
        </w:tc>
        <w:tc>
          <w:tcPr>
            <w:tcW w:type="dxa" w:w="1296"/>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6"/>
              </w:rPr>
              <w:t>Yes, on the record</w:t>
            </w:r>
          </w:p>
        </w:tc>
        <w:tc>
          <w:tcPr>
            <w:tcW w:type="dxa" w:w="5256"/>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6"/>
              </w:rPr>
              <w:t>The 5 h 45 min excludes the burst-allocation wait, which would roughly double it (R. Ellsworth, 10/09/2025); the record does not itemize staging or decomposition inside it.</w:t>
            </w:r>
          </w:p>
        </w:tc>
      </w:tr>
      <w:tr>
        <w:trPr>
          <w:cantSplit/>
        </w:trPr>
        <w:tc>
          <w:tcPr>
            <w:tcW w:type="dxa" w:w="3240"/>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6"/>
              </w:rPr>
              <w:t>Same mesh and duration for every case in the matrix</w:t>
            </w:r>
          </w:p>
        </w:tc>
        <w:tc>
          <w:tcPr>
            <w:tcW w:type="dxa" w:w="1296"/>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6"/>
              </w:rPr>
              <w:t>Yes</w:t>
            </w:r>
          </w:p>
        </w:tc>
        <w:tc>
          <w:tcPr>
            <w:tcW w:type="dxa" w:w="5256"/>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6"/>
              </w:rPr>
              <w:t>One mesh; 31.10 s for every case.</w:t>
            </w:r>
          </w:p>
        </w:tc>
      </w:tr>
      <w:tr>
        <w:trPr>
          <w:cantSplit/>
        </w:trPr>
        <w:tc>
          <w:tcPr>
            <w:tcW w:type="dxa" w:w="3240"/>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6"/>
              </w:rPr>
              <w:t>Linear-scaling assumption written into the document</w:t>
            </w:r>
          </w:p>
        </w:tc>
        <w:tc>
          <w:tcPr>
            <w:tcW w:type="dxa" w:w="1296"/>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6"/>
              </w:rPr>
              <w:t>Yes</w:t>
            </w:r>
          </w:p>
        </w:tc>
        <w:tc>
          <w:tcPr>
            <w:tcW w:type="dxa" w:w="5256"/>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6"/>
              </w:rPr>
              <w:t>Section 8.6.</w:t>
            </w:r>
          </w:p>
        </w:tc>
      </w:tr>
    </w:tbl>
    <w:p>
      <w:pPr>
        <w:spacing w:after="80" w:line="192" w:lineRule="auto"/>
      </w:pPr>
    </w:p>
    <w:p>
      <w:pPr>
        <w:pStyle w:val="Heading2"/>
      </w:pPr>
      <w:r>
        <w:t>8.4  What the time step and Courant margin behind it imply</w:t>
      </w:r>
    </w:p>
    <w:p>
      <w:pPr>
        <w:keepNext/>
        <w:spacing w:before="0" w:after="120"/>
      </w:pPr>
      <w:r>
        <w:rPr>
          <w:rFonts w:ascii="Segoe UI" w:hAnsi="Segoe UI" w:cs="Segoe UI" w:eastAsia="Segoe UI"/>
          <w:b w:val="0"/>
          <w:i w:val="0"/>
          <w:color w:val="1F2937"/>
          <w:sz w:val="20"/>
        </w:rPr>
        <w:t>The fine-grid run averaged Δt = 2.2 × 10</w:t>
      </w:r>
      <w:r>
        <w:rPr>
          <w:rFonts w:ascii="Segoe UI" w:hAnsi="Segoe UI" w:cs="Segoe UI" w:eastAsia="Segoe UI"/>
          <w:b w:val="0"/>
          <w:i w:val="0"/>
          <w:color w:val="1F2937"/>
          <w:sz w:val="20"/>
          <w:vertAlign w:val="superscript"/>
        </w:rPr>
        <w:t>−3</w:t>
      </w:r>
      <w:r>
        <w:rPr>
          <w:rFonts w:ascii="Segoe UI" w:hAnsi="Segoe UI" w:cs="Segoe UI" w:eastAsia="Segoe UI"/>
          <w:b w:val="0"/>
          <w:i w:val="0"/>
          <w:color w:val="1F2937"/>
          <w:sz w:val="20"/>
        </w:rPr>
        <w:t xml:space="preserve"> s with a maximum Courant number of 0.90 (–) against the 0.9 limit (mean 0.47): no margin at all. The step was set by the Courant limit — by the smallest flow cells and the local velocity — not by the ceiling, since 2.2 × 10</w:t>
      </w:r>
      <w:r>
        <w:rPr>
          <w:rFonts w:ascii="Segoe UI" w:hAnsi="Segoe UI" w:cs="Segoe UI" w:eastAsia="Segoe UI"/>
          <w:b w:val="0"/>
          <w:i w:val="0"/>
          <w:color w:val="1F2937"/>
          <w:sz w:val="20"/>
          <w:vertAlign w:val="superscript"/>
        </w:rPr>
        <w:t>−3</w:t>
      </w:r>
      <w:r>
        <w:rPr>
          <w:rFonts w:ascii="Segoe UI" w:hAnsi="Segoe UI" w:cs="Segoe UI" w:eastAsia="Segoe UI"/>
          <w:b w:val="0"/>
          <w:i w:val="0"/>
          <w:color w:val="1F2937"/>
          <w:sz w:val="20"/>
        </w:rPr>
        <w:t xml:space="preserve"> s is 22 % of the 0.01 s maxDeltaT. The study grids show the mechanism: halving dx from 1.0 m to 0.5 m roughly halved Δt (4.7 × 10</w:t>
      </w:r>
      <w:r>
        <w:rPr>
          <w:rFonts w:ascii="Segoe UI" w:hAnsi="Segoe UI" w:cs="Segoe UI" w:eastAsia="Segoe UI"/>
          <w:b w:val="0"/>
          <w:i w:val="0"/>
          <w:color w:val="1F2937"/>
          <w:sz w:val="20"/>
          <w:vertAlign w:val="superscript"/>
        </w:rPr>
        <w:t>−3</w:t>
      </w:r>
      <w:r>
        <w:rPr>
          <w:rFonts w:ascii="Segoe UI" w:hAnsi="Segoe UI" w:cs="Segoe UI" w:eastAsia="Segoe UI"/>
          <w:b w:val="0"/>
          <w:i w:val="0"/>
          <w:color w:val="1F2937"/>
          <w:sz w:val="20"/>
        </w:rPr>
        <w:t xml:space="preserve"> s to 2.2 × 10</w:t>
      </w:r>
      <w:r>
        <w:rPr>
          <w:rFonts w:ascii="Segoe UI" w:hAnsi="Segoe UI" w:cs="Segoe UI" w:eastAsia="Segoe UI"/>
          <w:b w:val="0"/>
          <w:i w:val="0"/>
          <w:color w:val="1F2937"/>
          <w:sz w:val="20"/>
          <w:vertAlign w:val="superscript"/>
        </w:rPr>
        <w:t>−3</w:t>
      </w:r>
      <w:r>
        <w:rPr>
          <w:rFonts w:ascii="Segoe UI" w:hAnsi="Segoe UI" w:cs="Segoe UI" w:eastAsia="Segoe UI"/>
          <w:b w:val="0"/>
          <w:i w:val="0"/>
          <w:color w:val="1F2937"/>
          <w:sz w:val="20"/>
        </w:rPr>
        <w:t xml:space="preserve"> s) while cells rose 7.9-fold, and wall clock per simulated second rose from 1.75 min to 8.63 min. It follows that:</w:t>
      </w:r>
    </w:p>
    <w:p>
      <w:pPr>
        <w:spacing w:after="60"/>
        <w:ind w:left="461" w:hanging="259"/>
      </w:pPr>
      <w:r>
        <w:rPr>
          <w:rFonts w:ascii="Segoe UI" w:hAnsi="Segoe UI" w:cs="Segoe UI" w:eastAsia="Segoe UI"/>
          <w:b/>
          <w:i w:val="0"/>
          <w:color w:val="006699"/>
          <w:sz w:val="20"/>
        </w:rPr>
        <w:t xml:space="preserve">•  </w:t>
      </w:r>
      <w:r>
        <w:rPr>
          <w:rFonts w:ascii="Segoe UI" w:hAnsi="Segoe UI" w:cs="Segoe UI" w:eastAsia="Segoe UI"/>
          <w:b/>
          <w:i w:val="0"/>
          <w:color w:val="1F2937"/>
          <w:sz w:val="20"/>
        </w:rPr>
        <w:t>The rate belongs to the study mesh.</w:t>
      </w:r>
      <w:r>
        <w:rPr>
          <w:rFonts w:ascii="Segoe UI" w:hAnsi="Segoe UI" w:cs="Segoe UI" w:eastAsia="Segoe UI"/>
          <w:b w:val="0"/>
          <w:i w:val="0"/>
          <w:color w:val="1F2937"/>
          <w:sz w:val="20"/>
        </w:rPr>
        <w:t xml:space="preserve"> The production mesh has 0.0625 m flow-side cells within 0.30 m of the leaves, where the plume meets the exposed face, against a 0.125 m minimum in the study. A Courant-bound step scales with cell size, so it will be shorter: if the limit binds in those cells at the study's velocities, Δt roughly halves and solver wall clock roughly doubles (illustrative, not a projection).</w:t>
      </w:r>
    </w:p>
    <w:p>
      <w:pPr>
        <w:spacing w:after="60"/>
        <w:ind w:left="461" w:hanging="259"/>
      </w:pPr>
      <w:r>
        <w:rPr>
          <w:rFonts w:ascii="Segoe UI" w:hAnsi="Segoe UI" w:cs="Segoe UI" w:eastAsia="Segoe UI"/>
          <w:b/>
          <w:i w:val="0"/>
          <w:color w:val="006699"/>
          <w:sz w:val="20"/>
        </w:rPr>
        <w:t xml:space="preserve">•  </w:t>
      </w:r>
      <w:r>
        <w:rPr>
          <w:rFonts w:ascii="Segoe UI" w:hAnsi="Segoe UI" w:cs="Segoe UI" w:eastAsia="Segoe UI"/>
          <w:b/>
          <w:i w:val="0"/>
          <w:color w:val="1F2937"/>
          <w:sz w:val="20"/>
        </w:rPr>
        <w:t>The authorized 0.01 s ceiling will not bind</w:t>
      </w:r>
      <w:r>
        <w:rPr>
          <w:rFonts w:ascii="Segoe UI" w:hAnsi="Segoe UI" w:cs="Segoe UI" w:eastAsia="Segoe UI"/>
          <w:b w:val="0"/>
          <w:i w:val="0"/>
          <w:color w:val="1F2937"/>
          <w:sz w:val="20"/>
        </w:rPr>
        <w:t xml:space="preserve"> and does not change the cost.</w:t>
      </w:r>
    </w:p>
    <w:p>
      <w:pPr>
        <w:spacing w:after="100"/>
        <w:ind w:left="461" w:hanging="259"/>
      </w:pPr>
      <w:r>
        <w:rPr>
          <w:rFonts w:ascii="Segoe UI" w:hAnsi="Segoe UI" w:cs="Segoe UI" w:eastAsia="Segoe UI"/>
          <w:b/>
          <w:i w:val="0"/>
          <w:color w:val="006699"/>
          <w:sz w:val="20"/>
        </w:rPr>
        <w:t xml:space="preserve">•  </w:t>
      </w:r>
      <w:r>
        <w:rPr>
          <w:rFonts w:ascii="Segoe UI" w:hAnsi="Segoe UI" w:cs="Segoe UI" w:eastAsia="Segoe UI"/>
          <w:b/>
          <w:i w:val="0"/>
          <w:color w:val="1F2937"/>
          <w:sz w:val="20"/>
        </w:rPr>
        <w:t>Nothing offsets it.</w:t>
      </w:r>
      <w:r>
        <w:rPr>
          <w:rFonts w:ascii="Segoe UI" w:hAnsi="Segoe UI" w:cs="Segoe UI" w:eastAsia="Segoe UI"/>
          <w:b w:val="0"/>
          <w:i w:val="0"/>
          <w:color w:val="1F2937"/>
          <w:sz w:val="20"/>
        </w:rPr>
        <w:t xml:space="preserve"> Cell count and step change in the same direction and do not cancel (basis point 2), and the conjugate regions add work at every step. Every difference between the study and the authorized run pushes the cost up, and with no margin in hand any case with higher peak velocities steps shorter still.</w:t>
      </w:r>
    </w:p>
    <w:p>
      <w:pPr>
        <w:pStyle w:val="Heading2"/>
      </w:pPr>
      <w:r>
        <w:t>8.5  What the figure is worth</w:t>
      </w:r>
    </w:p>
    <w:p>
      <w:pPr>
        <w:spacing w:before="0" w:after="120"/>
      </w:pPr>
      <w:r>
        <w:rPr>
          <w:rFonts w:ascii="Segoe UI" w:hAnsi="Segoe UI" w:cs="Segoe UI" w:eastAsia="Segoe UI"/>
          <w:b w:val="0"/>
          <w:i w:val="0"/>
          <w:color w:val="1F2937"/>
          <w:sz w:val="20"/>
        </w:rPr>
        <w:t>4 h 28 min per case and 26 h 49 min for the matrix are a lower bound on solver wall clock and nothing more. They are not a projection on the firm's basis and are not to be quoted to the client, priced against, or read as a delivery date. The basis-conforming figure comes from the first authorized case: run it to 31.10 s at the fixed production core count, take its simulated seconds over solver wall clock as the run of record, and re-project the matrix as six times that case.</w:t>
      </w:r>
    </w:p>
    <w:p>
      <w:pPr>
        <w:pStyle w:val="Heading2"/>
      </w:pPr>
      <w:r>
        <w:t>8.6  Assumptions</w:t>
      </w:r>
    </w:p>
    <w:p>
      <w:pPr>
        <w:spacing w:before="0" w:after="120"/>
      </w:pPr>
      <w:r>
        <w:rPr>
          <w:rFonts w:ascii="Segoe UI" w:hAnsi="Segoe UI" w:cs="Segoe UI" w:eastAsia="Segoe UI"/>
          <w:b w:val="0"/>
          <w:i w:val="0"/>
          <w:color w:val="1F2937"/>
          <w:sz w:val="20"/>
        </w:rPr>
        <w:t>Solver wall clock is taken as linear in simulated physical time for a fixed mesh, solver stack and core count; the figures are projections under that stated assumption, not measurements. They are solver wall clock only and exclude queue wait, staging, meshing, decomposition, post-processing and cloud-burst provisioning latency. Here the rate has been carried across a change of mesh and solver stack, which the basis does not allow; that is why the figures are stated as a lower bound.</w:t>
      </w:r>
    </w:p>
    <w:p>
      <w:pPr>
        <w:pStyle w:val="Heading1"/>
        <w:pBdr>
          <w:bottom w:val="single" w:sz="8" w:space="3" w:color="0E2A47"/>
        </w:pBdr>
      </w:pPr>
      <w:r>
        <w:t>9.  Attempt 3: Consumption and Downstream Use</w:t>
      </w:r>
    </w:p>
    <w:tbl>
      <w:tblPr>
        <w:tblW w:type="auto" w:w="0"/>
        <w:jc w:val="center"/>
        <w:tblLayout w:type="fixed"/>
        <w:tblLayout w:type="fixed"/>
        <w:tblLook w:firstColumn="1" w:firstRow="1" w:lastColumn="0" w:lastRow="0" w:noHBand="0" w:noVBand="1" w:val="04A0"/>
      </w:tblPr>
      <w:tblGrid>
        <w:gridCol w:w="2304"/>
        <w:gridCol w:w="7488"/>
      </w:tblGrid>
      <w:tr>
        <w:trPr>
          <w:tblHeader/>
          <w:cantSplit/>
        </w:trPr>
        <w:tc>
          <w:tcPr>
            <w:tcW w:type="dxa" w:w="2304"/>
            <w:tcBorders>
              <w:top w:val="single" w:sz="4" w:space="0" w:color="A0AEC0"/>
              <w:left w:val="single" w:sz="4" w:space="0" w:color="A0AEC0"/>
              <w:bottom w:val="single" w:sz="4" w:space="0" w:color="A0AEC0"/>
              <w:right w:val="single" w:sz="4" w:space="0" w:color="A0AEC0"/>
            </w:tcBorders>
            <w:shd w:val="clear" w:color="auto" w:fill="0E2A47"/>
            <w:tcMar>
              <w:top w:w="80" w:type="dxa"/>
              <w:bottom w:w="80" w:type="dxa"/>
              <w:left w:w="110" w:type="dxa"/>
              <w:right w:w="110" w:type="dxa"/>
            </w:tcMar>
            <w:vAlign w:val="center"/>
          </w:tcPr>
          <w:p>
            <w:pPr>
              <w:keepNext/>
              <w:spacing w:before="0" w:after="0" w:line="259" w:lineRule="auto"/>
            </w:pPr>
            <w:r/>
            <w:r>
              <w:rPr>
                <w:rFonts w:ascii="Segoe UI" w:hAnsi="Segoe UI" w:cs="Segoe UI" w:eastAsia="Segoe UI"/>
                <w:b/>
                <w:i w:val="0"/>
                <w:color w:val="FFFFFF"/>
                <w:sz w:val="17"/>
              </w:rPr>
              <w:t>Quantity</w:t>
            </w:r>
          </w:p>
        </w:tc>
        <w:tc>
          <w:tcPr>
            <w:tcW w:type="dxa" w:w="7488"/>
            <w:tcBorders>
              <w:top w:val="single" w:sz="4" w:space="0" w:color="A0AEC0"/>
              <w:left w:val="single" w:sz="4" w:space="0" w:color="A0AEC0"/>
              <w:bottom w:val="single" w:sz="4" w:space="0" w:color="A0AEC0"/>
              <w:right w:val="single" w:sz="4" w:space="0" w:color="A0AEC0"/>
            </w:tcBorders>
            <w:shd w:val="clear" w:color="auto" w:fill="0E2A47"/>
            <w:tcMar>
              <w:top w:w="80" w:type="dxa"/>
              <w:bottom w:w="80" w:type="dxa"/>
              <w:left w:w="110" w:type="dxa"/>
              <w:right w:w="110" w:type="dxa"/>
            </w:tcMar>
            <w:vAlign w:val="center"/>
          </w:tcPr>
          <w:p>
            <w:pPr>
              <w:keepNext/>
              <w:spacing w:before="0" w:after="0" w:line="259" w:lineRule="auto"/>
            </w:pPr>
            <w:r/>
            <w:r>
              <w:rPr>
                <w:rFonts w:ascii="Segoe UI" w:hAnsi="Segoe UI" w:cs="Segoe UI" w:eastAsia="Segoe UI"/>
                <w:b/>
                <w:i w:val="0"/>
                <w:color w:val="FFFFFF"/>
                <w:sz w:val="17"/>
              </w:rPr>
              <w:t>Value</w:t>
            </w:r>
          </w:p>
        </w:tc>
      </w:tr>
      <w:tr>
        <w:trPr>
          <w:cantSplit/>
        </w:trPr>
        <w:tc>
          <w:tcPr>
            <w:tcW w:type="dxa" w:w="2304"/>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keepNext/>
              <w:spacing w:before="0" w:after="0" w:line="259" w:lineRule="auto"/>
            </w:pPr>
            <w:r/>
            <w:r>
              <w:rPr>
                <w:rFonts w:ascii="Segoe UI" w:hAnsi="Segoe UI" w:cs="Segoe UI" w:eastAsia="Segoe UI"/>
                <w:b/>
                <w:i w:val="0"/>
                <w:color w:val="0E2A47"/>
                <w:sz w:val="17"/>
              </w:rPr>
              <w:t>Solver wall clock</w:t>
            </w:r>
          </w:p>
        </w:tc>
        <w:tc>
          <w:tcPr>
            <w:tcW w:type="dxa" w:w="7488"/>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keepNext/>
              <w:spacing w:before="0" w:after="0" w:line="259" w:lineRule="auto"/>
            </w:pPr>
            <w:r/>
            <w:r>
              <w:rPr>
                <w:rFonts w:ascii="Segoe UI" w:hAnsi="Segoe UI" w:cs="Segoe UI" w:eastAsia="Segoe UI"/>
                <w:b w:val="0"/>
                <w:i w:val="0"/>
                <w:color w:val="1F2937"/>
                <w:sz w:val="17"/>
              </w:rPr>
              <w:t>6 h 41 min (SLURM job 41304; exit 0, endTime reached)</w:t>
            </w:r>
          </w:p>
        </w:tc>
      </w:tr>
      <w:tr>
        <w:trPr>
          <w:cantSplit/>
        </w:trPr>
        <w:tc>
          <w:tcPr>
            <w:tcW w:type="dxa" w:w="2304"/>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center"/>
          </w:tcPr>
          <w:p>
            <w:pPr>
              <w:keepNext/>
              <w:spacing w:before="0" w:after="0" w:line="259" w:lineRule="auto"/>
            </w:pPr>
            <w:r/>
            <w:r>
              <w:rPr>
                <w:rFonts w:ascii="Segoe UI" w:hAnsi="Segoe UI" w:cs="Segoe UI" w:eastAsia="Segoe UI"/>
                <w:b/>
                <w:i w:val="0"/>
                <w:color w:val="0E2A47"/>
                <w:sz w:val="17"/>
              </w:rPr>
              <w:t>Resources</w:t>
            </w:r>
          </w:p>
        </w:tc>
        <w:tc>
          <w:tcPr>
            <w:tcW w:type="dxa" w:w="7488"/>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center"/>
          </w:tcPr>
          <w:p>
            <w:pPr>
              <w:keepNext/>
              <w:spacing w:before="0" w:after="0" w:line="259" w:lineRule="auto"/>
            </w:pPr>
            <w:r/>
            <w:r>
              <w:rPr>
                <w:rFonts w:ascii="Segoe UI" w:hAnsi="Segoe UI" w:cs="Segoe UI" w:eastAsia="Segoe UI"/>
                <w:b w:val="0"/>
                <w:i w:val="0"/>
                <w:color w:val="1F2937"/>
                <w:sz w:val="17"/>
              </w:rPr>
              <w:t>64 cores on 4 borrego nodes (mulshi-node-14 to -17); 424.3 CPU-hours (user); 26.73 node-hours (wall-clock hours × cores ÷ 16)</w:t>
            </w:r>
          </w:p>
        </w:tc>
      </w:tr>
      <w:tr>
        <w:trPr>
          <w:cantSplit/>
        </w:trPr>
        <w:tc>
          <w:tcPr>
            <w:tcW w:type="dxa" w:w="2304"/>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keepNext/>
              <w:spacing w:before="0" w:after="0" w:line="259" w:lineRule="auto"/>
            </w:pPr>
            <w:r/>
            <w:r>
              <w:rPr>
                <w:rFonts w:ascii="Segoe UI" w:hAnsi="Segoe UI" w:cs="Segoe UI" w:eastAsia="Segoe UI"/>
                <w:b/>
                <w:i w:val="0"/>
                <w:color w:val="0E2A47"/>
                <w:sz w:val="17"/>
              </w:rPr>
              <w:t>Work done</w:t>
            </w:r>
          </w:p>
        </w:tc>
        <w:tc>
          <w:tcPr>
            <w:tcW w:type="dxa" w:w="7488"/>
            <w:tcBorders>
              <w:top w:val="single" w:sz="4" w:space="0" w:color="A0AEC0"/>
              <w:left w:val="single" w:sz="4" w:space="0" w:color="A0AEC0"/>
              <w:bottom w:val="single" w:sz="4" w:space="0" w:color="A0AEC0"/>
              <w:right w:val="single" w:sz="4" w:space="0" w:color="A0AEC0"/>
            </w:tcBorders>
            <w:shd w:val="clear" w:color="auto" w:fill="FFFFFF"/>
            <w:tcMar>
              <w:top w:w="70" w:type="dxa"/>
              <w:bottom w:w="70" w:type="dxa"/>
              <w:left w:w="110" w:type="dxa"/>
              <w:right w:w="110" w:type="dxa"/>
            </w:tcMar>
            <w:vAlign w:val="center"/>
          </w:tcPr>
          <w:p>
            <w:pPr>
              <w:keepNext/>
              <w:spacing w:before="0" w:after="0" w:line="259" w:lineRule="auto"/>
            </w:pPr>
            <w:r/>
            <w:r>
              <w:rPr>
                <w:rFonts w:ascii="Segoe UI" w:hAnsi="Segoe UI" w:cs="Segoe UI" w:eastAsia="Segoe UI"/>
                <w:b w:val="0"/>
                <w:i w:val="0"/>
                <w:color w:val="1F2937"/>
                <w:sz w:val="17"/>
              </w:rPr>
              <w:t>800 SIMPLE outer iterations; 0.00 s of simulated physical time</w:t>
            </w:r>
          </w:p>
        </w:tc>
      </w:tr>
      <w:tr>
        <w:trPr>
          <w:cantSplit/>
        </w:trPr>
        <w:tc>
          <w:tcPr>
            <w:tcW w:type="dxa" w:w="2304"/>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center"/>
          </w:tcPr>
          <w:p>
            <w:pPr>
              <w:spacing w:before="0" w:after="0" w:line="259" w:lineRule="auto"/>
            </w:pPr>
            <w:r/>
            <w:r>
              <w:rPr>
                <w:rFonts w:ascii="Segoe UI" w:hAnsi="Segoe UI" w:cs="Segoe UI" w:eastAsia="Segoe UI"/>
                <w:b/>
                <w:i w:val="0"/>
                <w:color w:val="0E2A47"/>
                <w:sz w:val="17"/>
              </w:rPr>
              <w:t>Pace</w:t>
            </w:r>
          </w:p>
        </w:tc>
        <w:tc>
          <w:tcPr>
            <w:tcW w:type="dxa" w:w="7488"/>
            <w:tcBorders>
              <w:top w:val="single" w:sz="4" w:space="0" w:color="A0AEC0"/>
              <w:left w:val="single" w:sz="4" w:space="0" w:color="A0AEC0"/>
              <w:bottom w:val="single" w:sz="4" w:space="0" w:color="A0AEC0"/>
              <w:right w:val="single" w:sz="4" w:space="0" w:color="A0AEC0"/>
            </w:tcBorders>
            <w:shd w:val="clear" w:color="auto" w:fill="EEF2F7"/>
            <w:tcMar>
              <w:top w:w="70" w:type="dxa"/>
              <w:bottom w:w="70" w:type="dxa"/>
              <w:left w:w="110" w:type="dxa"/>
              <w:right w:w="110" w:type="dxa"/>
            </w:tcMar>
            <w:vAlign w:val="center"/>
          </w:tcPr>
          <w:p>
            <w:pPr>
              <w:spacing w:before="0" w:after="0" w:line="259" w:lineRule="auto"/>
            </w:pPr>
            <w:r/>
            <w:r>
              <w:rPr>
                <w:rFonts w:ascii="Segoe UI" w:hAnsi="Segoe UI" w:cs="Segoe UI" w:eastAsia="Segoe UI"/>
                <w:b w:val="0"/>
                <w:i w:val="0"/>
                <w:color w:val="1F2937"/>
                <w:sz w:val="17"/>
              </w:rPr>
              <w:t>About 10 min per 25 iterations through iteration 775; the last 25 iterations took 1 h 30 min, unexplained in the log</w:t>
            </w:r>
          </w:p>
        </w:tc>
      </w:tr>
    </w:tbl>
    <w:p>
      <w:pPr>
        <w:spacing w:after="80" w:line="192" w:lineRule="auto"/>
      </w:pPr>
    </w:p>
    <w:p>
      <w:pPr>
        <w:spacing w:before="0" w:after="120"/>
      </w:pPr>
      <w:r>
        <w:rPr>
          <w:rFonts w:ascii="Segoe UI" w:hAnsi="Segoe UI" w:cs="Segoe UI" w:eastAsia="Segoe UI"/>
          <w:b w:val="0"/>
          <w:i w:val="0"/>
          <w:color w:val="1F2937"/>
          <w:sz w:val="19"/>
        </w:rPr>
        <w:t>Attempts 1 and 2 do not appear in the accounting available (the Q3 2025 export ends 09/30/2025).</w:t>
      </w:r>
    </w:p>
    <w:p>
      <w:pPr>
        <w:spacing w:before="0" w:after="120"/>
      </w:pPr>
      <w:r>
        <w:rPr>
          <w:rFonts w:ascii="Segoe UI" w:hAnsi="Segoe UI" w:cs="Segoe UI" w:eastAsia="Segoe UI"/>
          <w:b/>
          <w:i w:val="0"/>
          <w:color w:val="1F2937"/>
          <w:sz w:val="20"/>
        </w:rPr>
        <w:t>Against one authorized case:</w:t>
      </w:r>
      <w:r>
        <w:rPr>
          <w:rFonts w:ascii="Segoe UI" w:hAnsi="Segoe UI" w:cs="Segoe UI" w:eastAsia="Segoe UI"/>
          <w:b w:val="0"/>
          <w:i w:val="0"/>
          <w:color w:val="1F2937"/>
          <w:sz w:val="20"/>
        </w:rPr>
        <w:t xml:space="preserve"> 6 h 41 min is 1.49 times the 4 h 28 min per-case lower bound (2 h 13 min more) and 56 min more than the entire 40.00 s fine-grid study LES (5 h 45 min) — spent on 0.00 s of the 31.10 s each authorized case must cover. The comparison is wall clock against wall clock on core counts that are not like-for-like, and because the lower bound understates the authorized case, the true ratio is smaller; it can be stated firmly once the run of record exists.</w:t>
      </w:r>
    </w:p>
    <w:p>
      <w:pPr>
        <w:keepNext/>
        <w:spacing w:before="0" w:after="40"/>
      </w:pPr>
      <w:r>
        <w:rPr>
          <w:rFonts w:ascii="Segoe UI" w:hAnsi="Segoe UI" w:cs="Segoe UI" w:eastAsia="Segoe UI"/>
          <w:b/>
          <w:i w:val="0"/>
          <w:color w:val="1F2937"/>
          <w:sz w:val="20"/>
        </w:rPr>
        <w:t>What is usable downstream:</w:t>
      </w:r>
    </w:p>
    <w:p>
      <w:pPr>
        <w:spacing w:after="60"/>
        <w:ind w:left="461" w:hanging="259"/>
      </w:pPr>
      <w:r>
        <w:rPr>
          <w:rFonts w:ascii="Segoe UI" w:hAnsi="Segoe UI" w:cs="Segoe UI" w:eastAsia="Segoe UI"/>
          <w:b/>
          <w:i w:val="0"/>
          <w:color w:val="006699"/>
          <w:sz w:val="20"/>
        </w:rPr>
        <w:t xml:space="preserve">•  </w:t>
      </w:r>
      <w:r>
        <w:rPr>
          <w:rFonts w:ascii="Segoe UI" w:hAnsi="Segoe UI" w:cs="Segoe UI" w:eastAsia="Segoe UI"/>
          <w:b/>
          <w:i w:val="0"/>
          <w:color w:val="1F2937"/>
          <w:sz w:val="20"/>
        </w:rPr>
        <w:t>Results: nothing.</w:t>
      </w:r>
      <w:r>
        <w:rPr>
          <w:rFonts w:ascii="Segoe UI" w:hAnsi="Segoe UI" w:cs="Segoe UI" w:eastAsia="Segoe UI"/>
          <w:b w:val="0"/>
          <w:i w:val="0"/>
          <w:color w:val="1F2937"/>
          <w:sz w:val="20"/>
        </w:rPr>
        <w:t xml:space="preserve"> The field is a pseudo-time iterate of a non-conforming RANS setup; it is not to be used as an initial condition, interpolated, averaged or reported.</w:t>
      </w:r>
    </w:p>
    <w:p>
      <w:pPr>
        <w:spacing w:after="60"/>
        <w:ind w:left="461" w:hanging="259"/>
      </w:pPr>
      <w:r>
        <w:rPr>
          <w:rFonts w:ascii="Segoe UI" w:hAnsi="Segoe UI" w:cs="Segoe UI" w:eastAsia="Segoe UI"/>
          <w:b/>
          <w:i w:val="0"/>
          <w:color w:val="006699"/>
          <w:sz w:val="20"/>
        </w:rPr>
        <w:t xml:space="preserve">•  </w:t>
      </w:r>
      <w:r>
        <w:rPr>
          <w:rFonts w:ascii="Segoe UI" w:hAnsi="Segoe UI" w:cs="Segoe UI" w:eastAsia="Segoe UI"/>
          <w:b/>
          <w:i w:val="0"/>
          <w:color w:val="1F2937"/>
          <w:sz w:val="20"/>
        </w:rPr>
        <w:t>Cost: nothing.</w:t>
      </w:r>
      <w:r>
        <w:rPr>
          <w:rFonts w:ascii="Segoe UI" w:hAnsi="Segoe UI" w:cs="Segoe UI" w:eastAsia="Segoe UI"/>
          <w:b w:val="0"/>
          <w:i w:val="0"/>
          <w:color w:val="1F2937"/>
          <w:sz w:val="20"/>
        </w:rPr>
        <w:t xml:space="preserve"> With no physical time integrated there is no rate, and per-iteration cost is not the firm basis.</w:t>
      </w:r>
    </w:p>
    <w:p>
      <w:pPr>
        <w:spacing w:after="60"/>
        <w:ind w:left="461" w:hanging="259"/>
      </w:pPr>
      <w:r>
        <w:rPr>
          <w:rFonts w:ascii="Segoe UI" w:hAnsi="Segoe UI" w:cs="Segoe UI" w:eastAsia="Segoe UI"/>
          <w:b/>
          <w:i w:val="0"/>
          <w:color w:val="006699"/>
          <w:sz w:val="20"/>
        </w:rPr>
        <w:t xml:space="preserve">•  </w:t>
      </w:r>
      <w:r>
        <w:rPr>
          <w:rFonts w:ascii="Segoe UI" w:hAnsi="Segoe UI" w:cs="Segoe UI" w:eastAsia="Segoe UI"/>
          <w:b/>
          <w:i w:val="0"/>
          <w:color w:val="1F2937"/>
          <w:sz w:val="20"/>
        </w:rPr>
        <w:t>Evidence:</w:t>
      </w:r>
      <w:r>
        <w:rPr>
          <w:rFonts w:ascii="Segoe UI" w:hAnsi="Segoe UI" w:cs="Segoe UI" w:eastAsia="Segoe UI"/>
          <w:b w:val="0"/>
          <w:i w:val="0"/>
          <w:color w:val="1F2937"/>
          <w:sz w:val="20"/>
        </w:rPr>
        <w:t xml:space="preserve"> the plateau and its reported period stay on file as diagnostic corroboration of the 0.87 Hz puffing, cited in this note only; they are not verification or validation evidence.</w:t>
      </w:r>
    </w:p>
    <w:p>
      <w:pPr>
        <w:spacing w:after="60"/>
        <w:ind w:left="461" w:hanging="259"/>
      </w:pPr>
      <w:r>
        <w:rPr>
          <w:rFonts w:ascii="Segoe UI" w:hAnsi="Segoe UI" w:cs="Segoe UI" w:eastAsia="Segoe UI"/>
          <w:b/>
          <w:i w:val="0"/>
          <w:color w:val="006699"/>
          <w:sz w:val="20"/>
        </w:rPr>
        <w:t xml:space="preserve">•  </w:t>
      </w:r>
      <w:r>
        <w:rPr>
          <w:rFonts w:ascii="Segoe UI" w:hAnsi="Segoe UI" w:cs="Segoe UI" w:eastAsia="Segoe UI"/>
          <w:b/>
          <w:i w:val="0"/>
          <w:color w:val="1F2937"/>
          <w:sz w:val="20"/>
        </w:rPr>
        <w:t>Operations:</w:t>
      </w:r>
      <w:r>
        <w:rPr>
          <w:rFonts w:ascii="Segoe UI" w:hAnsi="Segoe UI" w:cs="Segoe UI" w:eastAsia="Segoe UI"/>
          <w:b w:val="0"/>
          <w:i w:val="0"/>
          <w:color w:val="1F2937"/>
          <w:sz w:val="20"/>
        </w:rPr>
        <w:t xml:space="preserve"> the production mesh decomposes on 64 ranks (scotch, 3.2 % imbalance) and ran at 3.14 GiB peak per rank under the lighter RANS stack — job-sizing information only.</w:t>
      </w:r>
    </w:p>
    <w:p>
      <w:pPr>
        <w:spacing w:before="0" w:after="120"/>
      </w:pPr>
      <w:r>
        <w:rPr>
          <w:rFonts w:ascii="Segoe UI" w:hAnsi="Segoe UI" w:cs="Segoe UI" w:eastAsia="Segoe UI"/>
          <w:b w:val="0"/>
          <w:i w:val="0"/>
          <w:color w:val="1F2937"/>
          <w:sz w:val="20"/>
        </w:rPr>
        <w:t>The mesh is the firm's (D03) and carries forward on its own merits (Section 7.1), not as an output of attempt 3.</w:t>
      </w:r>
    </w:p>
    <w:p>
      <w:pPr>
        <w:pStyle w:val="Heading1"/>
        <w:pBdr>
          <w:bottom w:val="single" w:sz="8" w:space="3" w:color="0E2A47"/>
        </w:pBdr>
      </w:pPr>
      <w:r>
        <w:t>10.  Actions</w:t>
      </w:r>
    </w:p>
    <w:p>
      <w:pPr>
        <w:spacing w:after="60"/>
        <w:ind w:left="518" w:hanging="374"/>
      </w:pPr>
      <w:r>
        <w:rPr>
          <w:rFonts w:ascii="Segoe UI" w:hAnsi="Segoe UI" w:cs="Segoe UI" w:eastAsia="Segoe UI"/>
          <w:b/>
          <w:i w:val="0"/>
          <w:color w:val="006699"/>
          <w:sz w:val="20"/>
        </w:rPr>
        <w:t xml:space="preserve">1.  </w:t>
      </w:r>
      <w:r>
        <w:rPr>
          <w:rFonts w:ascii="Segoe UI" w:hAnsi="Segoe UI" w:cs="Segoe UI" w:eastAsia="Segoe UI"/>
          <w:b/>
          <w:i w:val="0"/>
          <w:color w:val="1F2937"/>
          <w:sz w:val="20"/>
        </w:rPr>
        <w:t>Mulshi Simulation Labs:</w:t>
      </w:r>
      <w:r>
        <w:rPr>
          <w:rFonts w:ascii="Segoe UI" w:hAnsi="Segoe UI" w:cs="Segoe UI" w:eastAsia="Segoe UI"/>
          <w:b w:val="0"/>
          <w:i w:val="0"/>
          <w:color w:val="1F2937"/>
          <w:sz w:val="20"/>
        </w:rPr>
        <w:t xml:space="preserve"> stop; no attempt 4 in any steady or SIMPLE form. Strike the "Based on a validated setup" header; future transmittals identify deviations from the Modeling Standard (MS §1).</w:t>
      </w:r>
    </w:p>
    <w:p>
      <w:pPr>
        <w:spacing w:after="60"/>
        <w:ind w:left="518" w:hanging="374"/>
      </w:pPr>
      <w:r>
        <w:rPr>
          <w:rFonts w:ascii="Segoe UI" w:hAnsi="Segoe UI" w:cs="Segoe UI" w:eastAsia="Segoe UI"/>
          <w:b/>
          <w:i w:val="0"/>
          <w:color w:val="006699"/>
          <w:sz w:val="20"/>
        </w:rPr>
        <w:t xml:space="preserve">2.  </w:t>
      </w:r>
      <w:r>
        <w:rPr>
          <w:rFonts w:ascii="Segoe UI" w:hAnsi="Segoe UI" w:cs="Segoe UI" w:eastAsia="Segoe UI"/>
          <w:b/>
          <w:i w:val="0"/>
          <w:color w:val="1F2937"/>
          <w:sz w:val="20"/>
        </w:rPr>
        <w:t>Case rebuild:</w:t>
      </w:r>
      <w:r>
        <w:rPr>
          <w:rFonts w:ascii="Segoe UI" w:hAnsi="Segoe UI" w:cs="Segoe UI" w:eastAsia="Segoe UI"/>
          <w:b w:val="0"/>
          <w:i w:val="0"/>
          <w:color w:val="1F2937"/>
          <w:sz w:val="20"/>
        </w:rPr>
        <w:t xml:space="preserve"> physics per Section 4.2 from the firm fireFoam reference case; the case-setup memo records the regime call, SGS closure, radiation banding, solid property tables and inlet settings.</w:t>
      </w:r>
    </w:p>
    <w:p>
      <w:pPr>
        <w:spacing w:after="60"/>
        <w:ind w:left="518" w:hanging="374"/>
      </w:pPr>
      <w:r>
        <w:rPr>
          <w:rFonts w:ascii="Segoe UI" w:hAnsi="Segoe UI" w:cs="Segoe UI" w:eastAsia="Segoe UI"/>
          <w:b/>
          <w:i w:val="0"/>
          <w:color w:val="006699"/>
          <w:sz w:val="20"/>
        </w:rPr>
        <w:t xml:space="preserve">3.  </w:t>
      </w:r>
      <w:r>
        <w:rPr>
          <w:rFonts w:ascii="Segoe UI" w:hAnsi="Segoe UI" w:cs="Segoe UI" w:eastAsia="Segoe UI"/>
          <w:b/>
          <w:i w:val="0"/>
          <w:color w:val="1F2937"/>
          <w:sz w:val="20"/>
        </w:rPr>
        <w:t>Mesh:</w:t>
      </w:r>
      <w:r>
        <w:rPr>
          <w:rFonts w:ascii="Segoe UI" w:hAnsi="Segoe UI" w:cs="Segoe UI" w:eastAsia="Segoe UI"/>
          <w:b w:val="0"/>
          <w:i w:val="0"/>
          <w:color w:val="1F2937"/>
          <w:sz w:val="20"/>
        </w:rPr>
        <w:t xml:space="preserve"> confirm the tie-embedment cell size against MS §6 (Section 6.3) before the conjugate run.</w:t>
      </w:r>
    </w:p>
    <w:p>
      <w:pPr>
        <w:spacing w:after="60"/>
        <w:ind w:left="518" w:hanging="374"/>
      </w:pPr>
      <w:r>
        <w:rPr>
          <w:rFonts w:ascii="Segoe UI" w:hAnsi="Segoe UI" w:cs="Segoe UI" w:eastAsia="Segoe UI"/>
          <w:b/>
          <w:i w:val="0"/>
          <w:color w:val="006699"/>
          <w:sz w:val="20"/>
        </w:rPr>
        <w:t xml:space="preserve">4.  </w:t>
      </w:r>
      <w:r>
        <w:rPr>
          <w:rFonts w:ascii="Segoe UI" w:hAnsi="Segoe UI" w:cs="Segoe UI" w:eastAsia="Segoe UI"/>
          <w:b/>
          <w:i w:val="0"/>
          <w:color w:val="1F2937"/>
          <w:sz w:val="20"/>
        </w:rPr>
        <w:t>Runs:</w:t>
      </w:r>
      <w:r>
        <w:rPr>
          <w:rFonts w:ascii="Segoe UI" w:hAnsi="Segoe UI" w:cs="Segoe UI" w:eastAsia="Segoe UI"/>
          <w:b w:val="0"/>
          <w:i w:val="0"/>
          <w:color w:val="1F2937"/>
          <w:sz w:val="20"/>
        </w:rPr>
        <w:t xml:space="preserve"> the authorized cases per Section 5.2, under the Section 5.4 conditions.</w:t>
      </w:r>
    </w:p>
    <w:p>
      <w:pPr>
        <w:spacing w:after="60"/>
        <w:ind w:left="518" w:hanging="374"/>
      </w:pPr>
      <w:r>
        <w:rPr>
          <w:rFonts w:ascii="Segoe UI" w:hAnsi="Segoe UI" w:cs="Segoe UI" w:eastAsia="Segoe UI"/>
          <w:b/>
          <w:i w:val="0"/>
          <w:color w:val="006699"/>
          <w:sz w:val="20"/>
        </w:rPr>
        <w:t xml:space="preserve">5.  </w:t>
      </w:r>
      <w:r>
        <w:rPr>
          <w:rFonts w:ascii="Segoe UI" w:hAnsi="Segoe UI" w:cs="Segoe UI" w:eastAsia="Segoe UI"/>
          <w:b/>
          <w:i w:val="0"/>
          <w:color w:val="1F2937"/>
          <w:sz w:val="20"/>
        </w:rPr>
        <w:t>From the first authorized case:</w:t>
      </w:r>
      <w:r>
        <w:rPr>
          <w:rFonts w:ascii="Segoe UI" w:hAnsi="Segoe UI" w:cs="Segoe UI" w:eastAsia="Segoe UI"/>
          <w:b w:val="0"/>
          <w:i w:val="0"/>
          <w:color w:val="1F2937"/>
          <w:sz w:val="20"/>
        </w:rPr>
        <w:t xml:space="preserve"> Pope criterion and wall y+ on the production mesh, reported in the Verification body per QA VS §6; matrix solver wall clock re-projected per Section 8.5.</w:t>
      </w:r>
    </w:p>
    <w:p>
      <w:pPr>
        <w:spacing w:after="80"/>
        <w:ind w:left="518" w:hanging="374"/>
      </w:pPr>
      <w:r>
        <w:rPr>
          <w:rFonts w:ascii="Segoe UI" w:hAnsi="Segoe UI" w:cs="Segoe UI" w:eastAsia="Segoe UI"/>
          <w:b/>
          <w:i w:val="0"/>
          <w:color w:val="006699"/>
          <w:sz w:val="20"/>
        </w:rPr>
        <w:t xml:space="preserve">6.  </w:t>
      </w:r>
      <w:r>
        <w:rPr>
          <w:rFonts w:ascii="Segoe UI" w:hAnsi="Segoe UI" w:cs="Segoe UI" w:eastAsia="Segoe UI"/>
          <w:b/>
          <w:i w:val="0"/>
          <w:color w:val="1F2937"/>
          <w:sz w:val="20"/>
        </w:rPr>
        <w:t>Standard:</w:t>
      </w:r>
      <w:r>
        <w:rPr>
          <w:rFonts w:ascii="Segoe UI" w:hAnsi="Segoe UI" w:cs="Segoe UI" w:eastAsia="Segoe UI"/>
          <w:b w:val="0"/>
          <w:i w:val="0"/>
          <w:color w:val="1F2937"/>
          <w:sz w:val="20"/>
        </w:rPr>
        <w:t xml:space="preserve"> refer the MS Appendix A wording on constant solid properties to the standard's custodian.</w:t>
      </w:r>
    </w:p>
    <w:p>
      <w:pPr>
        <w:pStyle w:val="Heading1"/>
        <w:pBdr>
          <w:bottom w:val="single" w:sz="8" w:space="3" w:color="0E2A47"/>
        </w:pBdr>
      </w:pPr>
      <w:r>
        <w:t>11.  Reviewer and Stamp Block</w:t>
      </w:r>
    </w:p>
    <w:p>
      <w:pPr>
        <w:keepNext/>
        <w:spacing w:before="0" w:after="120"/>
      </w:pPr>
      <w:r>
        <w:rPr>
          <w:rFonts w:ascii="Segoe UI" w:hAnsi="Segoe UI" w:cs="Segoe UI" w:eastAsia="Segoe UI"/>
          <w:b w:val="0"/>
          <w:i w:val="0"/>
          <w:color w:val="1F2937"/>
          <w:sz w:val="19"/>
        </w:rPr>
        <w:t>This note is an internal technical disposition and run authorization. It makes no validation claim, no ASTM E119 or wildfire-performance claim, and no rating determination.</w:t>
      </w:r>
    </w:p>
    <w:tbl>
      <w:tblPr>
        <w:tblW w:type="auto" w:w="0"/>
        <w:jc w:val="center"/>
        <w:tblLayout w:type="fixed"/>
        <w:tblLayout w:type="fixed"/>
        <w:tblLook w:firstColumn="1" w:firstRow="1" w:lastColumn="0" w:lastRow="0" w:noHBand="0" w:noVBand="1" w:val="04A0"/>
      </w:tblPr>
      <w:tblGrid>
        <w:gridCol w:w="4896"/>
        <w:gridCol w:w="4896"/>
      </w:tblGrid>
      <w:tr>
        <w:trPr>
          <w:cantSplit/>
        </w:trPr>
        <w:tc>
          <w:tcPr>
            <w:tcW w:type="dxa" w:w="4896"/>
            <w:tcBorders>
              <w:top w:val="single" w:sz="4" w:space="0" w:color="CBD5E1"/>
              <w:left w:val="single" w:sz="4" w:space="0" w:color="CBD5E1"/>
              <w:bottom w:val="single" w:sz="4" w:space="0" w:color="CBD5E1"/>
              <w:right w:val="single" w:sz="4" w:space="0" w:color="CBD5E1"/>
            </w:tcBorders>
            <w:shd w:val="clear" w:color="auto" w:fill="F8FAFC"/>
            <w:tcMar>
              <w:top w:w="140" w:type="dxa"/>
              <w:bottom w:w="140" w:type="dxa"/>
              <w:left w:w="180" w:type="dxa"/>
              <w:right w:w="180" w:type="dxa"/>
            </w:tcMar>
            <w:vAlign w:val="top"/>
          </w:tcPr>
          <w:p>
            <w:pPr>
              <w:keepNext/>
              <w:spacing w:after="120"/>
            </w:pPr>
            <w:r/>
            <w:r>
              <w:rPr>
                <w:rFonts w:ascii="Segoe UI" w:hAnsi="Segoe UI" w:cs="Segoe UI" w:eastAsia="Segoe UI"/>
                <w:b w:val="0"/>
                <w:i/>
                <w:color w:val="6B7280"/>
                <w:sz w:val="18"/>
              </w:rPr>
              <w:t>Prepared, authorized and stamped by:</w:t>
            </w:r>
          </w:p>
          <w:p>
            <w:pPr>
              <w:keepNext/>
              <w:spacing w:after="20"/>
            </w:pPr>
            <w:r>
              <w:rPr>
                <w:rFonts w:ascii="Segoe UI" w:hAnsi="Segoe UI" w:cs="Segoe UI" w:eastAsia="Segoe UI"/>
                <w:b/>
                <w:i w:val="0"/>
                <w:color w:val="0E2A47"/>
                <w:sz w:val="22"/>
              </w:rPr>
              <w:t>Gordon Selby, PE</w:t>
            </w:r>
          </w:p>
          <w:p>
            <w:pPr>
              <w:keepNext/>
              <w:spacing w:after="20"/>
            </w:pPr>
            <w:r>
              <w:rPr>
                <w:rFonts w:ascii="Segoe UI" w:hAnsi="Segoe UI" w:cs="Segoe UI" w:eastAsia="Segoe UI"/>
                <w:b w:val="0"/>
                <w:i w:val="0"/>
                <w:color w:val="1F2937"/>
                <w:sz w:val="19"/>
              </w:rPr>
              <w:t>Owner &amp; Principal Engineer, The CFD ME</w:t>
            </w:r>
          </w:p>
          <w:p>
            <w:pPr>
              <w:keepNext/>
              <w:spacing w:after="280"/>
            </w:pPr>
            <w:r>
              <w:rPr>
                <w:rFonts w:ascii="Segoe UI" w:hAnsi="Segoe UI" w:cs="Segoe UI" w:eastAsia="Segoe UI"/>
                <w:b w:val="0"/>
                <w:i w:val="0"/>
                <w:color w:val="1F2937"/>
                <w:sz w:val="19"/>
              </w:rPr>
              <w:t>Arizona PE #48213</w:t>
            </w:r>
          </w:p>
          <w:p>
            <w:pPr>
              <w:keepNext/>
              <w:spacing w:after="200"/>
            </w:pPr>
            <w:r>
              <w:rPr>
                <w:rFonts w:ascii="Segoe UI" w:hAnsi="Segoe UI" w:cs="Segoe UI" w:eastAsia="Segoe UI"/>
                <w:b w:val="0"/>
                <w:i w:val="0"/>
                <w:color w:val="1F2937"/>
                <w:sz w:val="19"/>
              </w:rPr>
              <w:t>Signature: ______________________________</w:t>
            </w:r>
          </w:p>
          <w:p>
            <w:pPr>
              <w:keepNext/>
              <w:spacing w:after="120"/>
            </w:pPr>
            <w:r>
              <w:rPr>
                <w:rFonts w:ascii="Segoe UI" w:hAnsi="Segoe UI" w:cs="Segoe UI" w:eastAsia="Segoe UI"/>
                <w:b w:val="0"/>
                <w:i w:val="0"/>
                <w:color w:val="1F2937"/>
                <w:sz w:val="19"/>
              </w:rPr>
              <w:t>Date: 10/10/2025</w:t>
            </w:r>
          </w:p>
          <w:tbl>
            <w:tblPr>
              <w:tblW w:type="auto" w:w="0"/>
              <w:jc w:val="left"/>
              <w:tblLook w:firstColumn="1" w:firstRow="1" w:lastColumn="0" w:lastRow="0" w:noHBand="0" w:noVBand="1" w:val="04A0"/>
            </w:tblPr>
            <w:tblGrid>
              <w:gridCol w:w="3311"/>
            </w:tblGrid>
            <w:tr>
              <w:trPr>
                <w:trHeight w:val="1368" w:hRule="atLeast"/>
              </w:trPr>
              <w:tc>
                <w:tcPr>
                  <w:tcW w:type="dxa" w:w="3311"/>
                  <w:tcBorders>
                    <w:top w:val="single" w:sz="4" w:space="0" w:color="0E2A47"/>
                    <w:left w:val="single" w:sz="4" w:space="0" w:color="0E2A47"/>
                    <w:bottom w:val="single" w:sz="4" w:space="0" w:color="0E2A47"/>
                    <w:right w:val="single" w:sz="4" w:space="0" w:color="0E2A47"/>
                  </w:tcBorders>
                  <w:shd w:val="clear" w:color="auto" w:fill="FFFFFF"/>
                  <w:tcMar>
                    <w:top w:w="260" w:type="dxa"/>
                    <w:bottom w:w="260" w:type="dxa"/>
                    <w:left w:w="120" w:type="dxa"/>
                    <w:right w:w="120" w:type="dxa"/>
                  </w:tcMar>
                  <w:vAlign w:val="center"/>
                </w:tcPr>
                <w:p>
                  <w:pPr>
                    <w:spacing w:before="0" w:after="40" w:line="259" w:lineRule="auto"/>
                    <w:jc w:val="center"/>
                  </w:pPr>
                  <w:r/>
                  <w:r>
                    <w:rPr>
                      <w:rFonts w:ascii="Consolas" w:hAnsi="Consolas" w:cs="Consolas" w:eastAsia="Consolas"/>
                      <w:b/>
                      <w:i/>
                      <w:color w:val="0E2A47"/>
                      <w:sz w:val="16"/>
                    </w:rPr>
                    <w:t>[ SEAL — Gordon Selby, PE</w:t>
                  </w:r>
                </w:p>
                <w:p>
                  <w:pPr>
                    <w:spacing w:before="0" w:after="0" w:line="259" w:lineRule="auto"/>
                    <w:jc w:val="center"/>
                  </w:pPr>
                  <w:r>
                    <w:rPr>
                      <w:rFonts w:ascii="Consolas" w:hAnsi="Consolas" w:cs="Consolas" w:eastAsia="Consolas"/>
                      <w:b/>
                      <w:i/>
                      <w:color w:val="0E2A47"/>
                      <w:sz w:val="16"/>
                    </w:rPr>
                    <w:t>AZ PE #48213 ]</w:t>
                  </w:r>
                </w:p>
              </w:tc>
            </w:tr>
          </w:tbl>
          <w:p/>
          <w:p>
            <w:pPr>
              <w:spacing w:after="0"/>
            </w:pPr>
          </w:p>
        </w:tc>
        <w:tc>
          <w:tcPr>
            <w:tcW w:type="dxa" w:w="4896"/>
            <w:tcBorders>
              <w:top w:val="single" w:sz="4" w:space="0" w:color="CBD5E1"/>
              <w:left w:val="single" w:sz="4" w:space="0" w:color="CBD5E1"/>
              <w:bottom w:val="single" w:sz="4" w:space="0" w:color="CBD5E1"/>
              <w:right w:val="single" w:sz="4" w:space="0" w:color="CBD5E1"/>
            </w:tcBorders>
            <w:shd w:val="clear" w:color="auto" w:fill="F8FAFC"/>
            <w:tcMar>
              <w:top w:w="140" w:type="dxa"/>
              <w:bottom w:w="140" w:type="dxa"/>
              <w:left w:w="180" w:type="dxa"/>
              <w:right w:w="180" w:type="dxa"/>
            </w:tcMar>
            <w:vAlign w:val="top"/>
          </w:tcPr>
          <w:p>
            <w:pPr>
              <w:keepNext/>
              <w:spacing w:after="120"/>
            </w:pPr>
            <w:r/>
            <w:r>
              <w:rPr>
                <w:rFonts w:ascii="Segoe UI" w:hAnsi="Segoe UI" w:cs="Segoe UI" w:eastAsia="Segoe UI"/>
                <w:b w:val="0"/>
                <w:i/>
                <w:color w:val="6B7280"/>
                <w:sz w:val="18"/>
              </w:rPr>
              <w:t>Reviewed and concurred by:</w:t>
            </w:r>
          </w:p>
          <w:p>
            <w:pPr>
              <w:keepNext/>
              <w:spacing w:after="20"/>
            </w:pPr>
            <w:r>
              <w:rPr>
                <w:rFonts w:ascii="Segoe UI" w:hAnsi="Segoe UI" w:cs="Segoe UI" w:eastAsia="Segoe UI"/>
                <w:b/>
                <w:i w:val="0"/>
                <w:color w:val="0E2A47"/>
                <w:sz w:val="22"/>
              </w:rPr>
              <w:t>Marguerite Falk, PE</w:t>
            </w:r>
          </w:p>
          <w:p>
            <w:pPr>
              <w:keepNext/>
              <w:spacing w:after="20"/>
            </w:pPr>
            <w:r>
              <w:rPr>
                <w:rFonts w:ascii="Segoe UI" w:hAnsi="Segoe UI" w:cs="Segoe UI" w:eastAsia="Segoe UI"/>
                <w:b w:val="0"/>
                <w:i w:val="0"/>
                <w:color w:val="1F2937"/>
                <w:sz w:val="19"/>
              </w:rPr>
              <w:t>Technical Director &amp; Reviewing Engineer, The CFD ME</w:t>
            </w:r>
          </w:p>
          <w:p>
            <w:pPr>
              <w:keepNext/>
              <w:spacing w:after="280"/>
            </w:pPr>
            <w:r>
              <w:rPr>
                <w:rFonts w:ascii="Segoe UI" w:hAnsi="Segoe UI" w:cs="Segoe UI" w:eastAsia="Segoe UI"/>
                <w:b w:val="0"/>
                <w:i w:val="0"/>
                <w:color w:val="1F2937"/>
                <w:sz w:val="19"/>
              </w:rPr>
              <w:t>Arizona PE #42798</w:t>
            </w:r>
          </w:p>
          <w:p>
            <w:pPr>
              <w:keepNext/>
              <w:spacing w:after="200"/>
            </w:pPr>
            <w:r>
              <w:rPr>
                <w:rFonts w:ascii="Segoe UI" w:hAnsi="Segoe UI" w:cs="Segoe UI" w:eastAsia="Segoe UI"/>
                <w:b w:val="0"/>
                <w:i w:val="0"/>
                <w:color w:val="1F2937"/>
                <w:sz w:val="19"/>
              </w:rPr>
              <w:t>Signature: ______________________________</w:t>
            </w:r>
          </w:p>
          <w:p>
            <w:pPr>
              <w:keepNext/>
              <w:spacing w:after="120"/>
            </w:pPr>
            <w:r>
              <w:rPr>
                <w:rFonts w:ascii="Segoe UI" w:hAnsi="Segoe UI" w:cs="Segoe UI" w:eastAsia="Segoe UI"/>
                <w:b w:val="0"/>
                <w:i w:val="0"/>
                <w:color w:val="1F2937"/>
                <w:sz w:val="19"/>
              </w:rPr>
              <w:t>Date: 10/10/2025</w:t>
            </w:r>
          </w:p>
        </w:tc>
      </w:tr>
    </w:tbl>
    <w:p>
      <w:pPr>
        <w:keepNext/>
        <w:spacing w:before="160" w:after="80"/>
      </w:pPr>
      <w:r>
        <w:rPr>
          <w:rFonts w:ascii="Segoe UI" w:hAnsi="Segoe UI" w:cs="Segoe UI" w:eastAsia="Segoe UI"/>
          <w:b/>
          <w:i w:val="0"/>
          <w:color w:val="1F2937"/>
          <w:sz w:val="19"/>
        </w:rPr>
        <w:t>Disposition:</w:t>
      </w:r>
      <w:r>
        <w:rPr>
          <w:rFonts w:ascii="Segoe UI" w:hAnsi="Segoe UI" w:cs="Segoe UI" w:eastAsia="Segoe UI"/>
          <w:b w:val="0"/>
          <w:i w:val="0"/>
          <w:color w:val="1F2937"/>
          <w:sz w:val="19"/>
        </w:rPr>
        <w:t xml:space="preserve">  ☒ Attempt 3 not accepted    ☒ Delivered case returned for correction    ☒ Transient LES authorized subject to Section 5.4</w:t>
      </w:r>
    </w:p>
    <w:p>
      <w:pPr>
        <w:pBdr>
          <w:top w:val="single" w:sz="6" w:space="6" w:color="CBD5E1"/>
        </w:pBdr>
        <w:spacing w:before="120" w:after="0"/>
        <w:jc w:val="center"/>
      </w:pPr>
      <w:r>
        <w:rPr>
          <w:rFonts w:ascii="Segoe UI" w:hAnsi="Segoe UI" w:cs="Segoe UI" w:eastAsia="Segoe UI"/>
          <w:b/>
          <w:i/>
          <w:color w:val="0E2A47"/>
          <w:sz w:val="19"/>
        </w:rPr>
        <w:t>CFD thermal analysis only. Fire-resistance rating certified separately by others.</w:t>
      </w:r>
    </w:p>
    <w:sectPr w:rsidR="00FC693F" w:rsidRPr="0006063C" w:rsidSect="00034616">
      <w:headerReference w:type="default" r:id="rId9"/>
      <w:footerReference w:type="default" r:id="rId10"/>
      <w:pgSz w:w="12240" w:h="15840"/>
      <w:pgMar w:top="1300" w:right="1224" w:bottom="1150" w:left="1224" w:header="560" w:footer="5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6" w:color="CBD5E1"/>
      </w:pBdr>
      <w:jc w:val="center"/>
    </w:pPr>
    <w:r>
      <w:rPr>
        <w:rFonts w:ascii="Segoe UI" w:hAnsi="Segoe UI" w:cs="Segoe UI" w:eastAsia="Segoe UI"/>
        <w:b w:val="0"/>
        <w:i/>
        <w:color w:val="6B7280"/>
        <w:sz w:val="16"/>
      </w:rPr>
      <w:t xml:space="preserve">File: CFDME-2025-041_transient_solve_disposition_revA.docx   |   rev A   |   10/10/2025   |   Firm-internal   |   Page </w:t>
    </w:r>
    <w:r>
      <w:rPr>
        <w:rFonts w:ascii="Segoe UI" w:hAnsi="Segoe UI" w:cs="Segoe UI" w:eastAsia="Segoe UI"/>
        <w:b w:val="0"/>
        <w:i/>
        <w:color w:val="6B7280"/>
        <w:sz w:val="16"/>
      </w:rPr>
      <w:fldChar w:fldCharType="begin"/>
      <w:instrText xml:space="preserve">PAGE</w:instrText>
      <w:fldChar w:fldCharType="separate"/>
      <w:t>1</w:t>
      <w:fldChar w:fldCharType="end"/>
    </w:r>
    <w:r>
      <w:rPr>
        <w:rFonts w:ascii="Segoe UI" w:hAnsi="Segoe UI" w:cs="Segoe UI" w:eastAsia="Segoe UI"/>
        <w:b w:val="0"/>
        <w:i/>
        <w:color w:val="6B7280"/>
        <w:sz w:val="16"/>
      </w:rPr>
      <w:t xml:space="preserve"> of </w:t>
    </w:r>
    <w:r>
      <w:rPr>
        <w:rFonts w:ascii="Segoe UI" w:hAnsi="Segoe UI" w:cs="Segoe UI" w:eastAsia="Segoe UI"/>
        <w:b w:val="0"/>
        <w:i/>
        <w:color w:val="6B7280"/>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jc w:val="center"/>
    </w:pPr>
    <w:r>
      <w:rPr>
        <w:rFonts w:ascii="Segoe UI" w:hAnsi="Segoe UI" w:cs="Segoe UI" w:eastAsia="Segoe UI"/>
        <w:b/>
        <w:i w:val="0"/>
        <w:color w:val="0E2A47"/>
        <w:sz w:val="19"/>
      </w:rPr>
      <w:t>THE CFD ME   |   Tucson, Arizona   |   AZ PE #48213   |   CFDME-2025-041 rev A</w:t>
    </w:r>
  </w:p>
  <w:p>
    <w:pPr>
      <w:pBdr>
        <w:bottom w:val="single" w:sz="12" w:space="6" w:color="0E2A47"/>
      </w:pBdr>
      <w:spacing w:after="0"/>
      <w:jc w:val="center"/>
    </w:pPr>
    <w:r>
      <w:rPr>
        <w:rFonts w:ascii="Segoe UI" w:hAnsi="Segoe UI" w:cs="Segoe UI" w:eastAsia="Segoe UI"/>
        <w:b w:val="0"/>
        <w:i w:val="0"/>
        <w:color w:val="6B7280"/>
        <w:sz w:val="16"/>
      </w:rPr>
      <w:t>The CFD Mechanical Engineer, LLC  ·  4820 E River Rd, Suite 220, Tucson, AZ 85718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4" w:lineRule="auto"/>
    </w:pPr>
    <w:rPr>
      <w:rFonts w:ascii="Segoe UI" w:hAnsi="Segoe UI" w:eastAsia="Segoe U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line="264" w:lineRule="auto"/>
      <w:outlineLvl w:val="0"/>
    </w:pPr>
    <w:rPr>
      <w:rFonts w:ascii="Trebuchet MS" w:hAnsi="Trebuchet MS" w:cs="Trebuchet MS" w:eastAsia="Trebuchet MS"/>
      <w:b/>
      <w:bCs/>
      <w:i w:val="0"/>
      <w:color w:val="0E2A47"/>
      <w:sz w:val="26"/>
      <w:szCs w:val="28"/>
    </w:rPr>
  </w:style>
  <w:style w:type="paragraph" w:styleId="Heading2">
    <w:name w:val="heading 2"/>
    <w:basedOn w:val="Normal"/>
    <w:next w:val="Normal"/>
    <w:link w:val="Heading2Char"/>
    <w:uiPriority w:val="9"/>
    <w:unhideWhenUsed/>
    <w:qFormat/>
    <w:rsid w:val="00FC693F"/>
    <w:pPr>
      <w:keepNext/>
      <w:keepLines/>
      <w:spacing w:before="160" w:after="60" w:line="264" w:lineRule="auto"/>
      <w:outlineLvl w:val="1"/>
    </w:pPr>
    <w:rPr>
      <w:rFonts w:ascii="Trebuchet MS" w:hAnsi="Trebuchet MS" w:cs="Trebuchet MS" w:eastAsia="Trebuchet MS"/>
      <w:b/>
      <w:bCs/>
      <w:i w:val="0"/>
      <w:color w:val="00669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CFDME-2025-041 — Disposition of steady-solve attempt 3 and authorization of the transient LES run</dc:title>
  <dc:subject>Ocotillo desert-fire case, technical note rev A</dc:subject>
  <dc:creator>The CFD ME — Gordon Selby, PE</dc:creator>
  <cp:keywords>CFDME-2025-041; fireFoam; LES; puffing; disposition</cp:keywords>
  <dc:description>rev A, 10/10/2025</dc:description>
  <cp:lastModifiedBy/>
  <cp:revision>1</cp:revision>
  <dcterms:created xsi:type="dcterms:W3CDTF">2013-12-23T23:15:00Z</dcterms:created>
  <dcterms:modified xsi:type="dcterms:W3CDTF">2013-12-23T23:15:00Z</dcterms:modified>
  <cp:category/>
</cp:coreProperties>
</file>