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2A44"/>
          <w:sz w:val="30"/>
        </w:rPr>
        <w:t>MEMORANDUM</w:t>
      </w:r>
    </w:p>
    <w:p>
      <w:pPr>
        <w:spacing w:after="120"/>
      </w:pPr>
      <w:r>
        <w:rPr>
          <w:b/>
          <w:i w:val="0"/>
          <w:color w:val="1F2A44"/>
          <w:sz w:val="23"/>
        </w:rPr>
        <w:t>Validation of the ASTM E119 companion simulation — Phase 1 report §7</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1296"/>
        <w:gridCol w:w="8352"/>
      </w:tblGrid>
      <w:tr>
        <w:trPr>
          <w:cantSplit w:val="true"/>
        </w:trPr>
        <w:tc>
          <w:tcPr>
            <w:tcW w:type="dxa" w:w="1296"/>
            <w:vAlign w:val="center"/>
          </w:tcPr>
          <w:p>
            <w:pPr>
              <w:spacing w:after="0" w:line="240" w:lineRule="auto"/>
            </w:pPr>
            <w:r/>
            <w:r>
              <w:rPr>
                <w:b/>
                <w:i w:val="0"/>
                <w:sz w:val="18"/>
              </w:rPr>
              <w:t>To</w:t>
            </w:r>
          </w:p>
        </w:tc>
        <w:tc>
          <w:tcPr>
            <w:tcW w:type="dxa" w:w="8352"/>
            <w:vAlign w:val="center"/>
          </w:tcPr>
          <w:p>
            <w:pPr>
              <w:spacing w:after="0" w:line="240" w:lineRule="auto"/>
            </w:pPr>
            <w:r/>
            <w:r>
              <w:rPr>
                <w:b w:val="0"/>
                <w:i w:val="0"/>
                <w:sz w:val="18"/>
              </w:rPr>
              <w:t>Marguerite Falk, PE — Technical Director &amp; Reviewing Engineer (AZ PE #42798)</w:t>
            </w:r>
          </w:p>
        </w:tc>
      </w:tr>
      <w:tr>
        <w:trPr>
          <w:cantSplit w:val="true"/>
        </w:trPr>
        <w:tc>
          <w:tcPr>
            <w:tcW w:type="dxa" w:w="1296"/>
            <w:vAlign w:val="center"/>
          </w:tcPr>
          <w:p>
            <w:pPr>
              <w:spacing w:after="0" w:line="240" w:lineRule="auto"/>
            </w:pPr>
            <w:r/>
            <w:r>
              <w:rPr>
                <w:b/>
                <w:i w:val="0"/>
                <w:sz w:val="18"/>
              </w:rPr>
              <w:t>From</w:t>
            </w:r>
          </w:p>
        </w:tc>
        <w:tc>
          <w:tcPr>
            <w:tcW w:type="dxa" w:w="8352"/>
            <w:vAlign w:val="center"/>
          </w:tcPr>
          <w:p>
            <w:pPr>
              <w:spacing w:after="0" w:line="240" w:lineRule="auto"/>
            </w:pPr>
            <w:r/>
            <w:r>
              <w:rPr>
                <w:b w:val="0"/>
                <w:i w:val="0"/>
                <w:sz w:val="18"/>
              </w:rPr>
              <w:t>Gordon Selby, PE — Owner &amp; Principal Engineer (AZ PE #48213)</w:t>
            </w:r>
          </w:p>
        </w:tc>
      </w:tr>
      <w:tr>
        <w:trPr>
          <w:cantSplit w:val="true"/>
        </w:trPr>
        <w:tc>
          <w:tcPr>
            <w:tcW w:type="dxa" w:w="1296"/>
            <w:vAlign w:val="center"/>
          </w:tcPr>
          <w:p>
            <w:pPr>
              <w:spacing w:after="0" w:line="240" w:lineRule="auto"/>
            </w:pPr>
            <w:r/>
            <w:r>
              <w:rPr>
                <w:b/>
                <w:i w:val="0"/>
                <w:sz w:val="18"/>
              </w:rPr>
              <w:t>Date</w:t>
            </w:r>
          </w:p>
        </w:tc>
        <w:tc>
          <w:tcPr>
            <w:tcW w:type="dxa" w:w="8352"/>
            <w:vAlign w:val="center"/>
          </w:tcPr>
          <w:p>
            <w:pPr>
              <w:spacing w:after="0" w:line="240" w:lineRule="auto"/>
            </w:pPr>
            <w:r/>
            <w:r>
              <w:rPr>
                <w:b w:val="0"/>
                <w:i w:val="0"/>
                <w:sz w:val="18"/>
              </w:rPr>
              <w:t>10/10/2025</w:t>
            </w:r>
          </w:p>
        </w:tc>
      </w:tr>
      <w:tr>
        <w:trPr>
          <w:cantSplit w:val="true"/>
        </w:trPr>
        <w:tc>
          <w:tcPr>
            <w:tcW w:type="dxa" w:w="1296"/>
            <w:vAlign w:val="center"/>
          </w:tcPr>
          <w:p>
            <w:pPr>
              <w:spacing w:after="0" w:line="240" w:lineRule="auto"/>
            </w:pPr>
            <w:r/>
            <w:r>
              <w:rPr>
                <w:b/>
                <w:i w:val="0"/>
                <w:sz w:val="18"/>
              </w:rPr>
              <w:t>Project</w:t>
            </w:r>
          </w:p>
        </w:tc>
        <w:tc>
          <w:tcPr>
            <w:tcW w:type="dxa" w:w="8352"/>
            <w:vAlign w:val="center"/>
          </w:tcPr>
          <w:p>
            <w:pPr>
              <w:spacing w:after="0" w:line="240" w:lineRule="auto"/>
            </w:pPr>
            <w:r/>
            <w:r>
              <w:rPr>
                <w:b w:val="0"/>
                <w:i w:val="0"/>
                <w:sz w:val="18"/>
              </w:rPr>
              <w:t>CFDME-2025-041 — Ocotillo WUI Wildfire, Phase 1 (SOW CFDME-2025-041-SOW-01, signed 10/08/2025)</w:t>
            </w:r>
          </w:p>
        </w:tc>
      </w:tr>
      <w:tr>
        <w:trPr>
          <w:cantSplit w:val="true"/>
        </w:trPr>
        <w:tc>
          <w:tcPr>
            <w:tcW w:type="dxa" w:w="1296"/>
            <w:vAlign w:val="center"/>
          </w:tcPr>
          <w:p>
            <w:pPr>
              <w:spacing w:after="0" w:line="240" w:lineRule="auto"/>
            </w:pPr>
            <w:r/>
            <w:r>
              <w:rPr>
                <w:b/>
                <w:i w:val="0"/>
                <w:sz w:val="18"/>
              </w:rPr>
              <w:t>Subject</w:t>
            </w:r>
          </w:p>
        </w:tc>
        <w:tc>
          <w:tcPr>
            <w:tcW w:type="dxa" w:w="8352"/>
            <w:vAlign w:val="center"/>
          </w:tcPr>
          <w:p>
            <w:pPr>
              <w:spacing w:after="0" w:line="240" w:lineRule="auto"/>
            </w:pPr>
            <w:r/>
            <w:r>
              <w:rPr>
                <w:b w:val="0"/>
                <w:i w:val="0"/>
                <w:sz w:val="18"/>
              </w:rPr>
              <w:t>E119 companion run against the certified Red Butte test RBFMT-25-0918: rollup under Validation QA Procedure CFDME-QA-VAL-002 rev 2</w:t>
            </w:r>
          </w:p>
        </w:tc>
      </w:tr>
      <w:tr>
        <w:trPr>
          <w:cantSplit w:val="true"/>
        </w:trPr>
        <w:tc>
          <w:tcPr>
            <w:tcW w:type="dxa" w:w="1296"/>
            <w:vAlign w:val="center"/>
          </w:tcPr>
          <w:p>
            <w:pPr>
              <w:spacing w:after="0" w:line="240" w:lineRule="auto"/>
            </w:pPr>
            <w:r/>
            <w:r>
              <w:rPr>
                <w:b/>
                <w:i w:val="0"/>
                <w:sz w:val="18"/>
              </w:rPr>
              <w:t>Basis</w:t>
            </w:r>
          </w:p>
        </w:tc>
        <w:tc>
          <w:tcPr>
            <w:tcW w:type="dxa" w:w="8352"/>
            <w:vAlign w:val="center"/>
          </w:tcPr>
          <w:p>
            <w:pPr>
              <w:spacing w:after="0" w:line="240" w:lineRule="auto"/>
            </w:pPr>
            <w:r/>
            <w:r>
              <w:rPr>
                <w:b w:val="0"/>
                <w:i w:val="0"/>
                <w:sz w:val="18"/>
              </w:rPr>
              <w:t>What is on the file server as of 10/10/2025. No new runs or tests; nothing requested of Red Butte or Ironwood; no other file changed.</w:t>
            </w:r>
          </w:p>
        </w:tc>
      </w:tr>
      <w:tr>
        <w:trPr>
          <w:cantSplit w:val="true"/>
        </w:trPr>
        <w:tc>
          <w:tcPr>
            <w:tcW w:type="dxa" w:w="1296"/>
            <w:vAlign w:val="center"/>
          </w:tcPr>
          <w:p>
            <w:pPr>
              <w:spacing w:after="0" w:line="240" w:lineRule="auto"/>
            </w:pPr>
            <w:r/>
            <w:r>
              <w:rPr>
                <w:b/>
                <w:i w:val="0"/>
                <w:sz w:val="18"/>
              </w:rPr>
              <w:t>Status</w:t>
            </w:r>
          </w:p>
        </w:tc>
        <w:tc>
          <w:tcPr>
            <w:tcW w:type="dxa" w:w="8352"/>
            <w:vAlign w:val="center"/>
          </w:tcPr>
          <w:p>
            <w:pPr>
              <w:spacing w:after="0" w:line="240" w:lineRule="auto"/>
            </w:pPr>
            <w:r/>
            <w:r>
              <w:rPr>
                <w:b w:val="0"/>
                <w:i w:val="0"/>
                <w:sz w:val="18"/>
              </w:rPr>
              <w:t>rev A, for peer review. Attachment A: proposed report §7 text. Attachment B: paragraph for Bianca Rennert (Ocotillo).</w:t>
            </w:r>
          </w:p>
        </w:tc>
      </w:tr>
    </w:tbl>
    <w:p>
      <w:pPr>
        <w:spacing w:after="40"/>
      </w:pPr>
    </w:p>
    <w:p>
      <w:pPr>
        <w:keepNext/>
        <w:spacing w:before="200" w:after="60"/>
        <w:pBdr>
          <w:bottom w:val="single" w:sz="4" w:space="1" w:color="1F2A44"/>
        </w:pBdr>
      </w:pPr>
      <w:r>
        <w:rPr>
          <w:b/>
          <w:color w:val="1F2A44"/>
          <w:sz w:val="24"/>
        </w:rPr>
        <w:t>1. Bottom line</w:t>
      </w:r>
    </w:p>
    <w:p>
      <w:pPr>
        <w:keepNext/>
        <w:spacing w:after="40"/>
      </w:pPr>
      <w:r>
        <w:rPr>
          <w:b/>
          <w:i w:val="0"/>
          <w:color w:val="1F2A44"/>
          <w:sz w:val="18"/>
        </w:rPr>
        <w:t>Rollup in the order Procedure §3 requires</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2412"/>
        <w:gridCol w:w="2412"/>
        <w:gridCol w:w="2412"/>
        <w:gridCol w:w="2412"/>
      </w:tblGrid>
      <w:tr>
        <w:trPr>
          <w:tblHeader w:val="true"/>
          <w:cantSplit w:val="true"/>
        </w:trPr>
        <w:tc>
          <w:tcPr>
            <w:tcW w:type="dxa" w:w="2412"/>
            <w:vAlign w:val="center"/>
            <w:shd w:val="clear" w:color="auto" w:fill="D9DEE7"/>
          </w:tcPr>
          <w:p>
            <w:pPr>
              <w:spacing w:after="0" w:line="240" w:lineRule="auto"/>
              <w:jc w:val="center"/>
            </w:pPr>
            <w:r/>
            <w:r>
              <w:rPr>
                <w:b/>
                <w:i w:val="0"/>
                <w:sz w:val="22"/>
              </w:rPr>
              <w:t>S (companion run)</w:t>
            </w:r>
          </w:p>
        </w:tc>
        <w:tc>
          <w:tcPr>
            <w:tcW w:type="dxa" w:w="2412"/>
            <w:vAlign w:val="center"/>
            <w:shd w:val="clear" w:color="auto" w:fill="D9DEE7"/>
          </w:tcPr>
          <w:p>
            <w:pPr>
              <w:spacing w:after="0" w:line="240" w:lineRule="auto"/>
              <w:jc w:val="center"/>
            </w:pPr>
            <w:r/>
            <w:r>
              <w:rPr>
                <w:b/>
                <w:i w:val="0"/>
                <w:sz w:val="22"/>
              </w:rPr>
              <w:t>D (certified test)</w:t>
            </w:r>
          </w:p>
        </w:tc>
        <w:tc>
          <w:tcPr>
            <w:tcW w:type="dxa" w:w="2412"/>
            <w:vAlign w:val="center"/>
            <w:shd w:val="clear" w:color="auto" w:fill="D9DEE7"/>
          </w:tcPr>
          <w:p>
            <w:pPr>
              <w:spacing w:after="0" w:line="240" w:lineRule="auto"/>
              <w:jc w:val="center"/>
            </w:pPr>
            <w:r/>
            <w:r>
              <w:rPr>
                <w:b/>
                <w:i w:val="0"/>
                <w:sz w:val="22"/>
              </w:rPr>
              <w:t>E = S − D</w:t>
            </w:r>
          </w:p>
        </w:tc>
        <w:tc>
          <w:tcPr>
            <w:tcW w:type="dxa" w:w="2412"/>
            <w:vAlign w:val="center"/>
            <w:shd w:val="clear" w:color="auto" w:fill="D9DEE7"/>
          </w:tcPr>
          <w:p>
            <w:pPr>
              <w:spacing w:after="0" w:line="240" w:lineRule="auto"/>
              <w:jc w:val="center"/>
            </w:pPr>
            <w:r/>
            <w:r>
              <w:rPr>
                <w:b/>
                <w:i w:val="0"/>
                <w:sz w:val="22"/>
              </w:rPr>
              <w:t>u_val</w:t>
            </w:r>
          </w:p>
        </w:tc>
      </w:tr>
      <w:tr>
        <w:trPr>
          <w:cantSplit w:val="true"/>
        </w:trPr>
        <w:tc>
          <w:tcPr>
            <w:tcW w:type="dxa" w:w="2412"/>
            <w:vAlign w:val="center"/>
            <w:shd w:val="clear" w:color="auto" w:fill="F2F4F8"/>
          </w:tcPr>
          <w:p>
            <w:pPr>
              <w:spacing w:after="0" w:line="240" w:lineRule="auto"/>
              <w:jc w:val="center"/>
            </w:pPr>
            <w:r/>
            <w:r>
              <w:rPr>
                <w:b w:val="0"/>
                <w:i w:val="0"/>
                <w:sz w:val="22"/>
              </w:rPr>
              <w:t>131 min</w:t>
            </w:r>
          </w:p>
        </w:tc>
        <w:tc>
          <w:tcPr>
            <w:tcW w:type="dxa" w:w="2412"/>
            <w:vAlign w:val="center"/>
            <w:shd w:val="clear" w:color="auto" w:fill="F2F4F8"/>
          </w:tcPr>
          <w:p>
            <w:pPr>
              <w:spacing w:after="0" w:line="240" w:lineRule="auto"/>
              <w:jc w:val="center"/>
            </w:pPr>
            <w:r/>
            <w:r>
              <w:rPr>
                <w:b w:val="0"/>
                <w:i w:val="0"/>
                <w:sz w:val="22"/>
              </w:rPr>
              <w:t>118 min</w:t>
            </w:r>
          </w:p>
        </w:tc>
        <w:tc>
          <w:tcPr>
            <w:tcW w:type="dxa" w:w="2412"/>
            <w:vAlign w:val="center"/>
            <w:shd w:val="clear" w:color="auto" w:fill="F2F4F8"/>
          </w:tcPr>
          <w:p>
            <w:pPr>
              <w:spacing w:after="0" w:line="240" w:lineRule="auto"/>
              <w:jc w:val="center"/>
            </w:pPr>
            <w:r/>
            <w:r>
              <w:rPr>
                <w:b w:val="0"/>
                <w:i w:val="0"/>
                <w:sz w:val="22"/>
              </w:rPr>
              <w:t>+13 min</w:t>
            </w:r>
          </w:p>
        </w:tc>
        <w:tc>
          <w:tcPr>
            <w:tcW w:type="dxa" w:w="2412"/>
            <w:vAlign w:val="center"/>
            <w:shd w:val="clear" w:color="auto" w:fill="F2F4F8"/>
          </w:tcPr>
          <w:p>
            <w:pPr>
              <w:spacing w:after="0" w:line="240" w:lineRule="auto"/>
              <w:jc w:val="center"/>
            </w:pPr>
            <w:r/>
            <w:r>
              <w:rPr>
                <w:b w:val="0"/>
                <w:i w:val="0"/>
                <w:sz w:val="22"/>
              </w:rPr>
              <w:t>±9 min</w:t>
            </w:r>
          </w:p>
        </w:tc>
      </w:tr>
    </w:tbl>
    <w:p>
      <w:pPr>
        <w:spacing w:after="40"/>
      </w:pPr>
    </w:p>
    <w:p>
      <w:pPr>
        <w:pStyle w:val="ListBullet"/>
      </w:pPr>
      <w:r>
        <w:rPr>
          <w:b/>
          <w:i w:val="0"/>
        </w:rPr>
        <w:t>Governing criterion:</w:t>
      </w:r>
      <w:r>
        <w:rPr>
          <w:b w:val="0"/>
          <w:i w:val="0"/>
        </w:rPr>
        <w:t xml:space="preserve"> single-point, a 181 °C rise above the 21.0 °C initial ambient. It is reached at 131 min in the run and at 118 min in the test. The S = 131 min in the §7 stub stands.</w:t>
      </w:r>
    </w:p>
    <w:p>
      <w:pPr>
        <w:pStyle w:val="ListBullet"/>
      </w:pPr>
      <w:r>
        <w:rPr>
          <w:b/>
          <w:i w:val="0"/>
        </w:rPr>
        <w:t>Acceptance criterion (§5):</w:t>
      </w:r>
      <w:r>
        <w:rPr>
          <w:b w:val="0"/>
          <w:i w:val="0"/>
        </w:rPr>
        <w:t xml:space="preserve"> |E| ≤ 10 % of D = 11.8 min. |E| = 13 min exceeds it by 1.2 min.</w:t>
      </w:r>
    </w:p>
    <w:p>
      <w:pPr>
        <w:pStyle w:val="ListBullet"/>
      </w:pPr>
      <w:r>
        <w:rPr>
          <w:b/>
          <w:i w:val="0"/>
        </w:rPr>
        <w:t>Uncertainty:</w:t>
      </w:r>
      <w:r>
        <w:rPr>
          <w:b w:val="0"/>
          <w:i w:val="0"/>
        </w:rPr>
        <w:t xml:space="preserve"> |E| = 13 min exceeds u_val = ±9 min by 4 min (by 4.2 min against the unrounded 8.77 min). That makes the discrepancy a resolved model error rather than scatter, and an actionable finding.</w:t>
      </w:r>
    </w:p>
    <w:p>
      <w:pPr>
        <w:pStyle w:val="ListBullet"/>
      </w:pPr>
      <w:r>
        <w:rPr>
          <w:b/>
          <w:i w:val="0"/>
        </w:rPr>
        <w:t>Sign:</w:t>
      </w:r>
      <w:r>
        <w:rPr>
          <w:b w:val="0"/>
          <w:i w:val="0"/>
        </w:rPr>
        <w:t xml:space="preserve"> E is positive. The run predicts 13 min more endurance than the test measured, which is the non-conservative direction.</w:t>
      </w:r>
    </w:p>
    <w:p>
      <w:pPr>
        <w:pStyle w:val="ListBullet"/>
      </w:pPr>
      <w:r>
        <w:rPr>
          <w:b/>
          <w:i w:val="0"/>
        </w:rPr>
        <w:t>Largest prediction that would have cleared the criterion:</w:t>
      </w:r>
      <w:r>
        <w:rPr>
          <w:b w:val="0"/>
          <w:i w:val="0"/>
        </w:rPr>
        <w:t xml:space="preserve"> 129.8 min (D + 11.8 min), or 129 min as a whole-minute prediction. The run misses it by 1.2 min.</w:t>
      </w:r>
    </w:p>
    <w:p>
      <w:pPr>
        <w:pStyle w:val="ListBullet"/>
      </w:pPr>
      <w:r>
        <w:rPr>
          <w:b/>
          <w:i w:val="0"/>
        </w:rPr>
        <w:t>D stays at 118 min.</w:t>
      </w:r>
      <w:r>
        <w:rPr>
          <w:b w:val="0"/>
          <w:i w:val="0"/>
        </w:rPr>
        <w:t xml:space="preserve"> The client's amended 129 min is not admissible (§5 of this memo).</w:t>
      </w:r>
    </w:p>
    <w:p>
      <w:pPr>
        <w:spacing w:before="60"/>
      </w:pPr>
      <w:r>
        <w:rPr>
          <w:b/>
          <w:i w:val="0"/>
        </w:rPr>
        <w:t>Straight answer for Bianca: no.</w:t>
      </w:r>
      <w:r>
        <w:rPr>
          <w:b w:val="0"/>
          <w:i w:val="0"/>
        </w:rPr>
        <w:t xml:space="preserve"> On these numbers the simulation cannot be described as validated against the certified test. Under Procedure §5 this result cannot be released with an unqualified validation claim, so that phrase cannot appear in launch materials or in our report. What the report can carry is the finding above. A paragraph she can be sent today is in Attachment B.</w:t>
      </w:r>
    </w:p>
    <w:p>
      <w:pPr>
        <w:keepNext/>
        <w:spacing w:before="200" w:after="60"/>
        <w:pBdr>
          <w:bottom w:val="single" w:sz="4" w:space="1" w:color="1F2A44"/>
        </w:pBdr>
      </w:pPr>
      <w:r>
        <w:rPr>
          <w:b/>
          <w:color w:val="1F2A44"/>
          <w:sz w:val="24"/>
        </w:rPr>
        <w:t>2. Sources</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1368"/>
        <w:gridCol w:w="3672"/>
        <w:gridCol w:w="4608"/>
      </w:tblGrid>
      <w:tr>
        <w:trPr>
          <w:tblHeader w:val="true"/>
          <w:cantSplit w:val="true"/>
        </w:trPr>
        <w:tc>
          <w:tcPr>
            <w:tcW w:type="dxa" w:w="1368"/>
            <w:vAlign w:val="center"/>
            <w:shd w:val="clear" w:color="auto" w:fill="D9DEE7"/>
          </w:tcPr>
          <w:p>
            <w:pPr>
              <w:spacing w:after="0" w:line="240" w:lineRule="auto"/>
            </w:pPr>
            <w:r/>
            <w:r>
              <w:rPr>
                <w:b/>
                <w:i w:val="0"/>
                <w:sz w:val="16"/>
              </w:rPr>
              <w:t>Role</w:t>
            </w:r>
          </w:p>
        </w:tc>
        <w:tc>
          <w:tcPr>
            <w:tcW w:type="dxa" w:w="3672"/>
            <w:vAlign w:val="center"/>
            <w:shd w:val="clear" w:color="auto" w:fill="D9DEE7"/>
          </w:tcPr>
          <w:p>
            <w:pPr>
              <w:spacing w:after="0" w:line="240" w:lineRule="auto"/>
            </w:pPr>
            <w:r/>
            <w:r>
              <w:rPr>
                <w:b/>
                <w:i w:val="0"/>
                <w:sz w:val="16"/>
              </w:rPr>
              <w:t>Document</w:t>
            </w:r>
          </w:p>
        </w:tc>
        <w:tc>
          <w:tcPr>
            <w:tcW w:type="dxa" w:w="4608"/>
            <w:vAlign w:val="center"/>
            <w:shd w:val="clear" w:color="auto" w:fill="D9DEE7"/>
          </w:tcPr>
          <w:p>
            <w:pPr>
              <w:spacing w:after="0" w:line="240" w:lineRule="auto"/>
            </w:pPr>
            <w:r/>
            <w:r>
              <w:rPr>
                <w:b/>
                <w:i w:val="0"/>
                <w:sz w:val="16"/>
              </w:rPr>
              <w:t>Identifier / location</w:t>
            </w:r>
          </w:p>
        </w:tc>
      </w:tr>
      <w:tr>
        <w:trPr>
          <w:cantSplit w:val="true"/>
        </w:trPr>
        <w:tc>
          <w:tcPr>
            <w:tcW w:type="dxa" w:w="1368"/>
            <w:vAlign w:val="center"/>
          </w:tcPr>
          <w:p>
            <w:pPr>
              <w:spacing w:after="0" w:line="240" w:lineRule="auto"/>
            </w:pPr>
            <w:r/>
            <w:r>
              <w:rPr>
                <w:b/>
                <w:i w:val="0"/>
                <w:sz w:val="16"/>
              </w:rPr>
              <w:t>S</w:t>
            </w:r>
          </w:p>
        </w:tc>
        <w:tc>
          <w:tcPr>
            <w:tcW w:type="dxa" w:w="3672"/>
            <w:vAlign w:val="center"/>
          </w:tcPr>
          <w:p>
            <w:pPr>
              <w:spacing w:after="0" w:line="240" w:lineRule="auto"/>
            </w:pPr>
            <w:r/>
            <w:r>
              <w:rPr>
                <w:b w:val="0"/>
                <w:i w:val="0"/>
                <w:sz w:val="16"/>
              </w:rPr>
              <w:t>Companion run results, E119 exposure, OAS-WUI-01_revC (1 min samples from 0 min to 180 min)</w:t>
            </w:r>
          </w:p>
        </w:tc>
        <w:tc>
          <w:tcPr>
            <w:tcW w:type="dxa" w:w="4608"/>
            <w:vAlign w:val="center"/>
          </w:tcPr>
          <w:p>
            <w:pPr>
              <w:spacing w:after="0" w:line="240" w:lineRule="auto"/>
            </w:pPr>
            <w:r/>
            <w:r>
              <w:rPr>
                <w:b w:val="0"/>
                <w:i w:val="0"/>
                <w:sz w:val="16"/>
              </w:rPr>
              <w:t>Validation/E119_companion_sim_results.csv. No job ID or case log for this run is on the server.</w:t>
            </w:r>
          </w:p>
        </w:tc>
      </w:tr>
      <w:tr>
        <w:trPr>
          <w:cantSplit w:val="true"/>
        </w:trPr>
        <w:tc>
          <w:tcPr>
            <w:tcW w:type="dxa" w:w="1368"/>
            <w:vAlign w:val="center"/>
          </w:tcPr>
          <w:p>
            <w:pPr>
              <w:spacing w:after="0" w:line="240" w:lineRule="auto"/>
            </w:pPr>
            <w:r/>
            <w:r>
              <w:rPr>
                <w:b/>
                <w:i w:val="0"/>
                <w:sz w:val="16"/>
              </w:rPr>
              <w:t>D</w:t>
            </w:r>
          </w:p>
        </w:tc>
        <w:tc>
          <w:tcPr>
            <w:tcW w:type="dxa" w:w="3672"/>
            <w:vAlign w:val="center"/>
          </w:tcPr>
          <w:p>
            <w:pPr>
              <w:spacing w:after="0" w:line="240" w:lineRule="auto"/>
            </w:pPr>
            <w:r/>
            <w:r>
              <w:rPr>
                <w:b w:val="0"/>
                <w:i w:val="0"/>
                <w:sz w:val="16"/>
              </w:rPr>
              <w:t>Red Butte Fire &amp; Materials Testing, ASTM E119 test report (signed G. Whitfield, Lab Manager)</w:t>
            </w:r>
          </w:p>
        </w:tc>
        <w:tc>
          <w:tcPr>
            <w:tcW w:type="dxa" w:w="4608"/>
            <w:vAlign w:val="center"/>
          </w:tcPr>
          <w:p>
            <w:pPr>
              <w:spacing w:after="0" w:line="240" w:lineRule="auto"/>
            </w:pPr>
            <w:r/>
            <w:r>
              <w:rPr>
                <w:b w:val="0"/>
                <w:i w:val="0"/>
                <w:sz w:val="16"/>
              </w:rPr>
              <w:t>RBFMT-25-0918, tested and issued 09/24/2025</w:t>
            </w:r>
          </w:p>
        </w:tc>
      </w:tr>
      <w:tr>
        <w:trPr>
          <w:cantSplit w:val="true"/>
        </w:trPr>
        <w:tc>
          <w:tcPr>
            <w:tcW w:type="dxa" w:w="1368"/>
            <w:vAlign w:val="center"/>
          </w:tcPr>
          <w:p>
            <w:pPr>
              <w:spacing w:after="0" w:line="240" w:lineRule="auto"/>
            </w:pPr>
            <w:r/>
            <w:r>
              <w:rPr>
                <w:b/>
                <w:i w:val="0"/>
                <w:sz w:val="16"/>
              </w:rPr>
              <w:t>Certification</w:t>
            </w:r>
          </w:p>
        </w:tc>
        <w:tc>
          <w:tcPr>
            <w:tcW w:type="dxa" w:w="3672"/>
            <w:vAlign w:val="center"/>
          </w:tcPr>
          <w:p>
            <w:pPr>
              <w:spacing w:after="0" w:line="240" w:lineRule="auto"/>
            </w:pPr>
            <w:r/>
            <w:r>
              <w:rPr>
                <w:b w:val="0"/>
                <w:i w:val="0"/>
                <w:sz w:val="16"/>
              </w:rPr>
              <w:t>Ironwood Fire Protection Engineering certification memorandum (M. Kettering, PE, AZ PE #45106)</w:t>
            </w:r>
          </w:p>
        </w:tc>
        <w:tc>
          <w:tcPr>
            <w:tcW w:type="dxa" w:w="4608"/>
            <w:vAlign w:val="center"/>
          </w:tcPr>
          <w:p>
            <w:pPr>
              <w:spacing w:after="0" w:line="240" w:lineRule="auto"/>
            </w:pPr>
            <w:r/>
            <w:r>
              <w:rPr>
                <w:b w:val="0"/>
                <w:i w:val="0"/>
                <w:sz w:val="16"/>
              </w:rPr>
              <w:t>IWFPE-CERT-25-0374, 09/29/2025. 1-hour rating</w:t>
            </w:r>
          </w:p>
        </w:tc>
      </w:tr>
      <w:tr>
        <w:trPr>
          <w:cantSplit w:val="true"/>
        </w:trPr>
        <w:tc>
          <w:tcPr>
            <w:tcW w:type="dxa" w:w="1368"/>
            <w:vAlign w:val="center"/>
          </w:tcPr>
          <w:p>
            <w:pPr>
              <w:spacing w:after="0" w:line="240" w:lineRule="auto"/>
            </w:pPr>
            <w:r/>
            <w:r>
              <w:rPr>
                <w:b/>
                <w:i w:val="0"/>
                <w:sz w:val="16"/>
              </w:rPr>
              <w:t>Amended figures</w:t>
            </w:r>
          </w:p>
        </w:tc>
        <w:tc>
          <w:tcPr>
            <w:tcW w:type="dxa" w:w="3672"/>
            <w:vAlign w:val="center"/>
          </w:tcPr>
          <w:p>
            <w:pPr>
              <w:spacing w:after="0" w:line="240" w:lineRule="auto"/>
            </w:pPr>
            <w:r/>
            <w:r>
              <w:rPr>
                <w:b w:val="0"/>
                <w:i w:val="0"/>
                <w:sz w:val="16"/>
              </w:rPr>
              <w:t>B. Rennert email of 10/09/2025 (11:42 MST) and the attached CSV</w:t>
            </w:r>
          </w:p>
        </w:tc>
        <w:tc>
          <w:tcPr>
            <w:tcW w:type="dxa" w:w="4608"/>
            <w:vAlign w:val="center"/>
          </w:tcPr>
          <w:p>
            <w:pPr>
              <w:spacing w:after="0" w:line="240" w:lineRule="auto"/>
            </w:pPr>
            <w:r/>
            <w:r>
              <w:rPr>
                <w:b w:val="0"/>
                <w:i w:val="0"/>
                <w:sz w:val="16"/>
              </w:rPr>
              <w:t>Correspondence/20251009_Rennert_revised_burn_data.eml; Validation/burn_data_original_vs_revised.csv</w:t>
            </w:r>
          </w:p>
        </w:tc>
      </w:tr>
      <w:tr>
        <w:trPr>
          <w:cantSplit w:val="true"/>
        </w:trPr>
        <w:tc>
          <w:tcPr>
            <w:tcW w:type="dxa" w:w="1368"/>
            <w:vAlign w:val="center"/>
          </w:tcPr>
          <w:p>
            <w:pPr>
              <w:spacing w:after="0" w:line="240" w:lineRule="auto"/>
            </w:pPr>
            <w:r/>
            <w:r>
              <w:rPr>
                <w:b/>
                <w:i w:val="0"/>
                <w:sz w:val="16"/>
              </w:rPr>
              <w:t>Drawing</w:t>
            </w:r>
          </w:p>
        </w:tc>
        <w:tc>
          <w:tcPr>
            <w:tcW w:type="dxa" w:w="3672"/>
            <w:vAlign w:val="center"/>
          </w:tcPr>
          <w:p>
            <w:pPr>
              <w:spacing w:after="0" w:line="240" w:lineRule="auto"/>
            </w:pPr>
            <w:r/>
            <w:r>
              <w:rPr>
                <w:b w:val="0"/>
                <w:i w:val="0"/>
                <w:sz w:val="16"/>
              </w:rPr>
              <w:t>Printed wall assembly section, Assembly ID OAS-WA-305mm-DW, Drawing Rev A, 09/15/2025</w:t>
            </w:r>
          </w:p>
        </w:tc>
        <w:tc>
          <w:tcPr>
            <w:tcW w:type="dxa" w:w="4608"/>
            <w:vAlign w:val="center"/>
          </w:tcPr>
          <w:p>
            <w:pPr>
              <w:spacing w:after="0" w:line="240" w:lineRule="auto"/>
            </w:pPr>
            <w:r/>
            <w:r>
              <w:rPr>
                <w:b w:val="0"/>
                <w:i w:val="0"/>
                <w:sz w:val="16"/>
              </w:rPr>
              <w:t>Geometry/OAS_wall_assembly_section.png</w:t>
            </w:r>
          </w:p>
        </w:tc>
      </w:tr>
      <w:tr>
        <w:trPr>
          <w:cantSplit w:val="true"/>
        </w:trPr>
        <w:tc>
          <w:tcPr>
            <w:tcW w:type="dxa" w:w="1368"/>
            <w:vAlign w:val="center"/>
          </w:tcPr>
          <w:p>
            <w:pPr>
              <w:spacing w:after="0" w:line="240" w:lineRule="auto"/>
            </w:pPr>
            <w:r/>
            <w:r>
              <w:rPr>
                <w:b/>
                <w:i w:val="0"/>
                <w:sz w:val="16"/>
              </w:rPr>
              <w:t>Run geometry</w:t>
            </w:r>
          </w:p>
        </w:tc>
        <w:tc>
          <w:tcPr>
            <w:tcW w:type="dxa" w:w="3672"/>
            <w:vAlign w:val="center"/>
          </w:tcPr>
          <w:p>
            <w:pPr>
              <w:spacing w:after="0" w:line="240" w:lineRule="auto"/>
            </w:pPr>
            <w:r/>
            <w:r>
              <w:rPr>
                <w:b w:val="0"/>
                <w:i w:val="0"/>
                <w:sz w:val="16"/>
              </w:rPr>
              <w:t>OAS-WUI-01_revC (geometry of record); revD for comparison</w:t>
            </w:r>
          </w:p>
        </w:tc>
        <w:tc>
          <w:tcPr>
            <w:tcW w:type="dxa" w:w="4608"/>
            <w:vAlign w:val="center"/>
          </w:tcPr>
          <w:p>
            <w:pPr>
              <w:spacing w:after="0" w:line="240" w:lineRule="auto"/>
            </w:pPr>
            <w:r/>
            <w:r>
              <w:rPr>
                <w:b w:val="0"/>
                <w:i w:val="0"/>
                <w:sz w:val="16"/>
              </w:rPr>
              <w:t>Geometry/OAS-WUI-01_revC.FCStd; Geometry/OAS-WUI-01_revD.FCStd</w:t>
            </w:r>
          </w:p>
        </w:tc>
      </w:tr>
      <w:tr>
        <w:trPr>
          <w:cantSplit w:val="true"/>
        </w:trPr>
        <w:tc>
          <w:tcPr>
            <w:tcW w:type="dxa" w:w="1368"/>
            <w:vAlign w:val="center"/>
          </w:tcPr>
          <w:p>
            <w:pPr>
              <w:spacing w:after="0" w:line="240" w:lineRule="auto"/>
            </w:pPr>
            <w:r/>
            <w:r>
              <w:rPr>
                <w:b/>
                <w:i w:val="0"/>
                <w:sz w:val="16"/>
              </w:rPr>
              <w:t>Procedure</w:t>
            </w:r>
          </w:p>
        </w:tc>
        <w:tc>
          <w:tcPr>
            <w:tcW w:type="dxa" w:w="3672"/>
            <w:vAlign w:val="center"/>
          </w:tcPr>
          <w:p>
            <w:pPr>
              <w:spacing w:after="0" w:line="240" w:lineRule="auto"/>
            </w:pPr>
            <w:r/>
            <w:r>
              <w:rPr>
                <w:b w:val="0"/>
                <w:i w:val="0"/>
                <w:sz w:val="16"/>
              </w:rPr>
              <w:t>Validation QA Procedure rev 2, read with Modeling Standard rev 4, Units SOP rev 2 and Standards Digest rev 1</w:t>
            </w:r>
          </w:p>
        </w:tc>
        <w:tc>
          <w:tcPr>
            <w:tcW w:type="dxa" w:w="4608"/>
            <w:vAlign w:val="center"/>
          </w:tcPr>
          <w:p>
            <w:pPr>
              <w:spacing w:after="0" w:line="240" w:lineRule="auto"/>
            </w:pPr>
            <w:r/>
            <w:r>
              <w:rPr>
                <w:b w:val="0"/>
                <w:i w:val="0"/>
                <w:sz w:val="16"/>
              </w:rPr>
              <w:t>CFDME-QA-VAL-002 (Firm/QA, Firm/Standards)</w:t>
            </w:r>
          </w:p>
        </w:tc>
      </w:tr>
    </w:tbl>
    <w:p>
      <w:pPr>
        <w:spacing w:after="40"/>
      </w:pPr>
    </w:p>
    <w:p>
      <w:pPr>
        <w:keepNext/>
        <w:spacing w:before="200" w:after="60"/>
        <w:pBdr>
          <w:bottom w:val="single" w:sz="4" w:space="1" w:color="1F2A44"/>
        </w:pBdr>
      </w:pPr>
      <w:r>
        <w:rPr>
          <w:b/>
          <w:color w:val="1F2A44"/>
          <w:sz w:val="24"/>
        </w:rPr>
        <w:t>3. Is the assembly in the run the one Ironwood certified?</w:t>
      </w:r>
    </w:p>
    <w:p>
      <w:pPr>
        <w:keepNext/>
      </w:pPr>
      <w:r>
        <w:rPr>
          <w:b/>
          <w:i w:val="0"/>
        </w:rPr>
        <w:t>Yes, on every parameter the certification tabulates</w:t>
      </w:r>
      <w:r>
        <w:rPr>
          <w:b w:val="0"/>
          <w:i w:val="0"/>
        </w:rPr>
        <w:t xml:space="preserve"> (Table 1).</w:t>
      </w:r>
    </w:p>
    <w:p>
      <w:pPr>
        <w:keepNext/>
        <w:spacing w:after="40"/>
      </w:pPr>
      <w:r>
        <w:rPr>
          <w:b/>
          <w:i w:val="0"/>
          <w:color w:val="1F2A44"/>
          <w:sz w:val="18"/>
        </w:rPr>
        <w:t>Table 1 — Certified geometry, drawing and run geometry</w:t>
      </w:r>
    </w:p>
    <w:tbl>
      <w:tblPr>
        <w:tblStyle w:val="TableGrid"/>
        <w:tblW w:type="dxa" w:w="9647"/>
        <w:jc w:val="center"/>
        <w:tblLayout w:type="fixed"/>
        <w:tblLook w:firstColumn="1" w:firstRow="1" w:lastColumn="0" w:lastRow="0" w:noHBand="0" w:noVBand="1" w:val="04A0"/>
        <w:tblCellMar>
          <w:top w:w="40" w:type="dxa"/>
          <w:left w:w="70" w:type="dxa"/>
          <w:bottom w:w="40" w:type="dxa"/>
          <w:right w:w="70" w:type="dxa"/>
        </w:tblCellMar>
        <w:tblLayout w:type="fixed"/>
      </w:tblPr>
      <w:tblGrid>
        <w:gridCol w:w="1584"/>
        <w:gridCol w:w="2880"/>
        <w:gridCol w:w="2160"/>
        <w:gridCol w:w="3024"/>
      </w:tblGrid>
      <w:tr>
        <w:trPr>
          <w:tblHeader w:val="true"/>
          <w:cantSplit w:val="true"/>
        </w:trPr>
        <w:tc>
          <w:tcPr>
            <w:tcW w:type="dxa" w:w="1584"/>
            <w:vAlign w:val="center"/>
            <w:shd w:val="clear" w:color="auto" w:fill="D9DEE7"/>
          </w:tcPr>
          <w:p>
            <w:pPr>
              <w:spacing w:after="0" w:line="240" w:lineRule="auto"/>
            </w:pPr>
            <w:r/>
            <w:r>
              <w:rPr>
                <w:b/>
                <w:i w:val="0"/>
                <w:sz w:val="16"/>
              </w:rPr>
              <w:t>Parameter</w:t>
            </w:r>
          </w:p>
        </w:tc>
        <w:tc>
          <w:tcPr>
            <w:tcW w:type="dxa" w:w="2880"/>
            <w:vAlign w:val="center"/>
            <w:shd w:val="clear" w:color="auto" w:fill="D9DEE7"/>
          </w:tcPr>
          <w:p>
            <w:pPr>
              <w:spacing w:after="0" w:line="240" w:lineRule="auto"/>
            </w:pPr>
            <w:r/>
            <w:r>
              <w:rPr>
                <w:b/>
                <w:i w:val="0"/>
                <w:sz w:val="16"/>
              </w:rPr>
              <w:t>Certified: IWFPE-CERT-25-0374 §1.2</w:t>
            </w:r>
          </w:p>
          <w:p>
            <w:pPr>
              <w:spacing w:after="0" w:line="240" w:lineRule="auto"/>
            </w:pPr>
            <w:r>
              <w:rPr>
                <w:b/>
                <w:i w:val="0"/>
                <w:sz w:val="16"/>
              </w:rPr>
              <w:t>(= RBFMT-25-0918 §2, as tested)</w:t>
            </w:r>
          </w:p>
        </w:tc>
        <w:tc>
          <w:tcPr>
            <w:tcW w:type="dxa" w:w="2160"/>
            <w:vAlign w:val="center"/>
            <w:shd w:val="clear" w:color="auto" w:fill="D9DEE7"/>
          </w:tcPr>
          <w:p>
            <w:pPr>
              <w:spacing w:after="0" w:line="240" w:lineRule="auto"/>
            </w:pPr>
            <w:r/>
            <w:r>
              <w:rPr>
                <w:b/>
                <w:i w:val="0"/>
                <w:sz w:val="16"/>
              </w:rPr>
              <w:t>Drawing OAS-WA-305mm-DW Rev A</w:t>
            </w:r>
          </w:p>
        </w:tc>
        <w:tc>
          <w:tcPr>
            <w:tcW w:type="dxa" w:w="3024"/>
            <w:vAlign w:val="center"/>
            <w:shd w:val="clear" w:color="auto" w:fill="D9DEE7"/>
          </w:tcPr>
          <w:p>
            <w:pPr>
              <w:spacing w:after="0" w:line="240" w:lineRule="auto"/>
            </w:pPr>
            <w:r/>
            <w:r>
              <w:rPr>
                <w:b/>
                <w:i w:val="0"/>
                <w:sz w:val="16"/>
              </w:rPr>
              <w:t>Run geometry OAS-WUI-01_revC</w:t>
            </w:r>
          </w:p>
        </w:tc>
      </w:tr>
      <w:tr>
        <w:trPr>
          <w:cantSplit w:val="true"/>
        </w:trPr>
        <w:tc>
          <w:tcPr>
            <w:tcW w:type="dxa" w:w="1584"/>
            <w:vAlign w:val="center"/>
          </w:tcPr>
          <w:p>
            <w:pPr>
              <w:spacing w:after="0" w:line="240" w:lineRule="auto"/>
            </w:pPr>
            <w:r/>
            <w:r>
              <w:rPr>
                <w:b/>
                <w:i w:val="0"/>
                <w:sz w:val="16"/>
              </w:rPr>
              <w:t>Leaf thickness</w:t>
            </w:r>
          </w:p>
        </w:tc>
        <w:tc>
          <w:tcPr>
            <w:tcW w:type="dxa" w:w="2880"/>
            <w:vAlign w:val="center"/>
          </w:tcPr>
          <w:p>
            <w:pPr>
              <w:spacing w:after="0" w:line="240" w:lineRule="auto"/>
            </w:pPr>
            <w:r/>
            <w:r>
              <w:rPr>
                <w:b w:val="0"/>
                <w:i w:val="0"/>
                <w:sz w:val="16"/>
              </w:rPr>
              <w:t>50 mm each leaf</w:t>
            </w:r>
          </w:p>
        </w:tc>
        <w:tc>
          <w:tcPr>
            <w:tcW w:type="dxa" w:w="2160"/>
            <w:vAlign w:val="center"/>
          </w:tcPr>
          <w:p>
            <w:pPr>
              <w:spacing w:after="0" w:line="240" w:lineRule="auto"/>
            </w:pPr>
            <w:r/>
            <w:r>
              <w:rPr>
                <w:b w:val="0"/>
                <w:i w:val="0"/>
                <w:sz w:val="16"/>
              </w:rPr>
              <w:t>50 mm each leaf</w:t>
            </w:r>
          </w:p>
        </w:tc>
        <w:tc>
          <w:tcPr>
            <w:tcW w:type="dxa" w:w="3024"/>
            <w:vAlign w:val="center"/>
          </w:tcPr>
          <w:p>
            <w:pPr>
              <w:spacing w:after="0" w:line="240" w:lineRule="auto"/>
            </w:pPr>
            <w:r/>
            <w:r>
              <w:rPr>
                <w:b w:val="0"/>
                <w:i w:val="0"/>
                <w:sz w:val="16"/>
              </w:rPr>
              <w:t>50 mm (Wythe_mm). Solid: leaves at 0 mm–50 mm and 255 mm–305 mm</w:t>
            </w:r>
          </w:p>
        </w:tc>
      </w:tr>
      <w:tr>
        <w:trPr>
          <w:cantSplit w:val="true"/>
        </w:trPr>
        <w:tc>
          <w:tcPr>
            <w:tcW w:type="dxa" w:w="1584"/>
            <w:vAlign w:val="center"/>
          </w:tcPr>
          <w:p>
            <w:pPr>
              <w:spacing w:after="0" w:line="240" w:lineRule="auto"/>
            </w:pPr>
            <w:r/>
            <w:r>
              <w:rPr>
                <w:b/>
                <w:i w:val="0"/>
                <w:sz w:val="16"/>
              </w:rPr>
              <w:t>Cavity width</w:t>
            </w:r>
          </w:p>
        </w:tc>
        <w:tc>
          <w:tcPr>
            <w:tcW w:type="dxa" w:w="2880"/>
            <w:vAlign w:val="center"/>
          </w:tcPr>
          <w:p>
            <w:pPr>
              <w:spacing w:after="0" w:line="240" w:lineRule="auto"/>
            </w:pPr>
            <w:r/>
            <w:r>
              <w:rPr>
                <w:b w:val="0"/>
                <w:i w:val="0"/>
                <w:sz w:val="16"/>
              </w:rPr>
              <w:t>205 mm</w:t>
            </w:r>
          </w:p>
        </w:tc>
        <w:tc>
          <w:tcPr>
            <w:tcW w:type="dxa" w:w="2160"/>
            <w:vAlign w:val="center"/>
          </w:tcPr>
          <w:p>
            <w:pPr>
              <w:spacing w:after="0" w:line="240" w:lineRule="auto"/>
            </w:pPr>
            <w:r/>
            <w:r>
              <w:rPr>
                <w:b w:val="0"/>
                <w:i w:val="0"/>
                <w:sz w:val="16"/>
              </w:rPr>
              <w:t>205 mm</w:t>
            </w:r>
          </w:p>
        </w:tc>
        <w:tc>
          <w:tcPr>
            <w:tcW w:type="dxa" w:w="3024"/>
            <w:vAlign w:val="center"/>
          </w:tcPr>
          <w:p>
            <w:pPr>
              <w:spacing w:after="0" w:line="240" w:lineRule="auto"/>
            </w:pPr>
            <w:r/>
            <w:r>
              <w:rPr>
                <w:b w:val="0"/>
                <w:i w:val="0"/>
                <w:sz w:val="16"/>
              </w:rPr>
              <w:t>205 mm (AirGap_mm). Solid: void at 50 mm–255 mm</w:t>
            </w:r>
          </w:p>
        </w:tc>
      </w:tr>
      <w:tr>
        <w:trPr>
          <w:cantSplit w:val="true"/>
        </w:trPr>
        <w:tc>
          <w:tcPr>
            <w:tcW w:type="dxa" w:w="1584"/>
            <w:vAlign w:val="center"/>
          </w:tcPr>
          <w:p>
            <w:pPr>
              <w:spacing w:after="0" w:line="240" w:lineRule="auto"/>
            </w:pPr>
            <w:r/>
            <w:r>
              <w:rPr>
                <w:b/>
                <w:i w:val="0"/>
                <w:sz w:val="16"/>
              </w:rPr>
              <w:t>Overall thickness</w:t>
            </w:r>
          </w:p>
        </w:tc>
        <w:tc>
          <w:tcPr>
            <w:tcW w:type="dxa" w:w="2880"/>
            <w:vAlign w:val="center"/>
          </w:tcPr>
          <w:p>
            <w:pPr>
              <w:spacing w:after="0" w:line="240" w:lineRule="auto"/>
            </w:pPr>
            <w:r/>
            <w:r>
              <w:rPr>
                <w:b w:val="0"/>
                <w:i w:val="0"/>
                <w:sz w:val="16"/>
              </w:rPr>
              <w:t>305 mm</w:t>
            </w:r>
          </w:p>
        </w:tc>
        <w:tc>
          <w:tcPr>
            <w:tcW w:type="dxa" w:w="2160"/>
            <w:vAlign w:val="center"/>
          </w:tcPr>
          <w:p>
            <w:pPr>
              <w:spacing w:after="0" w:line="240" w:lineRule="auto"/>
            </w:pPr>
            <w:r/>
            <w:r>
              <w:rPr>
                <w:b w:val="0"/>
                <w:i w:val="0"/>
                <w:sz w:val="16"/>
              </w:rPr>
              <w:t>305 mm</w:t>
            </w:r>
          </w:p>
        </w:tc>
        <w:tc>
          <w:tcPr>
            <w:tcW w:type="dxa" w:w="3024"/>
            <w:vAlign w:val="center"/>
          </w:tcPr>
          <w:p>
            <w:pPr>
              <w:spacing w:after="0" w:line="240" w:lineRule="auto"/>
            </w:pPr>
            <w:r/>
            <w:r>
              <w:rPr>
                <w:b w:val="0"/>
                <w:i w:val="0"/>
                <w:sz w:val="16"/>
              </w:rPr>
              <w:t>305 mm (Thickness_mm)</w:t>
            </w:r>
          </w:p>
        </w:tc>
      </w:tr>
      <w:tr>
        <w:trPr>
          <w:cantSplit w:val="true"/>
        </w:trPr>
        <w:tc>
          <w:tcPr>
            <w:tcW w:type="dxa" w:w="1584"/>
            <w:vAlign w:val="center"/>
          </w:tcPr>
          <w:p>
            <w:pPr>
              <w:spacing w:after="0" w:line="240" w:lineRule="auto"/>
            </w:pPr>
            <w:r/>
            <w:r>
              <w:rPr>
                <w:b/>
                <w:i w:val="0"/>
                <w:sz w:val="16"/>
              </w:rPr>
              <w:t>Cavity contents</w:t>
            </w:r>
          </w:p>
        </w:tc>
        <w:tc>
          <w:tcPr>
            <w:tcW w:type="dxa" w:w="2880"/>
            <w:vAlign w:val="center"/>
          </w:tcPr>
          <w:p>
            <w:pPr>
              <w:spacing w:after="0" w:line="240" w:lineRule="auto"/>
            </w:pPr>
            <w:r/>
            <w:r>
              <w:rPr>
                <w:b w:val="0"/>
                <w:i w:val="0"/>
                <w:sz w:val="16"/>
              </w:rPr>
              <w:t>Open air: no insulation, fill, membrane or fire-stop</w:t>
            </w:r>
          </w:p>
        </w:tc>
        <w:tc>
          <w:tcPr>
            <w:tcW w:type="dxa" w:w="2160"/>
            <w:vAlign w:val="center"/>
          </w:tcPr>
          <w:p>
            <w:pPr>
              <w:spacing w:after="0" w:line="240" w:lineRule="auto"/>
            </w:pPr>
            <w:r/>
            <w:r>
              <w:rPr>
                <w:b w:val="0"/>
                <w:i w:val="0"/>
                <w:sz w:val="16"/>
              </w:rPr>
              <w:t>Unfilled, open, no insulation</w:t>
            </w:r>
          </w:p>
        </w:tc>
        <w:tc>
          <w:tcPr>
            <w:tcW w:type="dxa" w:w="3024"/>
            <w:vAlign w:val="center"/>
          </w:tcPr>
          <w:p>
            <w:pPr>
              <w:spacing w:after="0" w:line="240" w:lineRule="auto"/>
            </w:pPr>
            <w:r/>
            <w:r>
              <w:rPr>
                <w:b w:val="0"/>
                <w:i w:val="0"/>
                <w:sz w:val="16"/>
              </w:rPr>
              <w:t>Open, no insulation</w:t>
            </w:r>
          </w:p>
        </w:tc>
      </w:tr>
      <w:tr>
        <w:trPr>
          <w:cantSplit w:val="true"/>
        </w:trPr>
        <w:tc>
          <w:tcPr>
            <w:tcW w:type="dxa" w:w="1584"/>
            <w:vAlign w:val="center"/>
          </w:tcPr>
          <w:p>
            <w:pPr>
              <w:spacing w:after="0" w:line="240" w:lineRule="auto"/>
            </w:pPr>
            <w:r/>
            <w:r>
              <w:rPr>
                <w:b/>
                <w:i w:val="0"/>
                <w:sz w:val="16"/>
              </w:rPr>
              <w:t>Aggregate</w:t>
            </w:r>
          </w:p>
        </w:tc>
        <w:tc>
          <w:tcPr>
            <w:tcW w:type="dxa" w:w="2880"/>
            <w:vAlign w:val="center"/>
          </w:tcPr>
          <w:p>
            <w:pPr>
              <w:spacing w:after="0" w:line="240" w:lineRule="auto"/>
            </w:pPr>
            <w:r/>
            <w:r>
              <w:rPr>
                <w:b w:val="0"/>
                <w:i w:val="0"/>
                <w:sz w:val="16"/>
              </w:rPr>
              <w:t>Siliceous</w:t>
            </w:r>
          </w:p>
        </w:tc>
        <w:tc>
          <w:tcPr>
            <w:tcW w:type="dxa" w:w="2160"/>
            <w:vAlign w:val="center"/>
          </w:tcPr>
          <w:p>
            <w:pPr>
              <w:spacing w:after="0" w:line="240" w:lineRule="auto"/>
            </w:pPr>
            <w:r/>
            <w:r>
              <w:rPr>
                <w:b w:val="0"/>
                <w:i w:val="0"/>
                <w:sz w:val="16"/>
              </w:rPr>
              <w:t>Siliceous</w:t>
            </w:r>
          </w:p>
        </w:tc>
        <w:tc>
          <w:tcPr>
            <w:tcW w:type="dxa" w:w="3024"/>
            <w:vAlign w:val="center"/>
          </w:tcPr>
          <w:p>
            <w:pPr>
              <w:spacing w:after="0" w:line="240" w:lineRule="auto"/>
            </w:pPr>
            <w:r/>
            <w:r>
              <w:rPr>
                <w:b w:val="0"/>
                <w:i w:val="0"/>
                <w:sz w:val="16"/>
              </w:rPr>
              <w:t>Not recorded in the file (report §3.4 says siliceous)</w:t>
            </w:r>
          </w:p>
        </w:tc>
      </w:tr>
      <w:tr>
        <w:trPr>
          <w:cantSplit w:val="true"/>
        </w:trPr>
        <w:tc>
          <w:tcPr>
            <w:tcW w:type="dxa" w:w="1584"/>
            <w:vAlign w:val="center"/>
          </w:tcPr>
          <w:p>
            <w:pPr>
              <w:spacing w:after="0" w:line="240" w:lineRule="auto"/>
            </w:pPr>
            <w:r/>
            <w:r>
              <w:rPr>
                <w:b/>
                <w:i w:val="0"/>
                <w:sz w:val="16"/>
              </w:rPr>
              <w:t>Ties</w:t>
            </w:r>
          </w:p>
        </w:tc>
        <w:tc>
          <w:tcPr>
            <w:tcW w:type="dxa" w:w="2880"/>
            <w:vAlign w:val="center"/>
          </w:tcPr>
          <w:p>
            <w:pPr>
              <w:spacing w:after="0" w:line="240" w:lineRule="auto"/>
            </w:pPr>
            <w:r/>
            <w:r>
              <w:rPr>
                <w:b w:val="0"/>
                <w:i w:val="0"/>
                <w:sz w:val="16"/>
              </w:rPr>
              <w:t>Galvanized steel, truss-type, triangular zigzag, continuous</w:t>
            </w:r>
          </w:p>
        </w:tc>
        <w:tc>
          <w:tcPr>
            <w:tcW w:type="dxa" w:w="2160"/>
            <w:vAlign w:val="center"/>
          </w:tcPr>
          <w:p>
            <w:pPr>
              <w:spacing w:after="0" w:line="240" w:lineRule="auto"/>
            </w:pPr>
            <w:r/>
            <w:r>
              <w:rPr>
                <w:b w:val="0"/>
                <w:i w:val="0"/>
                <w:sz w:val="16"/>
              </w:rPr>
              <w:t>Same</w:t>
            </w:r>
          </w:p>
        </w:tc>
        <w:tc>
          <w:tcPr>
            <w:tcW w:type="dxa" w:w="3024"/>
            <w:vAlign w:val="center"/>
          </w:tcPr>
          <w:p>
            <w:pPr>
              <w:spacing w:after="0" w:line="240" w:lineRule="auto"/>
            </w:pPr>
            <w:r/>
            <w:r>
              <w:rPr>
                <w:b w:val="0"/>
                <w:i w:val="0"/>
                <w:sz w:val="16"/>
              </w:rPr>
              <w:t>Same</w:t>
            </w:r>
          </w:p>
        </w:tc>
      </w:tr>
      <w:tr>
        <w:trPr>
          <w:cantSplit w:val="true"/>
        </w:trPr>
        <w:tc>
          <w:tcPr>
            <w:tcW w:type="dxa" w:w="1584"/>
            <w:vAlign w:val="center"/>
          </w:tcPr>
          <w:p>
            <w:pPr>
              <w:spacing w:after="0" w:line="240" w:lineRule="auto"/>
            </w:pPr>
            <w:r/>
            <w:r>
              <w:rPr>
                <w:b/>
                <w:i w:val="0"/>
                <w:sz w:val="16"/>
              </w:rPr>
              <w:t>Tie wire</w:t>
            </w:r>
          </w:p>
        </w:tc>
        <w:tc>
          <w:tcPr>
            <w:tcW w:type="dxa" w:w="2880"/>
            <w:vAlign w:val="center"/>
          </w:tcPr>
          <w:p>
            <w:pPr>
              <w:spacing w:after="0" w:line="240" w:lineRule="auto"/>
            </w:pPr>
            <w:r/>
            <w:r>
              <w:rPr>
                <w:b w:val="0"/>
                <w:i w:val="0"/>
                <w:sz w:val="16"/>
              </w:rPr>
              <w:t>9-gauge, 3.8 mm</w:t>
            </w:r>
          </w:p>
        </w:tc>
        <w:tc>
          <w:tcPr>
            <w:tcW w:type="dxa" w:w="2160"/>
            <w:vAlign w:val="center"/>
          </w:tcPr>
          <w:p>
            <w:pPr>
              <w:spacing w:after="0" w:line="240" w:lineRule="auto"/>
            </w:pPr>
            <w:r/>
            <w:r>
              <w:rPr>
                <w:b w:val="0"/>
                <w:i w:val="0"/>
                <w:sz w:val="16"/>
              </w:rPr>
              <w:t>9-gauge, 3.8 mm</w:t>
            </w:r>
          </w:p>
        </w:tc>
        <w:tc>
          <w:tcPr>
            <w:tcW w:type="dxa" w:w="3024"/>
            <w:vAlign w:val="center"/>
          </w:tcPr>
          <w:p>
            <w:pPr>
              <w:spacing w:after="0" w:line="240" w:lineRule="auto"/>
            </w:pPr>
            <w:r/>
            <w:r>
              <w:rPr>
                <w:b w:val="0"/>
                <w:i w:val="0"/>
                <w:sz w:val="16"/>
              </w:rPr>
              <w:t>9-gauge, 3.8 mm</w:t>
            </w:r>
          </w:p>
        </w:tc>
      </w:tr>
      <w:tr>
        <w:trPr>
          <w:cantSplit w:val="true"/>
        </w:trPr>
        <w:tc>
          <w:tcPr>
            <w:tcW w:type="dxa" w:w="1584"/>
            <w:vAlign w:val="center"/>
          </w:tcPr>
          <w:p>
            <w:pPr>
              <w:spacing w:after="0" w:line="240" w:lineRule="auto"/>
            </w:pPr>
            <w:r/>
            <w:r>
              <w:rPr>
                <w:b/>
                <w:i w:val="0"/>
                <w:sz w:val="16"/>
              </w:rPr>
              <w:t>Tie vertical spacing</w:t>
            </w:r>
          </w:p>
        </w:tc>
        <w:tc>
          <w:tcPr>
            <w:tcW w:type="dxa" w:w="2880"/>
            <w:vAlign w:val="center"/>
          </w:tcPr>
          <w:p>
            <w:pPr>
              <w:spacing w:after="0" w:line="240" w:lineRule="auto"/>
            </w:pPr>
            <w:r/>
            <w:r>
              <w:rPr>
                <w:b w:val="0"/>
                <w:i w:val="0"/>
                <w:sz w:val="16"/>
              </w:rPr>
              <w:t>600 mm o.c.</w:t>
            </w:r>
          </w:p>
        </w:tc>
        <w:tc>
          <w:tcPr>
            <w:tcW w:type="dxa" w:w="2160"/>
            <w:vAlign w:val="center"/>
          </w:tcPr>
          <w:p>
            <w:pPr>
              <w:spacing w:after="0" w:line="240" w:lineRule="auto"/>
            </w:pPr>
            <w:r/>
            <w:r>
              <w:rPr>
                <w:b w:val="0"/>
                <w:i w:val="0"/>
                <w:sz w:val="16"/>
              </w:rPr>
              <w:t>600 mm o.c.</w:t>
            </w:r>
          </w:p>
        </w:tc>
        <w:tc>
          <w:tcPr>
            <w:tcW w:type="dxa" w:w="3024"/>
            <w:vAlign w:val="center"/>
          </w:tcPr>
          <w:p>
            <w:pPr>
              <w:spacing w:after="0" w:line="240" w:lineRule="auto"/>
            </w:pPr>
            <w:r/>
            <w:r>
              <w:rPr>
                <w:b w:val="0"/>
                <w:i w:val="0"/>
                <w:sz w:val="16"/>
              </w:rPr>
              <w:t>600 mm (TieSpacingVertical_mm)</w:t>
            </w:r>
          </w:p>
        </w:tc>
      </w:tr>
      <w:tr>
        <w:trPr>
          <w:cantSplit w:val="true"/>
        </w:trPr>
        <w:tc>
          <w:tcPr>
            <w:tcW w:type="dxa" w:w="1584"/>
            <w:vAlign w:val="center"/>
          </w:tcPr>
          <w:p>
            <w:pPr>
              <w:spacing w:after="0" w:line="240" w:lineRule="auto"/>
            </w:pPr>
            <w:r/>
            <w:r>
              <w:rPr>
                <w:b/>
                <w:i w:val="0"/>
                <w:sz w:val="16"/>
              </w:rPr>
              <w:t>Tie embedment</w:t>
            </w:r>
          </w:p>
        </w:tc>
        <w:tc>
          <w:tcPr>
            <w:tcW w:type="dxa" w:w="2880"/>
            <w:vAlign w:val="center"/>
          </w:tcPr>
          <w:p>
            <w:pPr>
              <w:spacing w:after="0" w:line="240" w:lineRule="auto"/>
            </w:pPr>
            <w:r/>
            <w:r>
              <w:rPr>
                <w:b w:val="0"/>
                <w:i w:val="0"/>
                <w:sz w:val="16"/>
              </w:rPr>
              <w:t>25 mm each leaf</w:t>
            </w:r>
          </w:p>
        </w:tc>
        <w:tc>
          <w:tcPr>
            <w:tcW w:type="dxa" w:w="2160"/>
            <w:vAlign w:val="center"/>
          </w:tcPr>
          <w:p>
            <w:pPr>
              <w:spacing w:after="0" w:line="240" w:lineRule="auto"/>
            </w:pPr>
            <w:r/>
            <w:r>
              <w:rPr>
                <w:b w:val="0"/>
                <w:i w:val="0"/>
                <w:sz w:val="16"/>
              </w:rPr>
              <w:t>25 mm each leaf</w:t>
            </w:r>
          </w:p>
        </w:tc>
        <w:tc>
          <w:tcPr>
            <w:tcW w:type="dxa" w:w="3024"/>
            <w:vAlign w:val="center"/>
          </w:tcPr>
          <w:p>
            <w:pPr>
              <w:spacing w:after="0" w:line="240" w:lineRule="auto"/>
            </w:pPr>
            <w:r/>
            <w:r>
              <w:rPr>
                <w:b w:val="0"/>
                <w:i w:val="0"/>
                <w:sz w:val="16"/>
              </w:rPr>
              <w:t>25 mm each leaf (TieEmbedment_mm)</w:t>
            </w:r>
          </w:p>
        </w:tc>
      </w:tr>
      <w:tr>
        <w:trPr>
          <w:cantSplit w:val="true"/>
        </w:trPr>
        <w:tc>
          <w:tcPr>
            <w:tcW w:type="dxa" w:w="1584"/>
            <w:vAlign w:val="center"/>
          </w:tcPr>
          <w:p>
            <w:pPr>
              <w:spacing w:after="0" w:line="240" w:lineRule="auto"/>
            </w:pPr>
            <w:r/>
            <w:r>
              <w:rPr>
                <w:b/>
                <w:i w:val="0"/>
                <w:sz w:val="16"/>
              </w:rPr>
              <w:t>Exposure</w:t>
            </w:r>
          </w:p>
        </w:tc>
        <w:tc>
          <w:tcPr>
            <w:tcW w:type="dxa" w:w="2880"/>
            <w:vAlign w:val="center"/>
          </w:tcPr>
          <w:p>
            <w:pPr>
              <w:spacing w:after="0" w:line="240" w:lineRule="auto"/>
            </w:pPr>
            <w:r/>
            <w:r>
              <w:rPr>
                <w:b w:val="0"/>
                <w:i w:val="0"/>
                <w:sz w:val="16"/>
              </w:rPr>
              <w:t>E119 standard curve on one face; 21.0 °C initial ambient</w:t>
            </w:r>
          </w:p>
        </w:tc>
        <w:tc>
          <w:tcPr>
            <w:tcW w:type="dxa" w:w="2160"/>
            <w:vAlign w:val="center"/>
          </w:tcPr>
          <w:p>
            <w:pPr>
              <w:spacing w:after="0" w:line="240" w:lineRule="auto"/>
            </w:pPr>
            <w:r/>
            <w:r>
              <w:rPr>
                <w:b w:val="0"/>
                <w:i w:val="0"/>
                <w:sz w:val="16"/>
              </w:rPr>
              <w:t>—</w:t>
            </w:r>
          </w:p>
        </w:tc>
        <w:tc>
          <w:tcPr>
            <w:tcW w:type="dxa" w:w="3024"/>
            <w:vAlign w:val="center"/>
          </w:tcPr>
          <w:p>
            <w:pPr>
              <w:spacing w:after="0" w:line="240" w:lineRule="auto"/>
            </w:pPr>
            <w:r/>
            <w:r>
              <w:rPr>
                <w:b w:val="0"/>
                <w:i w:val="0"/>
                <w:sz w:val="16"/>
              </w:rPr>
              <w:t>E119 standard curve on the exposed face; 21.0 °C at 0 min</w:t>
            </w:r>
          </w:p>
        </w:tc>
      </w:tr>
    </w:tbl>
    <w:p>
      <w:pPr>
        <w:spacing w:after="40"/>
      </w:pPr>
    </w:p>
    <w:p>
      <w:r>
        <w:rPr>
          <w:b/>
          <w:i w:val="0"/>
        </w:rPr>
        <w:t>What the finding rests on.</w:t>
      </w:r>
      <w:r>
        <w:rPr>
          <w:b w:val="0"/>
          <w:i w:val="0"/>
        </w:rPr>
        <w:t xml:space="preserve"> It rests on three documents agreeing parameter by parameter: Ironwood's tabulated geometry (which is Red Butte's as-tested description), the drawing's labelled dimensions and the revC file's parameters and solid geometry. The drawing is marked not to scale, so nothing was scaled from it. The finding does not rest on the identifier crosswalk in our scoping memo §6 and report §3.5 ("OAS-WA-305mm-DW refers to the same physical wall assembly as OAS-WUI-01_revC"). Only our own documents make that link. Ironwood's scope is written on geometry, not names: "any deviation from the tabulated geometry places the assembly outside the scope of this certification."</w:t>
      </w:r>
    </w:p>
    <w:p>
      <w:pPr>
        <w:keepNext/>
        <w:spacing w:after="20"/>
      </w:pPr>
      <w:r>
        <w:rPr>
          <w:b/>
          <w:i w:val="0"/>
        </w:rPr>
        <w:t>Limits of the finding.</w:t>
      </w:r>
    </w:p>
    <w:p>
      <w:pPr>
        <w:pStyle w:val="ListBullet"/>
      </w:pPr>
      <w:r>
        <w:rPr>
          <w:b w:val="0"/>
          <w:i w:val="0"/>
        </w:rPr>
        <w:t>The run is tied to revC only by the header of its results file. No case directory, log or job ID for the companion run is on the server.</w:t>
      </w:r>
    </w:p>
    <w:p>
      <w:pPr>
        <w:pStyle w:val="ListBullet"/>
      </w:pPr>
      <w:r>
        <w:rPr>
          <w:b w:val="0"/>
          <w:i w:val="0"/>
        </w:rPr>
        <w:t>As filed, revC is a 1830 mm × 305 mm × 2745 mm panel. Its leaves are joined by 50 mm concrete returns at both vertical edges and a 50 mm cap at the top. The Red Butte specimen was 3050 mm × 3050 mm. Panel extent and edge closure are not tabulated certification parameters, so neither takes the run outside the certified assembly. However, the companion output does not record the extent it modelled, so the §7 audit should confirm it.</w:t>
      </w:r>
    </w:p>
    <w:p>
      <w:pPr>
        <w:pStyle w:val="ListBullet"/>
      </w:pPr>
      <w:r>
        <w:rPr>
          <w:b w:val="0"/>
          <w:i w:val="0"/>
        </w:rPr>
        <w:t>The drawing's thermal properties (concrete k = 1.4 W/(m·K), ρ = 2200 kg/m³, c_p = 900 J/(kg·K); steel k = 45 W/(m·K)) are design values. They are identical to Modeling Standard rev 4 Appendix A and were not measured on the specimen. Ironwood certifies geometry, not properties.</w:t>
      </w:r>
    </w:p>
    <w:p>
      <w:pPr>
        <w:pStyle w:val="ListBullet"/>
      </w:pPr>
      <w:r>
        <w:rPr>
          <w:b w:val="0"/>
          <w:i w:val="0"/>
        </w:rPr>
        <w:t>revD was received at 16:12 MST on 10/09/2025. It adds only a 610 mm hollow parapet, a 50 mm coping and a 25 mm drip above the main wall, and leaves every tabulated section parameter unchanged. It is not the geometry of record and was not used by the run. Adopting it would take a change order (SOW §8).</w:t>
      </w:r>
    </w:p>
    <w:p>
      <w:pPr>
        <w:keepNext/>
        <w:spacing w:before="200" w:after="60"/>
        <w:pBdr>
          <w:bottom w:val="single" w:sz="4" w:space="1" w:color="1F2A44"/>
        </w:pBdr>
      </w:pPr>
      <w:r>
        <w:rPr>
          <w:b/>
          <w:color w:val="1F2A44"/>
          <w:sz w:val="24"/>
        </w:rPr>
        <w:t>4. Governing criterion and when it is reached</w:t>
      </w:r>
    </w:p>
    <w:p>
      <w:r>
        <w:rPr>
          <w:b w:val="0"/>
          <w:i w:val="0"/>
        </w:rPr>
        <w:t>The run's output columns are absolute temperatures, but the E119 criteria are rises above the initial ambient. That ambient is 21.0 °C in both the test (RBFMT-25-0918 §3.4) and the run (every column reads 21.0 °C at 0 min). The run thresholds are therefore 21.0 °C + 139 °C = 160.0 °C for the average criterion and 21.0 °C + 181 °C = 202.0 °C for the single-point criterion. Crossing times are linear interpolations between the bracketing 1 min samples, rounded to the nearest minute.</w:t>
      </w:r>
    </w:p>
    <w:p>
      <w:pPr>
        <w:keepNext/>
        <w:spacing w:after="40"/>
      </w:pPr>
      <w:r>
        <w:rPr>
          <w:b/>
          <w:i w:val="0"/>
          <w:color w:val="1F2A44"/>
          <w:sz w:val="18"/>
        </w:rPr>
        <w:t>Table 2 — Crossing times</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2088"/>
        <w:gridCol w:w="1224"/>
        <w:gridCol w:w="2304"/>
        <w:gridCol w:w="1512"/>
        <w:gridCol w:w="2520"/>
      </w:tblGrid>
      <w:tr>
        <w:trPr>
          <w:tblHeader w:val="true"/>
          <w:cantSplit w:val="true"/>
        </w:trPr>
        <w:tc>
          <w:tcPr>
            <w:tcW w:type="dxa" w:w="2088"/>
            <w:vAlign w:val="center"/>
            <w:shd w:val="clear" w:color="auto" w:fill="D9DEE7"/>
          </w:tcPr>
          <w:p>
            <w:pPr>
              <w:spacing w:after="0" w:line="240" w:lineRule="auto"/>
            </w:pPr>
            <w:r/>
            <w:r>
              <w:rPr>
                <w:b/>
                <w:i w:val="0"/>
                <w:sz w:val="17"/>
              </w:rPr>
              <w:t>Criterion</w:t>
            </w:r>
          </w:p>
        </w:tc>
        <w:tc>
          <w:tcPr>
            <w:tcW w:type="dxa" w:w="1224"/>
            <w:vAlign w:val="center"/>
            <w:shd w:val="clear" w:color="auto" w:fill="D9DEE7"/>
          </w:tcPr>
          <w:p>
            <w:pPr>
              <w:spacing w:after="0" w:line="240" w:lineRule="auto"/>
            </w:pPr>
            <w:r/>
            <w:r>
              <w:rPr>
                <w:b/>
                <w:i w:val="0"/>
                <w:sz w:val="17"/>
              </w:rPr>
              <w:t>Limit (rise)</w:t>
            </w:r>
          </w:p>
        </w:tc>
        <w:tc>
          <w:tcPr>
            <w:tcW w:type="dxa" w:w="2304"/>
            <w:vAlign w:val="center"/>
            <w:shd w:val="clear" w:color="auto" w:fill="D9DEE7"/>
          </w:tcPr>
          <w:p>
            <w:pPr>
              <w:spacing w:after="0" w:line="240" w:lineRule="auto"/>
            </w:pPr>
            <w:r/>
            <w:r>
              <w:rPr>
                <w:b/>
                <w:i w:val="0"/>
                <w:sz w:val="17"/>
              </w:rPr>
              <w:t>Test, RBFMT-25-0918 §5</w:t>
            </w:r>
          </w:p>
        </w:tc>
        <w:tc>
          <w:tcPr>
            <w:tcW w:type="dxa" w:w="1512"/>
            <w:vAlign w:val="center"/>
            <w:shd w:val="clear" w:color="auto" w:fill="D9DEE7"/>
          </w:tcPr>
          <w:p>
            <w:pPr>
              <w:spacing w:after="0" w:line="240" w:lineRule="auto"/>
            </w:pPr>
            <w:r/>
            <w:r>
              <w:rPr>
                <w:b/>
                <w:i w:val="0"/>
                <w:sz w:val="17"/>
              </w:rPr>
              <w:t>Run crossing</w:t>
            </w:r>
          </w:p>
        </w:tc>
        <w:tc>
          <w:tcPr>
            <w:tcW w:type="dxa" w:w="2520"/>
            <w:vAlign w:val="center"/>
            <w:shd w:val="clear" w:color="auto" w:fill="D9DEE7"/>
          </w:tcPr>
          <w:p>
            <w:pPr>
              <w:spacing w:after="0" w:line="240" w:lineRule="auto"/>
            </w:pPr>
            <w:r/>
            <w:r>
              <w:rPr>
                <w:b/>
                <w:i w:val="0"/>
                <w:sz w:val="17"/>
              </w:rPr>
              <w:t>Bracketing run samples</w:t>
            </w:r>
          </w:p>
        </w:tc>
      </w:tr>
      <w:tr>
        <w:trPr>
          <w:cantSplit w:val="true"/>
        </w:trPr>
        <w:tc>
          <w:tcPr>
            <w:tcW w:type="dxa" w:w="2088"/>
            <w:vAlign w:val="center"/>
          </w:tcPr>
          <w:p>
            <w:pPr>
              <w:spacing w:after="0" w:line="240" w:lineRule="auto"/>
            </w:pPr>
            <w:r/>
            <w:r>
              <w:rPr>
                <w:b/>
                <w:i w:val="0"/>
                <w:sz w:val="17"/>
              </w:rPr>
              <w:t>Average (nine-point mean)</w:t>
            </w:r>
          </w:p>
        </w:tc>
        <w:tc>
          <w:tcPr>
            <w:tcW w:type="dxa" w:w="1224"/>
            <w:vAlign w:val="center"/>
          </w:tcPr>
          <w:p>
            <w:pPr>
              <w:spacing w:after="0" w:line="240" w:lineRule="auto"/>
            </w:pPr>
            <w:r/>
            <w:r>
              <w:rPr>
                <w:b w:val="0"/>
                <w:i w:val="0"/>
                <w:sz w:val="17"/>
              </w:rPr>
              <w:t>139 °C</w:t>
            </w:r>
          </w:p>
        </w:tc>
        <w:tc>
          <w:tcPr>
            <w:tcW w:type="dxa" w:w="2304"/>
            <w:vAlign w:val="center"/>
          </w:tcPr>
          <w:p>
            <w:pPr>
              <w:spacing w:after="0" w:line="240" w:lineRule="auto"/>
            </w:pPr>
            <w:r/>
            <w:r>
              <w:rPr>
                <w:b w:val="0"/>
                <w:i w:val="0"/>
                <w:sz w:val="17"/>
              </w:rPr>
              <w:t>163 min</w:t>
            </w:r>
          </w:p>
        </w:tc>
        <w:tc>
          <w:tcPr>
            <w:tcW w:type="dxa" w:w="1512"/>
            <w:vAlign w:val="center"/>
          </w:tcPr>
          <w:p>
            <w:pPr>
              <w:spacing w:after="0" w:line="240" w:lineRule="auto"/>
            </w:pPr>
            <w:r/>
            <w:r>
              <w:rPr>
                <w:b w:val="0"/>
                <w:i w:val="0"/>
                <w:sz w:val="17"/>
              </w:rPr>
              <w:t>176 min</w:t>
            </w:r>
          </w:p>
        </w:tc>
        <w:tc>
          <w:tcPr>
            <w:tcW w:type="dxa" w:w="2520"/>
            <w:vAlign w:val="center"/>
          </w:tcPr>
          <w:p>
            <w:pPr>
              <w:spacing w:after="0" w:line="240" w:lineRule="auto"/>
            </w:pPr>
            <w:r/>
            <w:r>
              <w:rPr>
                <w:b w:val="0"/>
                <w:i w:val="0"/>
                <w:sz w:val="17"/>
              </w:rPr>
              <w:t>159.9 °C at 176 min; 160.9 °C at 177 min</w:t>
            </w:r>
          </w:p>
        </w:tc>
      </w:tr>
      <w:tr>
        <w:trPr>
          <w:cantSplit w:val="true"/>
        </w:trPr>
        <w:tc>
          <w:tcPr>
            <w:tcW w:type="dxa" w:w="2088"/>
            <w:vAlign w:val="center"/>
          </w:tcPr>
          <w:p>
            <w:pPr>
              <w:spacing w:after="0" w:line="240" w:lineRule="auto"/>
            </w:pPr>
            <w:r/>
            <w:r>
              <w:rPr>
                <w:b/>
                <w:i w:val="0"/>
                <w:sz w:val="17"/>
              </w:rPr>
              <w:t>Single-point</w:t>
            </w:r>
          </w:p>
        </w:tc>
        <w:tc>
          <w:tcPr>
            <w:tcW w:type="dxa" w:w="1224"/>
            <w:vAlign w:val="center"/>
          </w:tcPr>
          <w:p>
            <w:pPr>
              <w:spacing w:after="0" w:line="240" w:lineRule="auto"/>
            </w:pPr>
            <w:r/>
            <w:r>
              <w:rPr>
                <w:b w:val="0"/>
                <w:i w:val="0"/>
                <w:sz w:val="17"/>
              </w:rPr>
              <w:t>181 °C</w:t>
            </w:r>
          </w:p>
        </w:tc>
        <w:tc>
          <w:tcPr>
            <w:tcW w:type="dxa" w:w="2304"/>
            <w:vAlign w:val="center"/>
          </w:tcPr>
          <w:p>
            <w:pPr>
              <w:spacing w:after="0" w:line="240" w:lineRule="auto"/>
            </w:pPr>
            <w:r/>
            <w:r>
              <w:rPr>
                <w:b w:val="0"/>
                <w:i w:val="0"/>
                <w:sz w:val="17"/>
              </w:rPr>
              <w:t>118 min (TC-6, over a tie course)</w:t>
            </w:r>
          </w:p>
        </w:tc>
        <w:tc>
          <w:tcPr>
            <w:tcW w:type="dxa" w:w="1512"/>
            <w:vAlign w:val="center"/>
          </w:tcPr>
          <w:p>
            <w:pPr>
              <w:spacing w:after="0" w:line="240" w:lineRule="auto"/>
            </w:pPr>
            <w:r/>
            <w:r>
              <w:rPr>
                <w:b w:val="0"/>
                <w:i w:val="0"/>
                <w:sz w:val="17"/>
              </w:rPr>
              <w:t>131 min</w:t>
            </w:r>
          </w:p>
        </w:tc>
        <w:tc>
          <w:tcPr>
            <w:tcW w:type="dxa" w:w="2520"/>
            <w:vAlign w:val="center"/>
          </w:tcPr>
          <w:p>
            <w:pPr>
              <w:spacing w:after="0" w:line="240" w:lineRule="auto"/>
            </w:pPr>
            <w:r/>
            <w:r>
              <w:rPr>
                <w:b w:val="0"/>
                <w:i w:val="0"/>
                <w:sz w:val="17"/>
              </w:rPr>
              <w:t>200.5 °C at 130 min; 202.1 °C at 131 min</w:t>
            </w:r>
          </w:p>
        </w:tc>
      </w:tr>
      <w:tr>
        <w:trPr>
          <w:cantSplit w:val="true"/>
        </w:trPr>
        <w:tc>
          <w:tcPr>
            <w:tcW w:type="dxa" w:w="2088"/>
            <w:vAlign w:val="center"/>
          </w:tcPr>
          <w:p>
            <w:pPr>
              <w:spacing w:after="0" w:line="240" w:lineRule="auto"/>
            </w:pPr>
            <w:r/>
            <w:r>
              <w:rPr>
                <w:b/>
                <w:i w:val="0"/>
                <w:sz w:val="17"/>
              </w:rPr>
              <w:t>Governs (earlier)</w:t>
            </w:r>
          </w:p>
        </w:tc>
        <w:tc>
          <w:tcPr>
            <w:tcW w:type="dxa" w:w="1224"/>
            <w:vAlign w:val="center"/>
          </w:tcPr>
          <w:p>
            <w:pPr>
              <w:spacing w:after="0" w:line="240" w:lineRule="auto"/>
            </w:pPr>
            <w:r/>
            <w:r>
              <w:rPr>
                <w:b w:val="0"/>
                <w:i w:val="0"/>
                <w:sz w:val="17"/>
              </w:rPr>
              <w:t>—</w:t>
            </w:r>
          </w:p>
        </w:tc>
        <w:tc>
          <w:tcPr>
            <w:tcW w:type="dxa" w:w="2304"/>
            <w:vAlign w:val="center"/>
          </w:tcPr>
          <w:p>
            <w:pPr>
              <w:spacing w:after="0" w:line="240" w:lineRule="auto"/>
            </w:pPr>
            <w:r/>
            <w:r>
              <w:rPr>
                <w:b w:val="0"/>
                <w:i w:val="0"/>
                <w:sz w:val="17"/>
              </w:rPr>
              <w:t>Single-point, 118 min</w:t>
            </w:r>
          </w:p>
        </w:tc>
        <w:tc>
          <w:tcPr>
            <w:tcW w:type="dxa" w:w="1512"/>
            <w:vAlign w:val="center"/>
          </w:tcPr>
          <w:p>
            <w:pPr>
              <w:spacing w:after="0" w:line="240" w:lineRule="auto"/>
            </w:pPr>
            <w:r/>
            <w:r>
              <w:rPr>
                <w:b w:val="0"/>
                <w:i w:val="0"/>
                <w:sz w:val="17"/>
              </w:rPr>
              <w:t>Single-point, 131 min</w:t>
            </w:r>
          </w:p>
        </w:tc>
        <w:tc>
          <w:tcPr>
            <w:tcW w:type="dxa" w:w="2520"/>
            <w:vAlign w:val="center"/>
          </w:tcPr>
          <w:p>
            <w:pPr>
              <w:spacing w:after="0" w:line="240" w:lineRule="auto"/>
            </w:pPr>
            <w:r/>
            <w:r>
              <w:rPr>
                <w:b w:val="0"/>
                <w:i w:val="0"/>
                <w:sz w:val="17"/>
              </w:rPr>
              <w:t>—</w:t>
            </w:r>
          </w:p>
        </w:tc>
      </w:tr>
    </w:tbl>
    <w:p>
      <w:pPr>
        <w:spacing w:after="40"/>
      </w:pPr>
    </w:p>
    <w:p>
      <w:r>
        <w:rPr>
          <w:b w:val="0"/>
          <w:i/>
          <w:sz w:val="17"/>
        </w:rPr>
        <w:t>Interpolation: single-point 130 min + (202.0 °C − 200.5 °C)/(202.1 °C − 200.5 °C) × 1 min = 130.9 min, reported as 131 min; average 176 min + (160.0 °C − 159.9 °C)/(160.9 °C − 159.9 °C) × 1 min = 176.1 min, reported as 176 min. The average crossing is 176 min, not the 177 min sample that trips it.</w:t>
      </w:r>
    </w:p>
    <w:p>
      <w:r>
        <w:rPr>
          <w:b w:val="0"/>
          <w:i w:val="0"/>
        </w:rPr>
        <w:t xml:space="preserve">The single-point criterion governs in both, so S and D are the same quantity: single-point endurance over a tie course. The run's header defines T_unexposed_max_C as that analog. </w:t>
      </w:r>
      <w:r>
        <w:rPr>
          <w:b/>
          <w:i w:val="0"/>
        </w:rPr>
        <w:t>The §7 stub's S = 131 min stands.</w:t>
      </w:r>
    </w:p>
    <w:p>
      <w:r>
        <w:rPr>
          <w:b/>
          <w:i w:val="0"/>
        </w:rPr>
        <w:t>Caution for anyone re-deriving S.</w:t>
      </w:r>
      <w:r>
        <w:rPr>
          <w:b w:val="0"/>
          <w:i w:val="0"/>
        </w:rPr>
        <w:t xml:space="preserve"> If 181 °C is applied to the run's absolute column as a temperature rather than a rise, it crosses at 118 min (the 118 min sample reads 181.6 °C). That manufactures a zero error and is wrong.</w:t>
      </w:r>
    </w:p>
    <w:p>
      <w:pPr>
        <w:keepNext/>
        <w:spacing w:before="200" w:after="60"/>
        <w:pBdr>
          <w:bottom w:val="single" w:sz="4" w:space="1" w:color="1F2A44"/>
        </w:pBdr>
      </w:pPr>
      <w:r>
        <w:rPr>
          <w:b/>
          <w:color w:val="1F2A44"/>
          <w:sz w:val="24"/>
        </w:rPr>
        <w:t>5. Experimental value and the amended figure</w:t>
      </w:r>
    </w:p>
    <w:p>
      <w:r>
        <w:rPr>
          <w:b/>
          <w:i w:val="0"/>
        </w:rPr>
        <w:t>D = 118 min.</w:t>
      </w:r>
      <w:r>
        <w:rPr>
          <w:b w:val="0"/>
          <w:i w:val="0"/>
        </w:rPr>
        <w:t xml:space="preserve"> This is the single-point endurance at TC-6 (RBFMT-25-0918 §5.2–§5.3), which Ironwood adopted in IWFPE-CERT-25-0374 §2.</w:t>
      </w:r>
    </w:p>
    <w:p>
      <w:pPr>
        <w:keepNext/>
        <w:spacing w:after="20"/>
      </w:pPr>
      <w:r>
        <w:rPr>
          <w:b/>
          <w:i w:val="0"/>
        </w:rPr>
        <w:t>Bianca's 129 min is not admissible as D, and 118 min stands (Procedure §6):</w:t>
      </w:r>
    </w:p>
    <w:p>
      <w:pPr>
        <w:pStyle w:val="ListBullet"/>
      </w:pPr>
      <w:r>
        <w:rPr>
          <w:b w:val="0"/>
          <w:i w:val="0"/>
        </w:rPr>
        <w:t>None of the three documents §6 requires exists. There is no reissued RBFMT-25-0918 with an amendment sequence (e.g. "-R1"), signed by Red Butte's authorized signatory and stating the reason. There is no calibration certificate covering the TC-6 correction. There is no statement that a revised value supersedes 118 min.</w:t>
      </w:r>
    </w:p>
    <w:p>
      <w:pPr>
        <w:pStyle w:val="ListBullet"/>
      </w:pPr>
      <w:r>
        <w:rPr>
          <w:b w:val="0"/>
          <w:i w:val="0"/>
        </w:rPr>
        <w:t>The correction is Ocotillo's own: "applied post-test per Ocotillo review", after Ocotillo walked through TC-6's response with its own thermocouple vendor. The instruments were Red Butte's. Red Butte technicians installed them, and certificate RBFMT-CAL-25-0812-TC covers them (calibrated 08/12/2025, NIST-traceable, in force on the test date over the full temperature range observed).</w:t>
      </w:r>
    </w:p>
    <w:p>
      <w:pPr>
        <w:pStyle w:val="ListBullet"/>
      </w:pPr>
      <w:r>
        <w:rPr>
          <w:b w:val="0"/>
          <w:i w:val="0"/>
        </w:rPr>
        <w:t>Nothing on file can check the figure. Red Butte holds the raw thermocouple series, so there is no way to tell from the record whether another of the nine thermocouples would have reached a 181 °C rise before 129 min once TC-6 was corrected.</w:t>
      </w:r>
    </w:p>
    <w:p>
      <w:pPr>
        <w:pStyle w:val="ListBullet"/>
      </w:pPr>
      <w:r>
        <w:rPr>
          <w:b w:val="0"/>
          <w:i w:val="0"/>
        </w:rPr>
        <w:t>The CSV's own "as_tested" column reproduces the certified 118 min and 163 min.</w:t>
      </w:r>
    </w:p>
    <w:p>
      <w:r>
        <w:rPr>
          <w:b w:val="0"/>
          <w:i w:val="0"/>
        </w:rPr>
        <w:t>The transmittal is on record. The email is in Correspondence/; its CSV sits in Validation/ but is a client transmittal, not a source of D. The figure would move both the rating rung (§10) and the outcome of this comparison. That is exactly the situation §6 was written for. The reissued-report requirement settles it, and the Friday deadline does not change that.</w:t>
      </w:r>
    </w:p>
    <w:p>
      <w:pPr>
        <w:keepNext/>
        <w:spacing w:before="200" w:after="60"/>
        <w:pBdr>
          <w:bottom w:val="single" w:sz="4" w:space="1" w:color="1F2A44"/>
        </w:pBdr>
      </w:pPr>
      <w:r>
        <w:rPr>
          <w:b/>
          <w:color w:val="1F2A44"/>
          <w:sz w:val="24"/>
        </w:rPr>
        <w:t>6. Rollup: error, criterion and uncertainty</w:t>
      </w:r>
    </w:p>
    <w:p>
      <w:pPr>
        <w:keepNext/>
        <w:spacing w:after="40"/>
      </w:pPr>
      <w:r>
        <w:rPr>
          <w:b/>
          <w:i w:val="0"/>
          <w:color w:val="1F2A44"/>
          <w:sz w:val="18"/>
        </w:rPr>
        <w:t>Table 3 — Rollup in Procedure §3 order</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4176"/>
        <w:gridCol w:w="2592"/>
        <w:gridCol w:w="1440"/>
        <w:gridCol w:w="1440"/>
      </w:tblGrid>
      <w:tr>
        <w:trPr>
          <w:tblHeader w:val="true"/>
          <w:cantSplit w:val="true"/>
        </w:trPr>
        <w:tc>
          <w:tcPr>
            <w:tcW w:type="dxa" w:w="4176"/>
            <w:vAlign w:val="center"/>
            <w:shd w:val="clear" w:color="auto" w:fill="D9DEE7"/>
          </w:tcPr>
          <w:p>
            <w:pPr>
              <w:spacing w:after="0" w:line="240" w:lineRule="auto"/>
            </w:pPr>
            <w:r/>
            <w:r>
              <w:rPr>
                <w:b/>
                <w:i w:val="0"/>
                <w:sz w:val="18"/>
              </w:rPr>
              <w:t>S</w:t>
            </w:r>
          </w:p>
        </w:tc>
        <w:tc>
          <w:tcPr>
            <w:tcW w:type="dxa" w:w="2592"/>
            <w:vAlign w:val="center"/>
            <w:shd w:val="clear" w:color="auto" w:fill="D9DEE7"/>
          </w:tcPr>
          <w:p>
            <w:pPr>
              <w:spacing w:after="0" w:line="240" w:lineRule="auto"/>
            </w:pPr>
            <w:r/>
            <w:r>
              <w:rPr>
                <w:b/>
                <w:i w:val="0"/>
                <w:sz w:val="18"/>
              </w:rPr>
              <w:t>D</w:t>
            </w:r>
          </w:p>
        </w:tc>
        <w:tc>
          <w:tcPr>
            <w:tcW w:type="dxa" w:w="1440"/>
            <w:vAlign w:val="center"/>
            <w:shd w:val="clear" w:color="auto" w:fill="D9DEE7"/>
          </w:tcPr>
          <w:p>
            <w:pPr>
              <w:spacing w:after="0" w:line="240" w:lineRule="auto"/>
              <w:jc w:val="center"/>
            </w:pPr>
            <w:r/>
            <w:r>
              <w:rPr>
                <w:b/>
                <w:i w:val="0"/>
                <w:sz w:val="18"/>
              </w:rPr>
              <w:t>E = S − D</w:t>
            </w:r>
          </w:p>
        </w:tc>
        <w:tc>
          <w:tcPr>
            <w:tcW w:type="dxa" w:w="1440"/>
            <w:vAlign w:val="center"/>
            <w:shd w:val="clear" w:color="auto" w:fill="D9DEE7"/>
          </w:tcPr>
          <w:p>
            <w:pPr>
              <w:spacing w:after="0" w:line="240" w:lineRule="auto"/>
              <w:jc w:val="center"/>
            </w:pPr>
            <w:r/>
            <w:r>
              <w:rPr>
                <w:b/>
                <w:i w:val="0"/>
                <w:sz w:val="18"/>
              </w:rPr>
              <w:t>u_val</w:t>
            </w:r>
          </w:p>
        </w:tc>
      </w:tr>
      <w:tr>
        <w:trPr>
          <w:cantSplit w:val="true"/>
        </w:trPr>
        <w:tc>
          <w:tcPr>
            <w:tcW w:type="dxa" w:w="4176"/>
            <w:vAlign w:val="center"/>
          </w:tcPr>
          <w:p>
            <w:pPr>
              <w:spacing w:after="0" w:line="240" w:lineRule="auto"/>
            </w:pPr>
            <w:r/>
            <w:r>
              <w:rPr>
                <w:b w:val="0"/>
                <w:i w:val="0"/>
                <w:sz w:val="18"/>
              </w:rPr>
              <w:t>131 min — companion run, OAS-WUI-01_revC (Validation/E119_companion_sim_results.csv)</w:t>
            </w:r>
          </w:p>
        </w:tc>
        <w:tc>
          <w:tcPr>
            <w:tcW w:type="dxa" w:w="2592"/>
            <w:vAlign w:val="center"/>
          </w:tcPr>
          <w:p>
            <w:pPr>
              <w:spacing w:after="0" w:line="240" w:lineRule="auto"/>
            </w:pPr>
            <w:r/>
            <w:r>
              <w:rPr>
                <w:b w:val="0"/>
                <w:i w:val="0"/>
                <w:sz w:val="18"/>
              </w:rPr>
              <w:t>118 min — RBFMT-25-0918 §5.3</w:t>
            </w:r>
          </w:p>
        </w:tc>
        <w:tc>
          <w:tcPr>
            <w:tcW w:type="dxa" w:w="1440"/>
            <w:vAlign w:val="center"/>
          </w:tcPr>
          <w:p>
            <w:pPr>
              <w:spacing w:after="0" w:line="240" w:lineRule="auto"/>
              <w:jc w:val="center"/>
            </w:pPr>
            <w:r/>
            <w:r>
              <w:rPr>
                <w:b w:val="0"/>
                <w:i w:val="0"/>
                <w:sz w:val="18"/>
              </w:rPr>
              <w:t>+13 min</w:t>
            </w:r>
          </w:p>
        </w:tc>
        <w:tc>
          <w:tcPr>
            <w:tcW w:type="dxa" w:w="1440"/>
            <w:vAlign w:val="center"/>
          </w:tcPr>
          <w:p>
            <w:pPr>
              <w:spacing w:after="0" w:line="240" w:lineRule="auto"/>
              <w:jc w:val="center"/>
            </w:pPr>
            <w:r/>
            <w:r>
              <w:rPr>
                <w:b w:val="0"/>
                <w:i w:val="0"/>
                <w:sz w:val="18"/>
              </w:rPr>
              <w:t>±9 min</w:t>
            </w:r>
          </w:p>
        </w:tc>
      </w:tr>
    </w:tbl>
    <w:p>
      <w:pPr>
        <w:spacing w:after="40"/>
      </w:pPr>
    </w:p>
    <w:p>
      <w:pPr>
        <w:keepNext/>
        <w:spacing w:after="40"/>
      </w:pPr>
      <w:r>
        <w:rPr>
          <w:b/>
          <w:i w:val="0"/>
          <w:color w:val="1F2A44"/>
          <w:sz w:val="18"/>
        </w:rPr>
        <w:t>Table 4 — Uncertainty build-up (Procedure §4), proposed as the project-specific tabulation for the QA record</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1368"/>
        <w:gridCol w:w="1080"/>
        <w:gridCol w:w="7200"/>
      </w:tblGrid>
      <w:tr>
        <w:trPr>
          <w:tblHeader w:val="true"/>
          <w:cantSplit w:val="true"/>
        </w:trPr>
        <w:tc>
          <w:tcPr>
            <w:tcW w:type="dxa" w:w="1368"/>
            <w:vAlign w:val="center"/>
            <w:shd w:val="clear" w:color="auto" w:fill="D9DEE7"/>
          </w:tcPr>
          <w:p>
            <w:pPr>
              <w:spacing w:after="0" w:line="240" w:lineRule="auto"/>
            </w:pPr>
            <w:r/>
            <w:r>
              <w:rPr>
                <w:b/>
                <w:i w:val="0"/>
                <w:sz w:val="17"/>
              </w:rPr>
              <w:t>Component</w:t>
            </w:r>
          </w:p>
        </w:tc>
        <w:tc>
          <w:tcPr>
            <w:tcW w:type="dxa" w:w="1080"/>
            <w:vAlign w:val="center"/>
            <w:shd w:val="clear" w:color="auto" w:fill="D9DEE7"/>
          </w:tcPr>
          <w:p>
            <w:pPr>
              <w:spacing w:after="0" w:line="240" w:lineRule="auto"/>
            </w:pPr>
            <w:r/>
            <w:r>
              <w:rPr>
                <w:b/>
                <w:i w:val="0"/>
                <w:sz w:val="17"/>
              </w:rPr>
              <w:t>Value</w:t>
            </w:r>
          </w:p>
        </w:tc>
        <w:tc>
          <w:tcPr>
            <w:tcW w:type="dxa" w:w="7200"/>
            <w:vAlign w:val="center"/>
            <w:shd w:val="clear" w:color="auto" w:fill="D9DEE7"/>
          </w:tcPr>
          <w:p>
            <w:pPr>
              <w:spacing w:after="0" w:line="240" w:lineRule="auto"/>
            </w:pPr>
            <w:r/>
            <w:r>
              <w:rPr>
                <w:b/>
                <w:i w:val="0"/>
                <w:sz w:val="17"/>
              </w:rPr>
              <w:t>Basis on this project</w:t>
            </w:r>
          </w:p>
        </w:tc>
      </w:tr>
      <w:tr>
        <w:trPr>
          <w:cantSplit w:val="true"/>
        </w:trPr>
        <w:tc>
          <w:tcPr>
            <w:tcW w:type="dxa" w:w="1368"/>
            <w:vAlign w:val="center"/>
          </w:tcPr>
          <w:p>
            <w:pPr>
              <w:spacing w:after="0" w:line="240" w:lineRule="auto"/>
            </w:pPr>
            <w:r/>
            <w:r>
              <w:rPr>
                <w:b/>
                <w:i w:val="0"/>
                <w:sz w:val="17"/>
              </w:rPr>
              <w:t>u_num</w:t>
            </w:r>
          </w:p>
        </w:tc>
        <w:tc>
          <w:tcPr>
            <w:tcW w:type="dxa" w:w="1080"/>
            <w:vAlign w:val="center"/>
          </w:tcPr>
          <w:p>
            <w:pPr>
              <w:spacing w:after="0" w:line="240" w:lineRule="auto"/>
            </w:pPr>
            <w:r/>
            <w:r>
              <w:rPr>
                <w:b w:val="0"/>
                <w:i w:val="0"/>
                <w:sz w:val="17"/>
              </w:rPr>
              <w:t>±4 min</w:t>
            </w:r>
          </w:p>
        </w:tc>
        <w:tc>
          <w:tcPr>
            <w:tcW w:type="dxa" w:w="7200"/>
            <w:vAlign w:val="center"/>
          </w:tcPr>
          <w:p>
            <w:pPr>
              <w:spacing w:after="0" w:line="240" w:lineRule="auto"/>
            </w:pPr>
            <w:r/>
            <w:r>
              <w:rPr>
                <w:b w:val="0"/>
                <w:i w:val="0"/>
                <w:sz w:val="17"/>
              </w:rPr>
              <w:t>Firm default. There is no conjugate resolution or convergence study for the companion run. The three-grid study on file is a fluid-only LES of the wildfire sub-domain with no solid regions, so it tells us nothing about S.</w:t>
            </w:r>
          </w:p>
        </w:tc>
      </w:tr>
      <w:tr>
        <w:trPr>
          <w:cantSplit w:val="true"/>
        </w:trPr>
        <w:tc>
          <w:tcPr>
            <w:tcW w:type="dxa" w:w="1368"/>
            <w:vAlign w:val="center"/>
          </w:tcPr>
          <w:p>
            <w:pPr>
              <w:spacing w:after="0" w:line="240" w:lineRule="auto"/>
            </w:pPr>
            <w:r/>
            <w:r>
              <w:rPr>
                <w:b/>
                <w:i w:val="0"/>
                <w:sz w:val="17"/>
              </w:rPr>
              <w:t>u_inp</w:t>
            </w:r>
          </w:p>
        </w:tc>
        <w:tc>
          <w:tcPr>
            <w:tcW w:type="dxa" w:w="1080"/>
            <w:vAlign w:val="center"/>
          </w:tcPr>
          <w:p>
            <w:pPr>
              <w:spacing w:after="0" w:line="240" w:lineRule="auto"/>
            </w:pPr>
            <w:r/>
            <w:r>
              <w:rPr>
                <w:b w:val="0"/>
                <w:i w:val="0"/>
                <w:sz w:val="17"/>
              </w:rPr>
              <w:t>±6 min</w:t>
            </w:r>
          </w:p>
        </w:tc>
        <w:tc>
          <w:tcPr>
            <w:tcW w:type="dxa" w:w="7200"/>
            <w:vAlign w:val="center"/>
          </w:tcPr>
          <w:p>
            <w:pPr>
              <w:spacing w:after="0" w:line="240" w:lineRule="auto"/>
            </w:pPr>
            <w:r/>
            <w:r>
              <w:rPr>
                <w:b w:val="0"/>
                <w:i w:val="0"/>
                <w:sz w:val="17"/>
              </w:rPr>
              <w:t>Firm default. The solid properties are design and firm-table values, not lab measurements already folded into D, so nothing is double-counted (§4, first guardrail).</w:t>
            </w:r>
          </w:p>
        </w:tc>
      </w:tr>
      <w:tr>
        <w:trPr>
          <w:cantSplit w:val="true"/>
        </w:trPr>
        <w:tc>
          <w:tcPr>
            <w:tcW w:type="dxa" w:w="1368"/>
            <w:vAlign w:val="center"/>
          </w:tcPr>
          <w:p>
            <w:pPr>
              <w:spacing w:after="0" w:line="240" w:lineRule="auto"/>
            </w:pPr>
            <w:r/>
            <w:r>
              <w:rPr>
                <w:b/>
                <w:i w:val="0"/>
                <w:sz w:val="17"/>
              </w:rPr>
              <w:t>u_exp</w:t>
            </w:r>
          </w:p>
        </w:tc>
        <w:tc>
          <w:tcPr>
            <w:tcW w:type="dxa" w:w="1080"/>
            <w:vAlign w:val="center"/>
          </w:tcPr>
          <w:p>
            <w:pPr>
              <w:spacing w:after="0" w:line="240" w:lineRule="auto"/>
            </w:pPr>
            <w:r/>
            <w:r>
              <w:rPr>
                <w:b w:val="0"/>
                <w:i w:val="0"/>
                <w:sz w:val="17"/>
              </w:rPr>
              <w:t>±5 min</w:t>
            </w:r>
          </w:p>
        </w:tc>
        <w:tc>
          <w:tcPr>
            <w:tcW w:type="dxa" w:w="7200"/>
            <w:vAlign w:val="center"/>
          </w:tcPr>
          <w:p>
            <w:pPr>
              <w:spacing w:after="0" w:line="240" w:lineRule="auto"/>
            </w:pPr>
            <w:r/>
            <w:r>
              <w:rPr>
                <w:b w:val="0"/>
                <w:i w:val="0"/>
                <w:sz w:val="17"/>
              </w:rPr>
              <w:t>Firm default for calibrated Type K. Red Butte used Type K, 20 AWG thermocouples with NIST-traceable calibration on 08/12/2025, within 90 days of the test.</w:t>
            </w:r>
          </w:p>
        </w:tc>
      </w:tr>
      <w:tr>
        <w:trPr>
          <w:cantSplit w:val="true"/>
        </w:trPr>
        <w:tc>
          <w:tcPr>
            <w:tcW w:type="dxa" w:w="1368"/>
            <w:vAlign w:val="center"/>
          </w:tcPr>
          <w:p>
            <w:pPr>
              <w:spacing w:after="0" w:line="240" w:lineRule="auto"/>
            </w:pPr>
            <w:r/>
            <w:r>
              <w:rPr>
                <w:b/>
                <w:i w:val="0"/>
                <w:sz w:val="17"/>
              </w:rPr>
              <w:t>u_val</w:t>
            </w:r>
          </w:p>
        </w:tc>
        <w:tc>
          <w:tcPr>
            <w:tcW w:type="dxa" w:w="1080"/>
            <w:vAlign w:val="center"/>
          </w:tcPr>
          <w:p>
            <w:pPr>
              <w:spacing w:after="0" w:line="240" w:lineRule="auto"/>
            </w:pPr>
            <w:r/>
            <w:r>
              <w:rPr>
                <w:b w:val="0"/>
                <w:i w:val="0"/>
                <w:sz w:val="17"/>
              </w:rPr>
              <w:t>±9 min</w:t>
            </w:r>
          </w:p>
        </w:tc>
        <w:tc>
          <w:tcPr>
            <w:tcW w:type="dxa" w:w="7200"/>
            <w:vAlign w:val="center"/>
          </w:tcPr>
          <w:p>
            <w:pPr>
              <w:spacing w:after="0" w:line="240" w:lineRule="auto"/>
            </w:pPr>
            <w:r/>
            <w:r>
              <w:rPr>
                <w:b w:val="0"/>
                <w:i w:val="0"/>
                <w:sz w:val="17"/>
              </w:rPr>
              <w:t>√((4 min)² + (6 min)² + (5 min)²) = √(77 min²) = 8.77 min, reported to whole minutes per §4.</w:t>
            </w:r>
          </w:p>
        </w:tc>
      </w:tr>
    </w:tbl>
    <w:p>
      <w:pPr>
        <w:spacing w:after="40"/>
      </w:pPr>
    </w:p>
    <w:p>
      <w:r>
        <w:rPr>
          <w:b w:val="0"/>
          <w:i w:val="0"/>
        </w:rPr>
        <w:t>The problem sits in the class the defaults were set for: a conjugate thermal simulation of a wall assembly under the E119 exposure, with Type K instrumentation. Independence, and whether a printed double-wythe cavity wall is "materially different" from the assemblies behind the defaults, are yours to confirm at peer review. Neither can change the outcome: the primary criterion does not involve u_val, and u_inp would have to reach 11.3 min, nearly double its default, before |E| fell inside u_val.</w:t>
      </w:r>
    </w:p>
    <w:p>
      <w:pPr>
        <w:keepNext/>
        <w:spacing w:after="40"/>
      </w:pPr>
      <w:r>
        <w:rPr>
          <w:b/>
          <w:i w:val="0"/>
          <w:color w:val="1F2A44"/>
          <w:sz w:val="18"/>
        </w:rPr>
        <w:t>Table 5 — Comparisons (Procedure §5)</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2736"/>
        <w:gridCol w:w="1800"/>
        <w:gridCol w:w="1512"/>
        <w:gridCol w:w="3600"/>
      </w:tblGrid>
      <w:tr>
        <w:trPr>
          <w:tblHeader w:val="true"/>
          <w:cantSplit w:val="true"/>
        </w:trPr>
        <w:tc>
          <w:tcPr>
            <w:tcW w:type="dxa" w:w="2736"/>
            <w:vAlign w:val="center"/>
            <w:shd w:val="clear" w:color="auto" w:fill="D9DEE7"/>
          </w:tcPr>
          <w:p>
            <w:pPr>
              <w:spacing w:after="0" w:line="240" w:lineRule="auto"/>
            </w:pPr>
            <w:r/>
            <w:r>
              <w:rPr>
                <w:b/>
                <w:i w:val="0"/>
                <w:sz w:val="17"/>
              </w:rPr>
              <w:t>Test</w:t>
            </w:r>
          </w:p>
        </w:tc>
        <w:tc>
          <w:tcPr>
            <w:tcW w:type="dxa" w:w="1800"/>
            <w:vAlign w:val="center"/>
            <w:shd w:val="clear" w:color="auto" w:fill="D9DEE7"/>
          </w:tcPr>
          <w:p>
            <w:pPr>
              <w:spacing w:after="0" w:line="240" w:lineRule="auto"/>
            </w:pPr>
            <w:r/>
            <w:r>
              <w:rPr>
                <w:b/>
                <w:i w:val="0"/>
                <w:sz w:val="17"/>
              </w:rPr>
              <w:t>Limit</w:t>
            </w:r>
          </w:p>
        </w:tc>
        <w:tc>
          <w:tcPr>
            <w:tcW w:type="dxa" w:w="1512"/>
            <w:vAlign w:val="center"/>
            <w:shd w:val="clear" w:color="auto" w:fill="D9DEE7"/>
          </w:tcPr>
          <w:p>
            <w:pPr>
              <w:spacing w:after="0" w:line="240" w:lineRule="auto"/>
            </w:pPr>
            <w:r/>
            <w:r>
              <w:rPr>
                <w:b/>
                <w:i w:val="0"/>
                <w:sz w:val="17"/>
              </w:rPr>
              <w:t>Result</w:t>
            </w:r>
          </w:p>
        </w:tc>
        <w:tc>
          <w:tcPr>
            <w:tcW w:type="dxa" w:w="3600"/>
            <w:vAlign w:val="center"/>
            <w:shd w:val="clear" w:color="auto" w:fill="D9DEE7"/>
          </w:tcPr>
          <w:p>
            <w:pPr>
              <w:spacing w:after="0" w:line="240" w:lineRule="auto"/>
            </w:pPr>
            <w:r/>
            <w:r>
              <w:rPr>
                <w:b/>
                <w:i w:val="0"/>
                <w:sz w:val="17"/>
              </w:rPr>
              <w:t>Outcome</w:t>
            </w:r>
          </w:p>
        </w:tc>
      </w:tr>
      <w:tr>
        <w:trPr>
          <w:cantSplit w:val="true"/>
        </w:trPr>
        <w:tc>
          <w:tcPr>
            <w:tcW w:type="dxa" w:w="2736"/>
            <w:vAlign w:val="center"/>
          </w:tcPr>
          <w:p>
            <w:pPr>
              <w:spacing w:after="0" w:line="240" w:lineRule="auto"/>
            </w:pPr>
            <w:r/>
            <w:r>
              <w:rPr>
                <w:b/>
                <w:i w:val="0"/>
                <w:sz w:val="17"/>
              </w:rPr>
              <w:t>Primary: |E| ≤ 10 % of D</w:t>
            </w:r>
          </w:p>
        </w:tc>
        <w:tc>
          <w:tcPr>
            <w:tcW w:type="dxa" w:w="1800"/>
            <w:vAlign w:val="center"/>
          </w:tcPr>
          <w:p>
            <w:pPr>
              <w:spacing w:after="0" w:line="240" w:lineRule="auto"/>
            </w:pPr>
            <w:r/>
            <w:r>
              <w:rPr>
                <w:b w:val="0"/>
                <w:i w:val="0"/>
                <w:sz w:val="17"/>
              </w:rPr>
              <w:t>11.8 min</w:t>
            </w:r>
          </w:p>
        </w:tc>
        <w:tc>
          <w:tcPr>
            <w:tcW w:type="dxa" w:w="1512"/>
            <w:vAlign w:val="center"/>
          </w:tcPr>
          <w:p>
            <w:pPr>
              <w:spacing w:after="0" w:line="240" w:lineRule="auto"/>
            </w:pPr>
            <w:r/>
            <w:r>
              <w:rPr>
                <w:b w:val="0"/>
                <w:i w:val="0"/>
                <w:sz w:val="17"/>
              </w:rPr>
              <w:t>|E| = 13 min</w:t>
            </w:r>
          </w:p>
        </w:tc>
        <w:tc>
          <w:tcPr>
            <w:tcW w:type="dxa" w:w="3600"/>
            <w:vAlign w:val="center"/>
          </w:tcPr>
          <w:p>
            <w:pPr>
              <w:spacing w:after="0" w:line="240" w:lineRule="auto"/>
            </w:pPr>
            <w:r/>
            <w:r>
              <w:rPr>
                <w:b w:val="0"/>
                <w:i w:val="0"/>
                <w:sz w:val="17"/>
              </w:rPr>
              <w:t>Exceeded by 1.2 min</w:t>
            </w:r>
          </w:p>
        </w:tc>
      </w:tr>
      <w:tr>
        <w:trPr>
          <w:cantSplit w:val="true"/>
        </w:trPr>
        <w:tc>
          <w:tcPr>
            <w:tcW w:type="dxa" w:w="2736"/>
            <w:vAlign w:val="center"/>
          </w:tcPr>
          <w:p>
            <w:pPr>
              <w:spacing w:after="0" w:line="240" w:lineRule="auto"/>
            </w:pPr>
            <w:r/>
            <w:r>
              <w:rPr>
                <w:b/>
                <w:i w:val="0"/>
                <w:sz w:val="17"/>
              </w:rPr>
              <w:t>Secondary: |E| against u_val</w:t>
            </w:r>
          </w:p>
        </w:tc>
        <w:tc>
          <w:tcPr>
            <w:tcW w:type="dxa" w:w="1800"/>
            <w:vAlign w:val="center"/>
          </w:tcPr>
          <w:p>
            <w:pPr>
              <w:spacing w:after="0" w:line="240" w:lineRule="auto"/>
            </w:pPr>
            <w:r/>
            <w:r>
              <w:rPr>
                <w:b w:val="0"/>
                <w:i w:val="0"/>
                <w:sz w:val="17"/>
              </w:rPr>
              <w:t>±9 min (8.77 min)</w:t>
            </w:r>
          </w:p>
        </w:tc>
        <w:tc>
          <w:tcPr>
            <w:tcW w:type="dxa" w:w="1512"/>
            <w:vAlign w:val="center"/>
          </w:tcPr>
          <w:p>
            <w:pPr>
              <w:spacing w:after="0" w:line="240" w:lineRule="auto"/>
            </w:pPr>
            <w:r/>
            <w:r>
              <w:rPr>
                <w:b w:val="0"/>
                <w:i w:val="0"/>
                <w:sz w:val="17"/>
              </w:rPr>
              <w:t>|E| = 13 min</w:t>
            </w:r>
          </w:p>
        </w:tc>
        <w:tc>
          <w:tcPr>
            <w:tcW w:type="dxa" w:w="3600"/>
            <w:vAlign w:val="center"/>
          </w:tcPr>
          <w:p>
            <w:pPr>
              <w:spacing w:after="0" w:line="240" w:lineRule="auto"/>
            </w:pPr>
            <w:r/>
            <w:r>
              <w:rPr>
                <w:b w:val="0"/>
                <w:i w:val="0"/>
                <w:sz w:val="17"/>
              </w:rPr>
              <w:t>Exceeded by 4 min (4.2 min): resolved model error, actionable</w:t>
            </w:r>
          </w:p>
        </w:tc>
      </w:tr>
      <w:tr>
        <w:trPr>
          <w:cantSplit w:val="true"/>
        </w:trPr>
        <w:tc>
          <w:tcPr>
            <w:tcW w:type="dxa" w:w="2736"/>
            <w:vAlign w:val="center"/>
          </w:tcPr>
          <w:p>
            <w:pPr>
              <w:spacing w:after="0" w:line="240" w:lineRule="auto"/>
            </w:pPr>
            <w:r/>
            <w:r>
              <w:rPr>
                <w:b/>
                <w:i w:val="0"/>
                <w:sz w:val="17"/>
              </w:rPr>
              <w:t>Secondary: sign</w:t>
            </w:r>
          </w:p>
        </w:tc>
        <w:tc>
          <w:tcPr>
            <w:tcW w:type="dxa" w:w="1800"/>
            <w:vAlign w:val="center"/>
          </w:tcPr>
          <w:p>
            <w:pPr>
              <w:spacing w:after="0" w:line="240" w:lineRule="auto"/>
            </w:pPr>
            <w:r/>
            <w:r>
              <w:rPr>
                <w:b w:val="0"/>
                <w:i w:val="0"/>
                <w:sz w:val="17"/>
              </w:rPr>
              <w:t>—</w:t>
            </w:r>
          </w:p>
        </w:tc>
        <w:tc>
          <w:tcPr>
            <w:tcW w:type="dxa" w:w="1512"/>
            <w:vAlign w:val="center"/>
          </w:tcPr>
          <w:p>
            <w:pPr>
              <w:spacing w:after="0" w:line="240" w:lineRule="auto"/>
            </w:pPr>
            <w:r/>
            <w:r>
              <w:rPr>
                <w:b w:val="0"/>
                <w:i w:val="0"/>
                <w:sz w:val="17"/>
              </w:rPr>
              <w:t>E = +13 min</w:t>
            </w:r>
          </w:p>
        </w:tc>
        <w:tc>
          <w:tcPr>
            <w:tcW w:type="dxa" w:w="3600"/>
            <w:vAlign w:val="center"/>
          </w:tcPr>
          <w:p>
            <w:pPr>
              <w:spacing w:after="0" w:line="240" w:lineRule="auto"/>
            </w:pPr>
            <w:r/>
            <w:r>
              <w:rPr>
                <w:b w:val="0"/>
                <w:i w:val="0"/>
                <w:sz w:val="17"/>
              </w:rPr>
              <w:t>Over-predicts endurance: non-conservative</w:t>
            </w:r>
          </w:p>
        </w:tc>
      </w:tr>
    </w:tbl>
    <w:p>
      <w:pPr>
        <w:spacing w:after="40"/>
      </w:pPr>
    </w:p>
    <w:p>
      <w:r>
        <w:rPr>
          <w:b/>
          <w:i w:val="0"/>
        </w:rPr>
        <w:t>Passing band for S:</w:t>
      </w:r>
      <w:r>
        <w:rPr>
          <w:b w:val="0"/>
          <w:i w:val="0"/>
        </w:rPr>
        <w:t xml:space="preserve"> 106.2 min to 129.8 min. </w:t>
      </w:r>
      <w:r>
        <w:rPr>
          <w:b/>
          <w:i w:val="0"/>
        </w:rPr>
        <w:t>The largest prediction that would have cleared is 129.8 min</w:t>
      </w:r>
      <w:r>
        <w:rPr>
          <w:b w:val="0"/>
          <w:i w:val="0"/>
        </w:rPr>
        <w:t>, or 129 min in whole minutes. The run's 131 min misses by 1.2 min. Falling inside u_val would have needed S ≤ 126.8 min. Rounding changes no outcome: the unrounded crossing gives E = +12.9 min.</w:t>
      </w:r>
    </w:p>
    <w:p>
      <w:r>
        <w:rPr>
          <w:b/>
          <w:i w:val="0"/>
        </w:rPr>
        <w:t>Sign against physical expectation.</w:t>
      </w:r>
      <w:r>
        <w:rPr>
          <w:b w:val="0"/>
          <w:i w:val="0"/>
        </w:rPr>
        <w:t xml:space="preserve"> Two expectations bear on the sign. First, the firm's known failure mode, under-resolved tie–concrete interfaces (Modeling Standard §6), produces exactly this sign, but §7 shows it is not the cause here. Second, the way the run imposed the exposure (§7, item a) should bias it early, yet the run is late anyway.</w:t>
      </w:r>
    </w:p>
    <w:p>
      <w:pPr>
        <w:keepNext/>
        <w:spacing w:before="200" w:after="60"/>
        <w:pBdr>
          <w:bottom w:val="single" w:sz="4" w:space="1" w:color="1F2A44"/>
        </w:pBdr>
      </w:pPr>
      <w:r>
        <w:rPr>
          <w:b/>
          <w:color w:val="1F2A44"/>
          <w:sz w:val="24"/>
        </w:rPr>
        <w:t>7. What the separation and hot-spot comparisons say</w:t>
      </w:r>
    </w:p>
    <w:p>
      <w:pPr>
        <w:keepNext/>
        <w:spacing w:after="40"/>
      </w:pPr>
      <w:r>
        <w:rPr>
          <w:b/>
          <w:i w:val="0"/>
          <w:color w:val="1F2A44"/>
          <w:sz w:val="18"/>
        </w:rPr>
        <w:t>Table 6 — Test against run (temperatures are rises above 21.0 °C)</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3528"/>
        <w:gridCol w:w="2232"/>
        <w:gridCol w:w="2520"/>
        <w:gridCol w:w="1368"/>
      </w:tblGrid>
      <w:tr>
        <w:trPr>
          <w:tblHeader w:val="true"/>
          <w:cantSplit w:val="true"/>
        </w:trPr>
        <w:tc>
          <w:tcPr>
            <w:tcW w:type="dxa" w:w="3528"/>
            <w:vAlign w:val="center"/>
            <w:shd w:val="clear" w:color="auto" w:fill="D9DEE7"/>
          </w:tcPr>
          <w:p>
            <w:pPr>
              <w:spacing w:after="0" w:line="240" w:lineRule="auto"/>
            </w:pPr>
            <w:r/>
            <w:r>
              <w:rPr>
                <w:b/>
                <w:i w:val="0"/>
                <w:sz w:val="17"/>
              </w:rPr>
              <w:t>Quantity</w:t>
            </w:r>
          </w:p>
        </w:tc>
        <w:tc>
          <w:tcPr>
            <w:tcW w:type="dxa" w:w="2232"/>
            <w:vAlign w:val="center"/>
            <w:shd w:val="clear" w:color="auto" w:fill="D9DEE7"/>
          </w:tcPr>
          <w:p>
            <w:pPr>
              <w:spacing w:after="0" w:line="240" w:lineRule="auto"/>
            </w:pPr>
            <w:r/>
            <w:r>
              <w:rPr>
                <w:b/>
                <w:i w:val="0"/>
                <w:sz w:val="17"/>
              </w:rPr>
              <w:t>Test</w:t>
            </w:r>
          </w:p>
        </w:tc>
        <w:tc>
          <w:tcPr>
            <w:tcW w:type="dxa" w:w="2520"/>
            <w:vAlign w:val="center"/>
            <w:shd w:val="clear" w:color="auto" w:fill="D9DEE7"/>
          </w:tcPr>
          <w:p>
            <w:pPr>
              <w:spacing w:after="0" w:line="240" w:lineRule="auto"/>
            </w:pPr>
            <w:r/>
            <w:r>
              <w:rPr>
                <w:b/>
                <w:i w:val="0"/>
                <w:sz w:val="17"/>
              </w:rPr>
              <w:t>Run</w:t>
            </w:r>
          </w:p>
        </w:tc>
        <w:tc>
          <w:tcPr>
            <w:tcW w:type="dxa" w:w="1368"/>
            <w:vAlign w:val="center"/>
            <w:shd w:val="clear" w:color="auto" w:fill="D9DEE7"/>
          </w:tcPr>
          <w:p>
            <w:pPr>
              <w:spacing w:after="0" w:line="240" w:lineRule="auto"/>
            </w:pPr>
            <w:r/>
            <w:r>
              <w:rPr>
                <w:b/>
                <w:i w:val="0"/>
                <w:sz w:val="17"/>
              </w:rPr>
              <w:t>Run − test</w:t>
            </w:r>
          </w:p>
        </w:tc>
      </w:tr>
      <w:tr>
        <w:trPr>
          <w:cantSplit w:val="true"/>
        </w:trPr>
        <w:tc>
          <w:tcPr>
            <w:tcW w:type="dxa" w:w="3528"/>
            <w:vAlign w:val="center"/>
          </w:tcPr>
          <w:p>
            <w:pPr>
              <w:spacing w:after="0" w:line="240" w:lineRule="auto"/>
            </w:pPr>
            <w:r/>
            <w:r>
              <w:rPr>
                <w:b/>
                <w:i w:val="0"/>
                <w:sz w:val="17"/>
              </w:rPr>
              <w:t>Single-point crossing</w:t>
            </w:r>
          </w:p>
        </w:tc>
        <w:tc>
          <w:tcPr>
            <w:tcW w:type="dxa" w:w="2232"/>
            <w:vAlign w:val="center"/>
          </w:tcPr>
          <w:p>
            <w:pPr>
              <w:spacing w:after="0" w:line="240" w:lineRule="auto"/>
            </w:pPr>
            <w:r/>
            <w:r>
              <w:rPr>
                <w:b w:val="0"/>
                <w:i w:val="0"/>
                <w:sz w:val="17"/>
              </w:rPr>
              <w:t>118 min</w:t>
            </w:r>
          </w:p>
        </w:tc>
        <w:tc>
          <w:tcPr>
            <w:tcW w:type="dxa" w:w="2520"/>
            <w:vAlign w:val="center"/>
          </w:tcPr>
          <w:p>
            <w:pPr>
              <w:spacing w:after="0" w:line="240" w:lineRule="auto"/>
            </w:pPr>
            <w:r/>
            <w:r>
              <w:rPr>
                <w:b w:val="0"/>
                <w:i w:val="0"/>
                <w:sz w:val="17"/>
              </w:rPr>
              <w:t>131 min</w:t>
            </w:r>
          </w:p>
        </w:tc>
        <w:tc>
          <w:tcPr>
            <w:tcW w:type="dxa" w:w="1368"/>
            <w:vAlign w:val="center"/>
          </w:tcPr>
          <w:p>
            <w:pPr>
              <w:spacing w:after="0" w:line="240" w:lineRule="auto"/>
            </w:pPr>
            <w:r/>
            <w:r>
              <w:rPr>
                <w:b w:val="0"/>
                <w:i w:val="0"/>
                <w:sz w:val="17"/>
              </w:rPr>
              <w:t>+13 min</w:t>
            </w:r>
          </w:p>
        </w:tc>
      </w:tr>
      <w:tr>
        <w:trPr>
          <w:cantSplit w:val="true"/>
        </w:trPr>
        <w:tc>
          <w:tcPr>
            <w:tcW w:type="dxa" w:w="3528"/>
            <w:vAlign w:val="center"/>
          </w:tcPr>
          <w:p>
            <w:pPr>
              <w:spacing w:after="0" w:line="240" w:lineRule="auto"/>
            </w:pPr>
            <w:r/>
            <w:r>
              <w:rPr>
                <w:b/>
                <w:i w:val="0"/>
                <w:sz w:val="17"/>
              </w:rPr>
              <w:t>Average crossing</w:t>
            </w:r>
          </w:p>
        </w:tc>
        <w:tc>
          <w:tcPr>
            <w:tcW w:type="dxa" w:w="2232"/>
            <w:vAlign w:val="center"/>
          </w:tcPr>
          <w:p>
            <w:pPr>
              <w:spacing w:after="0" w:line="240" w:lineRule="auto"/>
            </w:pPr>
            <w:r/>
            <w:r>
              <w:rPr>
                <w:b w:val="0"/>
                <w:i w:val="0"/>
                <w:sz w:val="17"/>
              </w:rPr>
              <w:t>163 min</w:t>
            </w:r>
          </w:p>
        </w:tc>
        <w:tc>
          <w:tcPr>
            <w:tcW w:type="dxa" w:w="2520"/>
            <w:vAlign w:val="center"/>
          </w:tcPr>
          <w:p>
            <w:pPr>
              <w:spacing w:after="0" w:line="240" w:lineRule="auto"/>
            </w:pPr>
            <w:r/>
            <w:r>
              <w:rPr>
                <w:b w:val="0"/>
                <w:i w:val="0"/>
                <w:sz w:val="17"/>
              </w:rPr>
              <w:t>176 min</w:t>
            </w:r>
          </w:p>
        </w:tc>
        <w:tc>
          <w:tcPr>
            <w:tcW w:type="dxa" w:w="1368"/>
            <w:vAlign w:val="center"/>
          </w:tcPr>
          <w:p>
            <w:pPr>
              <w:spacing w:after="0" w:line="240" w:lineRule="auto"/>
            </w:pPr>
            <w:r/>
            <w:r>
              <w:rPr>
                <w:b w:val="0"/>
                <w:i w:val="0"/>
                <w:sz w:val="17"/>
              </w:rPr>
              <w:t>+13 min</w:t>
            </w:r>
          </w:p>
        </w:tc>
      </w:tr>
      <w:tr>
        <w:trPr>
          <w:cantSplit w:val="true"/>
        </w:trPr>
        <w:tc>
          <w:tcPr>
            <w:tcW w:type="dxa" w:w="3528"/>
            <w:vAlign w:val="center"/>
          </w:tcPr>
          <w:p>
            <w:pPr>
              <w:spacing w:after="0" w:line="240" w:lineRule="auto"/>
            </w:pPr>
            <w:r/>
            <w:r>
              <w:rPr>
                <w:b/>
                <w:i w:val="0"/>
                <w:sz w:val="17"/>
              </w:rPr>
              <w:t>Separation between the two criteria</w:t>
            </w:r>
          </w:p>
        </w:tc>
        <w:tc>
          <w:tcPr>
            <w:tcW w:type="dxa" w:w="2232"/>
            <w:vAlign w:val="center"/>
          </w:tcPr>
          <w:p>
            <w:pPr>
              <w:spacing w:after="0" w:line="240" w:lineRule="auto"/>
            </w:pPr>
            <w:r/>
            <w:r>
              <w:rPr>
                <w:b w:val="0"/>
                <w:i w:val="0"/>
                <w:sz w:val="17"/>
              </w:rPr>
              <w:t>45 min</w:t>
            </w:r>
          </w:p>
        </w:tc>
        <w:tc>
          <w:tcPr>
            <w:tcW w:type="dxa" w:w="2520"/>
            <w:vAlign w:val="center"/>
          </w:tcPr>
          <w:p>
            <w:pPr>
              <w:spacing w:after="0" w:line="240" w:lineRule="auto"/>
            </w:pPr>
            <w:r/>
            <w:r>
              <w:rPr>
                <w:b w:val="0"/>
                <w:i w:val="0"/>
                <w:sz w:val="17"/>
              </w:rPr>
              <w:t>45 min</w:t>
            </w:r>
          </w:p>
        </w:tc>
        <w:tc>
          <w:tcPr>
            <w:tcW w:type="dxa" w:w="1368"/>
            <w:vAlign w:val="center"/>
          </w:tcPr>
          <w:p>
            <w:pPr>
              <w:spacing w:after="0" w:line="240" w:lineRule="auto"/>
            </w:pPr>
            <w:r/>
            <w:r>
              <w:rPr>
                <w:b w:val="0"/>
                <w:i w:val="0"/>
                <w:sz w:val="17"/>
              </w:rPr>
              <w:t>0 min</w:t>
            </w:r>
          </w:p>
        </w:tc>
      </w:tr>
      <w:tr>
        <w:trPr>
          <w:cantSplit w:val="true"/>
        </w:trPr>
        <w:tc>
          <w:tcPr>
            <w:tcW w:type="dxa" w:w="3528"/>
            <w:vAlign w:val="center"/>
          </w:tcPr>
          <w:p>
            <w:pPr>
              <w:spacing w:after="0" w:line="240" w:lineRule="auto"/>
            </w:pPr>
            <w:r/>
            <w:r>
              <w:rPr>
                <w:b/>
                <w:i w:val="0"/>
                <w:sz w:val="17"/>
              </w:rPr>
              <w:t>Governing point above the nine-point mean, at governance</w:t>
            </w:r>
          </w:p>
        </w:tc>
        <w:tc>
          <w:tcPr>
            <w:tcW w:type="dxa" w:w="2232"/>
            <w:vAlign w:val="center"/>
          </w:tcPr>
          <w:p>
            <w:pPr>
              <w:spacing w:after="0" w:line="240" w:lineRule="auto"/>
            </w:pPr>
            <w:r/>
            <w:r>
              <w:rPr>
                <w:b w:val="0"/>
                <w:i w:val="0"/>
                <w:sz w:val="17"/>
              </w:rPr>
              <w:t>≈85 °C (181 °C − ≈96 °C)</w:t>
            </w:r>
          </w:p>
        </w:tc>
        <w:tc>
          <w:tcPr>
            <w:tcW w:type="dxa" w:w="2520"/>
            <w:vAlign w:val="center"/>
          </w:tcPr>
          <w:p>
            <w:pPr>
              <w:spacing w:after="0" w:line="240" w:lineRule="auto"/>
            </w:pPr>
            <w:r/>
            <w:r>
              <w:rPr>
                <w:b w:val="0"/>
                <w:i w:val="0"/>
                <w:sz w:val="17"/>
              </w:rPr>
              <w:t>91 °C (181.0 °C − 89.8 °C)</w:t>
            </w:r>
          </w:p>
        </w:tc>
        <w:tc>
          <w:tcPr>
            <w:tcW w:type="dxa" w:w="1368"/>
            <w:vAlign w:val="center"/>
          </w:tcPr>
          <w:p>
            <w:pPr>
              <w:spacing w:after="0" w:line="240" w:lineRule="auto"/>
            </w:pPr>
            <w:r/>
            <w:r>
              <w:rPr>
                <w:b w:val="0"/>
                <w:i w:val="0"/>
                <w:sz w:val="17"/>
              </w:rPr>
              <w:t>≈+6 °C</w:t>
            </w:r>
          </w:p>
        </w:tc>
      </w:tr>
      <w:tr>
        <w:trPr>
          <w:cantSplit w:val="true"/>
        </w:trPr>
        <w:tc>
          <w:tcPr>
            <w:tcW w:type="dxa" w:w="3528"/>
            <w:vAlign w:val="center"/>
          </w:tcPr>
          <w:p>
            <w:pPr>
              <w:spacing w:after="0" w:line="240" w:lineRule="auto"/>
            </w:pPr>
            <w:r/>
            <w:r>
              <w:rPr>
                <w:b/>
                <w:i w:val="0"/>
                <w:sz w:val="17"/>
              </w:rPr>
              <w:t>The same spread at 118 min</w:t>
            </w:r>
          </w:p>
        </w:tc>
        <w:tc>
          <w:tcPr>
            <w:tcW w:type="dxa" w:w="2232"/>
            <w:vAlign w:val="center"/>
          </w:tcPr>
          <w:p>
            <w:pPr>
              <w:spacing w:after="0" w:line="240" w:lineRule="auto"/>
            </w:pPr>
            <w:r/>
            <w:r>
              <w:rPr>
                <w:b w:val="0"/>
                <w:i w:val="0"/>
                <w:sz w:val="17"/>
              </w:rPr>
              <w:t>≈85 °C</w:t>
            </w:r>
          </w:p>
        </w:tc>
        <w:tc>
          <w:tcPr>
            <w:tcW w:type="dxa" w:w="2520"/>
            <w:vAlign w:val="center"/>
          </w:tcPr>
          <w:p>
            <w:pPr>
              <w:spacing w:after="0" w:line="240" w:lineRule="auto"/>
            </w:pPr>
            <w:r/>
            <w:r>
              <w:rPr>
                <w:b w:val="0"/>
                <w:i w:val="0"/>
                <w:sz w:val="17"/>
              </w:rPr>
              <w:t>86.0 °C (160.6 °C − 74.6 °C)</w:t>
            </w:r>
          </w:p>
        </w:tc>
        <w:tc>
          <w:tcPr>
            <w:tcW w:type="dxa" w:w="1368"/>
            <w:vAlign w:val="center"/>
          </w:tcPr>
          <w:p>
            <w:pPr>
              <w:spacing w:after="0" w:line="240" w:lineRule="auto"/>
            </w:pPr>
            <w:r/>
            <w:r>
              <w:rPr>
                <w:b w:val="0"/>
                <w:i w:val="0"/>
                <w:sz w:val="17"/>
              </w:rPr>
              <w:t>≈+1 °C</w:t>
            </w:r>
          </w:p>
        </w:tc>
      </w:tr>
    </w:tbl>
    <w:p>
      <w:pPr>
        <w:spacing w:after="40"/>
      </w:pPr>
    </w:p>
    <w:p>
      <w:r>
        <w:rPr>
          <w:b/>
          <w:i w:val="0"/>
        </w:rPr>
        <w:t>What they say.</w:t>
      </w:r>
      <w:r>
        <w:rPr>
          <w:b w:val="0"/>
          <w:i w:val="0"/>
        </w:rPr>
        <w:t xml:space="preserve"> The model gets the tie thermal bridge right: the hot spot over the tie course stands as far above the field as it did in the test, and it leads the average criterion by the same 45 min. What it gets wrong is common-mode. The whole unexposed-face response, tie-course point and field alike, arrives 13 min late. At the test's governance time (118 min) both run temperatures sit 20 °C to 21 °C below the test's (160.6 °C against 181 °C; 74.6 °C against ≈96 °C), yet the spread between them agrees to about 1 °C. The run's wider spread at its own governance is a timing effect, because its spread grows steadily with time (76.2 °C at 100 min, 86.0 °C at 118 min, 91.2 °C at 131 min). Part of the 6 °C is also definitional. TC-6 is one of the nine thermocouples in the test mean; the other eight average ≈85 °C, which puts TC-6 ≈96 °C above them, so the two test definitions bracket the run's 91 °C. This rules out the under-resolved-tie failure mode, which would delay the single-point crossing relative to the average and shrink both the separation and the spread.</w:t>
      </w:r>
    </w:p>
    <w:p>
      <w:pPr>
        <w:keepNext/>
        <w:spacing w:after="20"/>
      </w:pPr>
      <w:r>
        <w:rPr>
          <w:b/>
          <w:i w:val="0"/>
        </w:rPr>
        <w:t>Where the rework belongs.</w:t>
      </w:r>
      <w:r>
        <w:rPr>
          <w:b w:val="0"/>
          <w:i w:val="0"/>
        </w:rPr>
        <w:t xml:space="preserve"> It belongs in the bulk through-wall heat path that feeds both criteria: heat input at the exposed face, conduction through the exposed leaf, radiative and convective exchange across the 205 mm cavity, conduction through the unexposed leaf, and loss from the unexposed face. It does not belong in tie geometry, tie–concrete refinement or a mesh-refinement pass. These are input-physics items. Each fix is judged by re-running against the same D = 118 min, never by moving D. Audit leads, in order:</w:t>
      </w:r>
    </w:p>
    <w:p>
      <w:pPr>
        <w:pStyle w:val="ListBullet"/>
      </w:pPr>
      <w:r>
        <w:rPr>
          <w:b/>
          <w:i w:val="0"/>
        </w:rPr>
        <w:t>(a) Exposure.</w:t>
      </w:r>
      <w:r>
        <w:rPr>
          <w:b w:val="0"/>
          <w:i w:val="0"/>
        </w:rPr>
        <w:t xml:space="preserve"> The run's T_exposed_C equals the closed-form (Lie) approximation of the E119 standard curve, starting from 21.0 °C, to within 0.05 °C at every minute (569.5 °C at 5 min, 924.6 °C at 60 min, 1008.5 °C at 120 min). Either the furnace curve was imposed as the exposed-surface temperature, or the column records the input rather than a computed surface temperature. If it was imposed, the exposed face is over-driven and the prediction is pushed early. In that case the lag sits downstream and will look larger than 13 min once the exposure is modelled as exchange with the furnace gas. If the column is only the input, the exposure boundary condition itself becomes the first suspect. Either way, the audit starts here.</w:t>
      </w:r>
    </w:p>
    <w:p>
      <w:pPr>
        <w:pStyle w:val="ListBullet"/>
      </w:pPr>
      <w:r>
        <w:rPr>
          <w:b/>
          <w:i w:val="0"/>
        </w:rPr>
        <w:t>(b) Cavity exchange.</w:t>
      </w:r>
      <w:r>
        <w:rPr>
          <w:b w:val="0"/>
          <w:i w:val="0"/>
        </w:rPr>
        <w:t xml:space="preserve"> Confirm that participating radiation (fvDOM) is active in the cavity with the assembly-library emissivities (Modeling Standard §6 and Appendix A), and check how cavity convection is treated.</w:t>
      </w:r>
    </w:p>
    <w:p>
      <w:pPr>
        <w:pStyle w:val="ListBullet"/>
      </w:pPr>
      <w:r>
        <w:rPr>
          <w:b/>
          <w:i w:val="0"/>
        </w:rPr>
        <w:t>(c) Solid properties.</w:t>
      </w:r>
      <w:r>
        <w:rPr>
          <w:b w:val="0"/>
          <w:i w:val="0"/>
        </w:rPr>
        <w:t xml:space="preserve"> Modeling Standard §3.5 and §6 require temperature-dependent k, ρ and c_p. Appendix A and the drawing give constants, and report §4.1 says "temperature dependence enabled". Establish what the run actually used, including how moisture was handled.</w:t>
      </w:r>
    </w:p>
    <w:p>
      <w:pPr>
        <w:pStyle w:val="ListBullet"/>
      </w:pPr>
      <w:r>
        <w:rPr>
          <w:b/>
          <w:i w:val="0"/>
        </w:rPr>
        <w:t>(d) Unexposed-face loss.</w:t>
      </w:r>
      <w:r>
        <w:rPr>
          <w:b w:val="0"/>
          <w:i w:val="0"/>
        </w:rPr>
        <w:t xml:space="preserve"> Check the convective and radiative coefficients to the 21.0 °C ambient.</w:t>
      </w:r>
    </w:p>
    <w:p>
      <w:pPr>
        <w:pStyle w:val="ListBullet"/>
      </w:pPr>
      <w:r>
        <w:rPr>
          <w:b/>
          <w:i w:val="0"/>
        </w:rPr>
        <w:t>(e) Secondary.</w:t>
      </w:r>
      <w:r>
        <w:rPr>
          <w:b w:val="0"/>
          <w:i w:val="0"/>
        </w:rPr>
        <w:t xml:space="preserve"> T_tie_C jumps from 21.0 °C to 64.2 °C in the first minute and then holds at 71.0 °C from 4 min to 15 min. That is implausible for a tie embedded 25 mm into a 50 mm leaf. It does not enter S, but the audit should explain it.</w:t>
      </w:r>
    </w:p>
    <w:p>
      <w:pPr>
        <w:keepNext/>
        <w:spacing w:after="20" w:before="60"/>
      </w:pPr>
      <w:r>
        <w:rPr>
          <w:b/>
          <w:i w:val="0"/>
        </w:rPr>
        <w:t>Has any of it started? No.</w:t>
      </w:r>
      <w:r>
        <w:rPr>
          <w:b w:val="0"/>
          <w:i w:val="0"/>
        </w:rPr>
        <w:t xml:space="preserve"> Nothing on the server shows that it has:</w:t>
      </w:r>
    </w:p>
    <w:p>
      <w:pPr>
        <w:pStyle w:val="ListBullet"/>
      </w:pPr>
      <w:r>
        <w:rPr>
          <w:b w:val="0"/>
          <w:i w:val="0"/>
        </w:rPr>
        <w:t>There is one version of the companion results, and no companion case directory, log or job ID.</w:t>
      </w:r>
    </w:p>
    <w:p>
      <w:pPr>
        <w:pStyle w:val="ListBullet"/>
      </w:pPr>
      <w:r>
        <w:rPr>
          <w:b w:val="0"/>
          <w:i w:val="0"/>
        </w:rPr>
        <w:t>Case/ holds only wildfire-case artefacts: the controlDict, the mesh log, steady solve attempt 3, the case-setup export built from the Dry Wash case, and the fluid-only three-grid study.</w:t>
      </w:r>
    </w:p>
    <w:p>
      <w:pPr>
        <w:pStyle w:val="ListBullet"/>
      </w:pPr>
      <w:r>
        <w:rPr>
          <w:b w:val="0"/>
          <w:i w:val="0"/>
        </w:rPr>
        <w:t>The change-order log has CO-001 (plume animation) and CO-002 (mesh-refinement pass at wildfire cases 240°/8 m/s and 270°/8 m/s), both executed on 10/09/2025. CO-002 touches neither the companion model nor the bulk physics, and a mesh pass is not where these comparisons point.</w:t>
      </w:r>
    </w:p>
    <w:p>
      <w:pPr>
        <w:pStyle w:val="ListBullet"/>
      </w:pPr>
      <w:r>
        <w:rPr>
          <w:b w:val="0"/>
          <w:i w:val="0"/>
        </w:rPr>
        <w:t>The staffing sheet, budget tracker and deliverable manifest carry no rework line. The manifest does not list the companion run at all.</w:t>
      </w:r>
    </w:p>
    <w:p>
      <w:pPr>
        <w:pStyle w:val="ListBullet"/>
      </w:pPr>
      <w:r>
        <w:rPr>
          <w:b w:val="0"/>
          <w:i w:val="0"/>
        </w:rPr>
        <w:t>The HPC accounting export ends on 09/30/2025 and has no CFDME-2025-041 jobs, so it cannot show fourth-quarter work either way.</w:t>
      </w:r>
    </w:p>
    <w:p>
      <w:r>
        <w:rPr>
          <w:b w:val="0"/>
          <w:i w:val="0"/>
        </w:rPr>
        <w:t>The rework corrects our own model. It is not change-order scope.</w:t>
      </w:r>
    </w:p>
    <w:p>
      <w:pPr>
        <w:keepNext/>
        <w:spacing w:before="200" w:after="60"/>
        <w:pBdr>
          <w:bottom w:val="single" w:sz="4" w:space="1" w:color="1F2A44"/>
        </w:pBdr>
      </w:pPr>
      <w:r>
        <w:rPr>
          <w:b/>
          <w:color w:val="1F2A44"/>
          <w:sz w:val="24"/>
        </w:rPr>
        <w:t>8. What this means for the rest of Phase 1</w:t>
      </w:r>
    </w:p>
    <w:p>
      <w:pPr>
        <w:pStyle w:val="ListBullet"/>
      </w:pPr>
      <w:r>
        <w:rPr>
          <w:b/>
          <w:i w:val="0"/>
        </w:rPr>
        <w:t>Report §7 carries the documented finding, not a validation claim.</w:t>
      </w:r>
      <w:r>
        <w:rPr>
          <w:b w:val="0"/>
          <w:i w:val="0"/>
        </w:rPr>
        <w:t xml:space="preserve"> The §5 decision is yours: release with the finding, rework, or seek a different reference. I recommend rework and re-reporting against the same D. RBFMT-25-0918 is a sound reference (same assembly, same governing criterion, calibrated instruments, furnace within the E119 tolerance), so a different reference is not warranted.</w:t>
      </w:r>
    </w:p>
    <w:p>
      <w:pPr>
        <w:pStyle w:val="ListBullet"/>
      </w:pPr>
      <w:r>
        <w:rPr>
          <w:b/>
          <w:i w:val="0"/>
        </w:rPr>
        <w:t>Wildfire through-wall outputs inherit the bias.</w:t>
      </w:r>
      <w:r>
        <w:rPr>
          <w:b w:val="0"/>
          <w:i w:val="0"/>
        </w:rPr>
        <w:t xml:space="preserve"> The SOW §3.1 through-wall histories (report Appendix B; production runs in Sprint 2, 10/20/2025) are meant to come from this wall model. It reads the unexposed face cool and late, which is non-conservative. The E119 offset cannot be carried over to a wildfire exposure as a correction. Through-wall temperatures should not be reported as performance evidence until the reworked model has been re-compared. The audit should come before the production runs so they do not have to be run twice.</w:t>
      </w:r>
    </w:p>
    <w:p>
      <w:pPr>
        <w:pStyle w:val="ListBullet"/>
      </w:pPr>
      <w:r>
        <w:rPr>
          <w:b/>
          <w:i w:val="0"/>
        </w:rPr>
        <w:t>Nothing here attaches to the wildfire case as filed</w:t>
      </w:r>
      <w:r>
        <w:rPr>
          <w:b w:val="0"/>
          <w:i w:val="0"/>
        </w:rPr>
        <w:t xml:space="preserve"> (Modeling Standard §7). Its records conflict: the case-setup export carries the Dry Wash non-reacting, radiation-off, no-conjugate physics, and attempt 3 is a steady k-ε bring-up. None of them documents a through-wall treatment. That stays with checklist items 2, 3 and 5.</w:t>
      </w:r>
    </w:p>
    <w:p>
      <w:pPr>
        <w:pStyle w:val="ListBullet"/>
      </w:pPr>
      <w:r>
        <w:rPr>
          <w:b/>
          <w:i w:val="0"/>
        </w:rPr>
        <w:t>The 10/27/2025 Red Butte window cannot close the wildfire gap.</w:t>
      </w:r>
      <w:r>
        <w:rPr>
          <w:b w:val="0"/>
          <w:i w:val="0"/>
        </w:rPr>
        <w:t xml:space="preserve"> Per SOW §5 it is a confirmatory ASTM E119 test. A certified report from it would add a second E119 comparison; it would not replace RBFMT-25-0918. Report rev B §4.2 calls it "a wildfire-phase physical test", which conflicts with the SOW and should be corrected before issue. Phase 1 therefore delivers no wildfire validation, and the §8 conclusions must be written on that basis.</w:t>
      </w:r>
    </w:p>
    <w:p>
      <w:pPr>
        <w:pStyle w:val="ListBullet"/>
      </w:pPr>
      <w:r>
        <w:rPr>
          <w:b w:val="0"/>
          <w:i w:val="0"/>
        </w:rPr>
        <w:t>The 11/07/2025 milestone ("Validation review (E ± u_val)") will report either the re-run or this finding. The structural wind-load case (SOW §3.2) is a separate load case and is unaffected.</w:t>
      </w:r>
    </w:p>
    <w:p>
      <w:pPr>
        <w:pStyle w:val="ListBullet"/>
      </w:pPr>
      <w:r>
        <w:rPr>
          <w:b w:val="0"/>
          <w:i w:val="0"/>
        </w:rPr>
        <w:t>No Phase 1 deliverable or client communication can carry "validated", a 2-hour figure or a translation of E119 results into wildfire terms (Procedure §7 and §9).</w:t>
      </w:r>
    </w:p>
    <w:p>
      <w:pPr>
        <w:pStyle w:val="ListBullet"/>
      </w:pPr>
      <w:r>
        <w:rPr>
          <w:b w:val="0"/>
          <w:i w:val="0"/>
        </w:rPr>
        <w:t>The re-run must be archived with a run identifier and case record and entered in the deliverable manifest, so that the next §7 can cite S as §3 requires.</w:t>
      </w:r>
    </w:p>
    <w:p>
      <w:pPr>
        <w:keepNext/>
        <w:spacing w:before="200" w:after="60"/>
        <w:pBdr>
          <w:bottom w:val="single" w:sz="4" w:space="1" w:color="1F2A44"/>
        </w:pBdr>
      </w:pPr>
      <w:r>
        <w:rPr>
          <w:b/>
          <w:color w:val="1F2A44"/>
          <w:sz w:val="24"/>
        </w:rPr>
        <w:t>9. What this does and does not establish about the wildfire claim</w:t>
      </w:r>
    </w:p>
    <w:p>
      <w:r>
        <w:rPr>
          <w:b w:val="0"/>
          <w:i w:val="0"/>
        </w:rPr>
        <w:t>Ocotillo's claim is comparative: "more fire-resistant than wood-frame construction in a Sonoran WUI wildfire" (Buckhalter, 10/06/2025; SOW §1).</w:t>
      </w:r>
    </w:p>
    <w:p>
      <w:r>
        <w:rPr>
          <w:b/>
          <w:i w:val="0"/>
        </w:rPr>
        <w:t>What it establishes.</w:t>
      </w:r>
      <w:r>
        <w:rPr>
          <w:b w:val="0"/>
          <w:i w:val="0"/>
        </w:rPr>
        <w:t xml:space="preserve"> The exercise rests on, and leaves unchanged, the certified E119 endurance of the assembly: 118 min, with Ironwood's 1-hour rating. What it adds is that our wall model, under that standard exposure, gets the tie thermal bridge right but runs 13 min late (E = +13 min, u_val = ±9 min). That is outside the firm criterion even in the standard exposure.</w:t>
      </w:r>
    </w:p>
    <w:p>
      <w:pPr>
        <w:keepNext/>
        <w:spacing w:after="20"/>
      </w:pPr>
      <w:r>
        <w:rPr>
          <w:b/>
          <w:i w:val="0"/>
        </w:rPr>
        <w:t>What it does not establish:</w:t>
      </w:r>
    </w:p>
    <w:p>
      <w:pPr>
        <w:pStyle w:val="ListBullet"/>
      </w:pPr>
      <w:r>
        <w:rPr>
          <w:b w:val="0"/>
          <w:i w:val="0"/>
        </w:rPr>
        <w:t>(i) Model fidelity under E119 at the firm criterion.</w:t>
      </w:r>
    </w:p>
    <w:p>
      <w:pPr>
        <w:pStyle w:val="ListBullet"/>
      </w:pPr>
      <w:r>
        <w:rPr>
          <w:b w:val="0"/>
          <w:i w:val="0"/>
        </w:rPr>
        <w:t>(ii) Any fidelity under a wildfire exposure. The E119 curve is a smooth, fuel-continuous furnace exposure; the Sonoran WUI exposure is a wind-driven, radiation-dominated, transient fire front.</w:t>
      </w:r>
    </w:p>
    <w:p>
      <w:pPr>
        <w:pStyle w:val="ListBullet"/>
      </w:pPr>
      <w:r>
        <w:rPr>
          <w:b w:val="0"/>
          <w:i w:val="0"/>
        </w:rPr>
        <w:t>(iii) Any wildfire survival time. No algebra turns E119 minutes into wildfire minutes.</w:t>
      </w:r>
    </w:p>
    <w:p>
      <w:pPr>
        <w:pStyle w:val="ListBullet"/>
      </w:pPr>
      <w:r>
        <w:rPr>
          <w:b w:val="0"/>
          <w:i w:val="0"/>
        </w:rPr>
        <w:t>(iv) Anything about wood-frame construction. None has been tested or modelled, so the comparison has nothing to compare against.</w:t>
      </w:r>
    </w:p>
    <w:p>
      <w:pPr>
        <w:pStyle w:val="ListBullet"/>
      </w:pPr>
      <w:r>
        <w:rPr>
          <w:b w:val="0"/>
          <w:i w:val="0"/>
        </w:rPr>
        <w:t>(v) Anything about the exposure the wildfire LES predicts at the wall.</w:t>
      </w:r>
    </w:p>
    <w:p>
      <w:r>
        <w:rPr>
          <w:b w:val="0"/>
          <w:i w:val="0"/>
        </w:rPr>
        <w:t>None of this would change if the E119 comparison had passed (Procedure §7; IWFPE-CERT-25-0374 §5.2; SOW §7).</w:t>
      </w:r>
    </w:p>
    <w:p>
      <w:pPr>
        <w:keepNext/>
        <w:spacing w:after="20"/>
      </w:pPr>
      <w:r>
        <w:rPr>
          <w:b/>
          <w:i w:val="0"/>
        </w:rPr>
        <w:t>What would close the gap:</w:t>
      </w:r>
    </w:p>
    <w:p>
      <w:pPr>
        <w:pStyle w:val="ListNumber"/>
      </w:pPr>
      <w:r>
        <w:rPr>
          <w:b w:val="0"/>
          <w:i w:val="0"/>
        </w:rPr>
        <w:t>Resolve the E119 finding first: rework, re-run and re-report against D = 118 min.</w:t>
      </w:r>
    </w:p>
    <w:p>
      <w:pPr>
        <w:pStyle w:val="ListNumber"/>
      </w:pPr>
      <w:r>
        <w:rPr>
          <w:b w:val="0"/>
          <w:i w:val="0"/>
        </w:rPr>
        <w:t>Obtain wildfire-relevant evidence for the certified assembly: a certified third-party test of the same tabulated assembly under an exposure representative of the Avra Valley buffelgrass fire front (incident heat-flux history and duration, plus flame contact and wind where relevant). It needs exposure-side heat-flux and gas-temperature instruments, the E119 unexposed-face layout including a thermocouple over a tie course, and a report with calibration certificates.</w:t>
      </w:r>
    </w:p>
    <w:p>
      <w:pPr>
        <w:pStyle w:val="ListNumber"/>
      </w:pPr>
      <w:r>
        <w:rPr>
          <w:b w:val="0"/>
          <w:i w:val="0"/>
        </w:rPr>
        <w:t>Obtain evidence for the exposure itself: measured incident heat flux and gas temperature at a wall for a comparable fire front, to validate the exposure the LES reports under SOW §3.1.</w:t>
      </w:r>
    </w:p>
    <w:p>
      <w:pPr>
        <w:pStyle w:val="ListNumber"/>
      </w:pPr>
      <w:r>
        <w:rPr>
          <w:b w:val="0"/>
          <w:i w:val="0"/>
        </w:rPr>
        <w:t>For the comparative claim, apply the same exposure, test and metric to a representative wood-frame wall.</w:t>
      </w:r>
    </w:p>
    <w:p>
      <w:pPr>
        <w:keepNext/>
        <w:spacing w:after="20" w:before="60"/>
      </w:pPr>
      <w:r>
        <w:rPr>
          <w:b/>
          <w:i w:val="0"/>
        </w:rPr>
        <w:t>Form of any future comparison (Procedure §3–§7):</w:t>
      </w:r>
    </w:p>
    <w:p>
      <w:pPr>
        <w:pStyle w:val="ListBullet"/>
      </w:pPr>
      <w:r>
        <w:rPr>
          <w:b w:val="0"/>
          <w:i w:val="0"/>
        </w:rPr>
        <w:t>S, D, E = S − D with its sign, and u_val, on one line or in one table, in that order. Cite the certified report for D and the run identifier for S.</w:t>
      </w:r>
    </w:p>
    <w:p>
      <w:pPr>
        <w:pStyle w:val="ListBullet"/>
      </w:pPr>
      <w:r>
        <w:rPr>
          <w:b w:val="0"/>
          <w:i w:val="0"/>
        </w:rPr>
        <w:t>Take D only from the certified report of the testing laboratory of record. A client amendment enters only through a reissued report, a calibration certificate and a supersession statement.</w:t>
      </w:r>
    </w:p>
    <w:p>
      <w:pPr>
        <w:pStyle w:val="ListBullet"/>
      </w:pPr>
      <w:r>
        <w:rPr>
          <w:b w:val="0"/>
          <w:i w:val="0"/>
        </w:rPr>
        <w:t>Build u_val as the root-sum-square of u_num, u_inp and u_exp, each in the units of the validated quantity, and tabulate it for that project in the QA record before publication. The E119 defaults do not carry over to a materially different exposure (§4, second guardrail).</w:t>
      </w:r>
    </w:p>
    <w:p>
      <w:pPr>
        <w:pStyle w:val="ListBullet"/>
      </w:pPr>
      <w:r>
        <w:rPr>
          <w:b w:val="0"/>
          <w:i w:val="0"/>
        </w:rPr>
        <w:t>Show all three tests: the primary test |E| ≤ 10 % of D, and the secondary tests of |E| against u_val and of the sign against physical expectation.</w:t>
      </w:r>
    </w:p>
    <w:p>
      <w:pPr>
        <w:pStyle w:val="ListBullet"/>
      </w:pPr>
      <w:r>
        <w:rPr>
          <w:b w:val="0"/>
          <w:i w:val="0"/>
        </w:rPr>
        <w:t>Include a validation section stating what the data validates, what it does not, and what would close the rest.</w:t>
      </w:r>
    </w:p>
    <w:p>
      <w:pPr>
        <w:pStyle w:val="ListBullet"/>
      </w:pPr>
      <w:r>
        <w:rPr>
          <w:b w:val="0"/>
          <w:i w:val="0"/>
        </w:rPr>
        <w:t>Never use "matches", "agrees", "confirms" or "validated" in place of the numbers, and never translate an E119 figure into wildfire terms in a firm-issued deliverable.</w:t>
      </w:r>
    </w:p>
    <w:p>
      <w:pPr>
        <w:keepNext/>
        <w:spacing w:before="200" w:after="60"/>
        <w:pBdr>
          <w:bottom w:val="single" w:sz="4" w:space="1" w:color="1F2A44"/>
        </w:pBdr>
      </w:pPr>
      <w:r>
        <w:rPr>
          <w:b/>
          <w:color w:val="1F2A44"/>
          <w:sz w:val="24"/>
        </w:rPr>
        <w:t>10. Bianca's figure and the certified rating</w:t>
      </w:r>
    </w:p>
    <w:p>
      <w:r>
        <w:rPr>
          <w:b w:val="0"/>
          <w:i w:val="0"/>
        </w:rPr>
        <w:t xml:space="preserve">Suppose Red Butte substantiated it. Then 129 min would replace 118 min as the governing single-point endurance (still earlier than the 163 min average). Ironwood's next rung, 2-hour, needs 120 min under the governing criterion. The 118 min result fell 2 min short of it; 129 min would clear it by 9 min. </w:t>
      </w:r>
      <w:r>
        <w:rPr>
          <w:b/>
          <w:i w:val="0"/>
        </w:rPr>
        <w:t>The assembly would then become eligible for a 2-hour rating in place of the current 1-hour</w:t>
      </w:r>
      <w:r>
        <w:rPr>
          <w:b w:val="0"/>
          <w:i w:val="0"/>
        </w:rPr>
        <w:t>, which is the figure the campaign was built around.</w:t>
      </w:r>
    </w:p>
    <w:p>
      <w:r>
        <w:rPr>
          <w:b/>
          <w:i w:val="0"/>
        </w:rPr>
        <w:t>Who may act.</w:t>
      </w:r>
      <w:r>
        <w:rPr>
          <w:b w:val="0"/>
          <w:i w:val="0"/>
        </w:rPr>
        <w:t xml:space="preserve"> Only Red Butte, as the testing laboratory of record, can revise the measurement, by reissuing RBFMT-25-0918. Only Ironwood, through Marla Kettering, PE (AZ PE #45106), the fire-protection engineer of record, can then change the rating, by issuing a new certification. IWFPE-CERT-25-0374 §4 says: "No other party may certify or restate this rating." The CFD ME cannot act, because rating certification is outside our stamp (Procedure §9) and our scope (SOW §1, §8 and §10). Ocotillo cannot act either.</w:t>
      </w:r>
    </w:p>
    <w:p>
      <w:r>
        <w:rPr>
          <w:b w:val="0"/>
          <w:i w:val="0"/>
        </w:rPr>
        <w:t>A reissued report that met §6 would also become the D for this comparison, and the rollup would be re-reported at that point. Until then the certified record is 118 min and 1-hour. Nor can the run's 131 min stand in for a 2-hour figure: it is a prediction carrying a resolved +13 min error, and a CFD result is not a rating action (Procedure §9). A 2-hour figure in Ocotillo's materials would be a rating that nobody has certified.</w:t>
      </w:r>
    </w:p>
    <w:p>
      <w:pPr>
        <w:keepNext/>
        <w:spacing w:before="200" w:after="60"/>
        <w:pBdr>
          <w:bottom w:val="single" w:sz="4" w:space="1" w:color="1F2A44"/>
        </w:pBdr>
      </w:pPr>
      <w:r>
        <w:rPr>
          <w:b/>
          <w:color w:val="1F2A44"/>
          <w:sz w:val="24"/>
        </w:rPr>
        <w:t>11. Stamp language</w:t>
      </w:r>
    </w:p>
    <w:p>
      <w:pPr>
        <w:spacing w:after="40"/>
      </w:pPr>
      <w:r>
        <w:rPr>
          <w:b w:val="0"/>
          <w:i w:val="0"/>
        </w:rPr>
        <w:t>The stamp block on this memo and on report §7 reads:</w:t>
      </w:r>
    </w:p>
    <w:p>
      <w:pPr>
        <w:spacing w:after="80"/>
        <w:jc w:val="center"/>
      </w:pPr>
      <w:r>
        <w:rPr>
          <w:b/>
          <w:i w:val="0"/>
        </w:rPr>
        <w:t>CFD thermal analysis only. Fire-resistance rating certified separately by others.</w:t>
      </w:r>
    </w:p>
    <w:p>
      <w:r>
        <w:rPr>
          <w:b w:val="0"/>
          <w:i w:val="0"/>
        </w:rPr>
        <w:t>This memo is a CFD validation finding, not a rating action. Neither may be represented as the other in any client communication (Procedure §9).</w:t>
      </w:r>
    </w:p>
    <w:p>
      <w:pPr>
        <w:keepNext/>
        <w:spacing w:before="200" w:after="60"/>
        <w:pBdr>
          <w:bottom w:val="single" w:sz="4" w:space="1" w:color="1F2A44"/>
        </w:pBdr>
      </w:pPr>
      <w:r>
        <w:rPr>
          <w:b/>
          <w:color w:val="1F2A44"/>
          <w:sz w:val="24"/>
        </w:rPr>
        <w:t>12. Checklist disposition (CFDME-2025-041 peer review checklist)</w:t>
      </w:r>
    </w:p>
    <w:tbl>
      <w:tblPr>
        <w:tblStyle w:val="TableGrid"/>
        <w:tblW w:type="dxa" w:w="9647"/>
        <w:jc w:val="center"/>
        <w:tblLayout w:type="fixed"/>
        <w:tblLook w:firstColumn="1" w:firstRow="1" w:lastColumn="0" w:lastRow="0" w:noHBand="0" w:noVBand="1" w:val="04A0"/>
        <w:tblCellMar>
          <w:top w:w="40" w:type="dxa"/>
          <w:left w:w="70" w:type="dxa"/>
          <w:bottom w:w="40" w:type="dxa"/>
          <w:right w:w="70" w:type="dxa"/>
        </w:tblCellMar>
        <w:tblLayout w:type="fixed"/>
      </w:tblPr>
      <w:tblGrid>
        <w:gridCol w:w="2520"/>
        <w:gridCol w:w="1296"/>
        <w:gridCol w:w="5832"/>
      </w:tblGrid>
      <w:tr>
        <w:trPr>
          <w:tblHeader w:val="true"/>
          <w:cantSplit w:val="true"/>
        </w:trPr>
        <w:tc>
          <w:tcPr>
            <w:tcW w:type="dxa" w:w="2520"/>
            <w:vAlign w:val="center"/>
            <w:shd w:val="clear" w:color="auto" w:fill="D9DEE7"/>
          </w:tcPr>
          <w:p>
            <w:pPr>
              <w:spacing w:after="0" w:line="240" w:lineRule="auto"/>
            </w:pPr>
            <w:r/>
            <w:r>
              <w:rPr>
                <w:b/>
                <w:i w:val="0"/>
                <w:sz w:val="17"/>
              </w:rPr>
              <w:t>Item</w:t>
            </w:r>
          </w:p>
        </w:tc>
        <w:tc>
          <w:tcPr>
            <w:tcW w:type="dxa" w:w="1296"/>
            <w:vAlign w:val="center"/>
            <w:shd w:val="clear" w:color="auto" w:fill="D9DEE7"/>
          </w:tcPr>
          <w:p>
            <w:pPr>
              <w:spacing w:after="0" w:line="240" w:lineRule="auto"/>
            </w:pPr>
            <w:r/>
            <w:r>
              <w:rPr>
                <w:b/>
                <w:i w:val="0"/>
                <w:sz w:val="17"/>
              </w:rPr>
              <w:t>Disposition</w:t>
            </w:r>
          </w:p>
        </w:tc>
        <w:tc>
          <w:tcPr>
            <w:tcW w:type="dxa" w:w="5832"/>
            <w:vAlign w:val="center"/>
            <w:shd w:val="clear" w:color="auto" w:fill="D9DEE7"/>
          </w:tcPr>
          <w:p>
            <w:pPr>
              <w:spacing w:after="0" w:line="240" w:lineRule="auto"/>
            </w:pPr>
            <w:r/>
            <w:r>
              <w:rPr>
                <w:b/>
                <w:i w:val="0"/>
                <w:sz w:val="17"/>
              </w:rPr>
              <w:t>Reason</w:t>
            </w:r>
          </w:p>
        </w:tc>
      </w:tr>
      <w:tr>
        <w:trPr>
          <w:cantSplit w:val="true"/>
        </w:trPr>
        <w:tc>
          <w:tcPr>
            <w:tcW w:type="dxa" w:w="2520"/>
            <w:vAlign w:val="center"/>
          </w:tcPr>
          <w:p>
            <w:pPr>
              <w:spacing w:after="0" w:line="240" w:lineRule="auto"/>
            </w:pPr>
            <w:r/>
            <w:r>
              <w:rPr>
                <w:b/>
                <w:i w:val="0"/>
                <w:sz w:val="17"/>
              </w:rPr>
              <w:t>6 — Validation as E ± u_val against the criterion</w:t>
            </w:r>
          </w:p>
        </w:tc>
        <w:tc>
          <w:tcPr>
            <w:tcW w:type="dxa" w:w="1296"/>
            <w:vAlign w:val="center"/>
            <w:shd w:val="clear" w:color="auto" w:fill="E3EFE3"/>
          </w:tcPr>
          <w:p>
            <w:pPr>
              <w:spacing w:after="0" w:line="240" w:lineRule="auto"/>
            </w:pPr>
            <w:r/>
            <w:r>
              <w:rPr>
                <w:b w:val="0"/>
                <w:i w:val="0"/>
                <w:sz w:val="17"/>
              </w:rPr>
              <w:t>Close</w:t>
            </w:r>
          </w:p>
        </w:tc>
        <w:tc>
          <w:tcPr>
            <w:tcW w:type="dxa" w:w="5832"/>
            <w:vAlign w:val="center"/>
          </w:tcPr>
          <w:p>
            <w:pPr>
              <w:spacing w:after="0" w:line="240" w:lineRule="auto"/>
            </w:pPr>
            <w:r/>
            <w:r>
              <w:rPr>
                <w:b w:val="0"/>
                <w:i w:val="0"/>
                <w:sz w:val="17"/>
              </w:rPr>
              <w:t>This memo supplies S, D, E and u_val in order, with units and sign, plus the criterion, both secondary tests, the scope statement and the stamp language. Conditions: Attachment A replaces the §7 stub, and this memo is filed to the project QA record as the §4 tabulation. Closing item 6 accepts the reporting form. It does not mean the run validated, and your §5 decision still has to be recorded.</w:t>
            </w:r>
          </w:p>
        </w:tc>
      </w:tr>
      <w:tr>
        <w:trPr>
          <w:cantSplit w:val="true"/>
        </w:trPr>
        <w:tc>
          <w:tcPr>
            <w:tcW w:type="dxa" w:w="2520"/>
            <w:vAlign w:val="center"/>
          </w:tcPr>
          <w:p>
            <w:pPr>
              <w:spacing w:after="0" w:line="240" w:lineRule="auto"/>
            </w:pPr>
            <w:r/>
            <w:r>
              <w:rPr>
                <w:b/>
                <w:i w:val="0"/>
                <w:sz w:val="17"/>
              </w:rPr>
              <w:t>8 — Stamp boundary</w:t>
            </w:r>
          </w:p>
        </w:tc>
        <w:tc>
          <w:tcPr>
            <w:tcW w:type="dxa" w:w="1296"/>
            <w:vAlign w:val="center"/>
            <w:shd w:val="clear" w:color="auto" w:fill="EEEEEE"/>
          </w:tcPr>
          <w:p>
            <w:pPr>
              <w:spacing w:after="0" w:line="240" w:lineRule="auto"/>
            </w:pPr>
            <w:r/>
            <w:r>
              <w:rPr>
                <w:b w:val="0"/>
                <w:i w:val="0"/>
                <w:sz w:val="17"/>
              </w:rPr>
              <w:t>Already closed</w:t>
            </w:r>
          </w:p>
        </w:tc>
        <w:tc>
          <w:tcPr>
            <w:tcW w:type="dxa" w:w="5832"/>
            <w:vAlign w:val="center"/>
          </w:tcPr>
          <w:p>
            <w:pPr>
              <w:spacing w:after="0" w:line="240" w:lineRule="auto"/>
            </w:pPr>
            <w:r/>
            <w:r>
              <w:rPr>
                <w:b w:val="0"/>
                <w:i w:val="0"/>
                <w:sz w:val="17"/>
              </w:rPr>
              <w:t>This memo supplies the IWFPE-CERT-25-0374 citation that item 8 was waiting on.</w:t>
            </w:r>
          </w:p>
        </w:tc>
      </w:tr>
      <w:tr>
        <w:trPr>
          <w:cantSplit w:val="true"/>
        </w:trPr>
        <w:tc>
          <w:tcPr>
            <w:tcW w:type="dxa" w:w="2520"/>
            <w:vAlign w:val="center"/>
          </w:tcPr>
          <w:p>
            <w:pPr>
              <w:spacing w:after="0" w:line="240" w:lineRule="auto"/>
            </w:pPr>
            <w:r/>
            <w:r>
              <w:rPr>
                <w:b/>
                <w:i w:val="0"/>
                <w:sz w:val="17"/>
              </w:rPr>
              <w:t>2 — Regime selection</w:t>
            </w:r>
          </w:p>
        </w:tc>
        <w:tc>
          <w:tcPr>
            <w:tcW w:type="dxa" w:w="1296"/>
            <w:vAlign w:val="center"/>
          </w:tcPr>
          <w:p>
            <w:pPr>
              <w:spacing w:after="0" w:line="240" w:lineRule="auto"/>
            </w:pPr>
            <w:r/>
            <w:r>
              <w:rPr>
                <w:b w:val="0"/>
                <w:i w:val="0"/>
                <w:sz w:val="17"/>
              </w:rPr>
              <w:t>Open</w:t>
            </w:r>
          </w:p>
        </w:tc>
        <w:tc>
          <w:tcPr>
            <w:tcW w:type="dxa" w:w="5832"/>
            <w:vAlign w:val="center"/>
          </w:tcPr>
          <w:p>
            <w:pPr>
              <w:spacing w:after="0" w:line="240" w:lineRule="auto"/>
            </w:pPr>
            <w:r/>
            <w:r>
              <w:rPr>
                <w:b w:val="0"/>
                <w:i w:val="0"/>
                <w:sz w:val="17"/>
              </w:rPr>
              <w:t>Not addressed here.</w:t>
            </w:r>
          </w:p>
        </w:tc>
      </w:tr>
      <w:tr>
        <w:trPr>
          <w:cantSplit w:val="true"/>
        </w:trPr>
        <w:tc>
          <w:tcPr>
            <w:tcW w:type="dxa" w:w="2520"/>
            <w:vAlign w:val="center"/>
          </w:tcPr>
          <w:p>
            <w:pPr>
              <w:spacing w:after="0" w:line="240" w:lineRule="auto"/>
            </w:pPr>
            <w:r/>
            <w:r>
              <w:rPr>
                <w:b/>
                <w:i w:val="0"/>
                <w:sz w:val="17"/>
              </w:rPr>
              <w:t>3 — Solver package</w:t>
            </w:r>
          </w:p>
        </w:tc>
        <w:tc>
          <w:tcPr>
            <w:tcW w:type="dxa" w:w="1296"/>
            <w:vAlign w:val="center"/>
          </w:tcPr>
          <w:p>
            <w:pPr>
              <w:spacing w:after="0" w:line="240" w:lineRule="auto"/>
            </w:pPr>
            <w:r/>
            <w:r>
              <w:rPr>
                <w:b w:val="0"/>
                <w:i w:val="0"/>
                <w:sz w:val="17"/>
              </w:rPr>
              <w:t>Open</w:t>
            </w:r>
          </w:p>
        </w:tc>
        <w:tc>
          <w:tcPr>
            <w:tcW w:type="dxa" w:w="5832"/>
            <w:vAlign w:val="center"/>
          </w:tcPr>
          <w:p>
            <w:pPr>
              <w:spacing w:after="0" w:line="240" w:lineRule="auto"/>
            </w:pPr>
            <w:r/>
            <w:r>
              <w:rPr>
                <w:b w:val="0"/>
                <w:i w:val="0"/>
                <w:sz w:val="17"/>
              </w:rPr>
              <w:t>Not addressed here.</w:t>
            </w:r>
          </w:p>
        </w:tc>
      </w:tr>
      <w:tr>
        <w:trPr>
          <w:cantSplit w:val="true"/>
        </w:trPr>
        <w:tc>
          <w:tcPr>
            <w:tcW w:type="dxa" w:w="2520"/>
            <w:vAlign w:val="center"/>
          </w:tcPr>
          <w:p>
            <w:pPr>
              <w:spacing w:after="0" w:line="240" w:lineRule="auto"/>
            </w:pPr>
            <w:r/>
            <w:r>
              <w:rPr>
                <w:b/>
                <w:i w:val="0"/>
                <w:sz w:val="17"/>
              </w:rPr>
              <w:t>4 — Resolution basis in the Verification body</w:t>
            </w:r>
          </w:p>
        </w:tc>
        <w:tc>
          <w:tcPr>
            <w:tcW w:type="dxa" w:w="1296"/>
            <w:vAlign w:val="center"/>
          </w:tcPr>
          <w:p>
            <w:pPr>
              <w:spacing w:after="0" w:line="240" w:lineRule="auto"/>
            </w:pPr>
            <w:r/>
            <w:r>
              <w:rPr>
                <w:b w:val="0"/>
                <w:i w:val="0"/>
                <w:sz w:val="17"/>
              </w:rPr>
              <w:t>Open</w:t>
            </w:r>
          </w:p>
        </w:tc>
        <w:tc>
          <w:tcPr>
            <w:tcW w:type="dxa" w:w="5832"/>
            <w:vAlign w:val="center"/>
          </w:tcPr>
          <w:p>
            <w:pPr>
              <w:spacing w:after="0" w:line="240" w:lineRule="auto"/>
            </w:pPr>
            <w:r/>
            <w:r>
              <w:rPr>
                <w:b w:val="0"/>
                <w:i w:val="0"/>
                <w:sz w:val="17"/>
              </w:rPr>
              <w:t>Not addressed here. The three-grid study is a fluid-only LES and provides no u_num for the companion run.</w:t>
            </w:r>
          </w:p>
        </w:tc>
      </w:tr>
      <w:tr>
        <w:trPr>
          <w:cantSplit w:val="true"/>
        </w:trPr>
        <w:tc>
          <w:tcPr>
            <w:tcW w:type="dxa" w:w="2520"/>
            <w:vAlign w:val="center"/>
          </w:tcPr>
          <w:p>
            <w:pPr>
              <w:spacing w:after="0" w:line="240" w:lineRule="auto"/>
            </w:pPr>
            <w:r/>
            <w:r>
              <w:rPr>
                <w:b/>
                <w:i w:val="0"/>
                <w:sz w:val="17"/>
              </w:rPr>
              <w:t>5 — Through-wall treatment</w:t>
            </w:r>
          </w:p>
        </w:tc>
        <w:tc>
          <w:tcPr>
            <w:tcW w:type="dxa" w:w="1296"/>
            <w:vAlign w:val="center"/>
          </w:tcPr>
          <w:p>
            <w:pPr>
              <w:spacing w:after="0" w:line="240" w:lineRule="auto"/>
            </w:pPr>
            <w:r/>
            <w:r>
              <w:rPr>
                <w:b w:val="0"/>
                <w:i w:val="0"/>
                <w:sz w:val="17"/>
              </w:rPr>
              <w:t>Open</w:t>
            </w:r>
          </w:p>
        </w:tc>
        <w:tc>
          <w:tcPr>
            <w:tcW w:type="dxa" w:w="5832"/>
            <w:vAlign w:val="center"/>
          </w:tcPr>
          <w:p>
            <w:pPr>
              <w:spacing w:after="0" w:line="240" w:lineRule="auto"/>
            </w:pPr>
            <w:r/>
            <w:r>
              <w:rPr>
                <w:b w:val="0"/>
                <w:i w:val="0"/>
                <w:sz w:val="17"/>
              </w:rPr>
              <w:t>Strengthened by this memo. The companion run's treatment is not documented anywhere on file, its exposure appears to be a prescribed surface temperature, and its property basis is unconfirmed (§7, items a–c).</w:t>
            </w:r>
          </w:p>
        </w:tc>
      </w:tr>
      <w:tr>
        <w:trPr>
          <w:cantSplit w:val="true"/>
        </w:trPr>
        <w:tc>
          <w:tcPr>
            <w:tcW w:type="dxa" w:w="2520"/>
            <w:vAlign w:val="center"/>
          </w:tcPr>
          <w:p>
            <w:pPr>
              <w:spacing w:after="0" w:line="240" w:lineRule="auto"/>
            </w:pPr>
            <w:r/>
            <w:r>
              <w:rPr>
                <w:b/>
                <w:i w:val="0"/>
                <w:sz w:val="17"/>
              </w:rPr>
              <w:t>7 — Geometry revision against the case log</w:t>
            </w:r>
          </w:p>
        </w:tc>
        <w:tc>
          <w:tcPr>
            <w:tcW w:type="dxa" w:w="1296"/>
            <w:vAlign w:val="center"/>
          </w:tcPr>
          <w:p>
            <w:pPr>
              <w:spacing w:after="0" w:line="240" w:lineRule="auto"/>
            </w:pPr>
            <w:r/>
            <w:r>
              <w:rPr>
                <w:b w:val="0"/>
                <w:i w:val="0"/>
                <w:sz w:val="17"/>
              </w:rPr>
              <w:t>Open</w:t>
            </w:r>
          </w:p>
        </w:tc>
        <w:tc>
          <w:tcPr>
            <w:tcW w:type="dxa" w:w="5832"/>
            <w:vAlign w:val="center"/>
          </w:tcPr>
          <w:p>
            <w:pPr>
              <w:spacing w:after="0" w:line="240" w:lineRule="auto"/>
            </w:pPr>
            <w:r/>
            <w:r>
              <w:rPr>
                <w:b w:val="0"/>
                <w:i w:val="0"/>
                <w:sz w:val="17"/>
              </w:rPr>
              <w:t>This memo settles the companion run's section, not the wildfire case build. The mesh build (10/09/2025, 07:14–10:26 MST) predates revD. However, the SHA-256 in its log (a4f2c8b9…) does not match the revC file on the server (2a3fca86…). The leaf extents in that log (6.104 m × 3.654 m × 3.048 m) are also not the 1830 mm × 2745 mm revC panel.</w:t>
            </w:r>
          </w:p>
        </w:tc>
      </w:tr>
      <w:tr>
        <w:trPr>
          <w:cantSplit w:val="true"/>
        </w:trPr>
        <w:tc>
          <w:tcPr>
            <w:tcW w:type="dxa" w:w="2520"/>
            <w:vAlign w:val="center"/>
          </w:tcPr>
          <w:p>
            <w:pPr>
              <w:spacing w:after="0" w:line="240" w:lineRule="auto"/>
            </w:pPr>
            <w:r/>
            <w:r>
              <w:rPr>
                <w:b/>
                <w:i w:val="0"/>
                <w:sz w:val="17"/>
              </w:rPr>
              <w:t>9 — Pressure cross-check and units section</w:t>
            </w:r>
          </w:p>
        </w:tc>
        <w:tc>
          <w:tcPr>
            <w:tcW w:type="dxa" w:w="1296"/>
            <w:vAlign w:val="center"/>
          </w:tcPr>
          <w:p>
            <w:pPr>
              <w:spacing w:after="0" w:line="240" w:lineRule="auto"/>
            </w:pPr>
            <w:r/>
            <w:r>
              <w:rPr>
                <w:b w:val="0"/>
                <w:i w:val="0"/>
                <w:sz w:val="17"/>
              </w:rPr>
              <w:t>Open</w:t>
            </w:r>
          </w:p>
        </w:tc>
        <w:tc>
          <w:tcPr>
            <w:tcW w:type="dxa" w:w="5832"/>
            <w:vAlign w:val="center"/>
          </w:tcPr>
          <w:p>
            <w:pPr>
              <w:spacing w:after="0" w:line="240" w:lineRule="auto"/>
            </w:pPr>
            <w:r/>
            <w:r>
              <w:rPr>
                <w:b w:val="0"/>
                <w:i w:val="0"/>
                <w:sz w:val="17"/>
              </w:rPr>
              <w:t>Not addressed here. Note that the interim extraction's 12.4 Pa windward peak equals the basis memo's 12.4 psf (594 Pa).</w:t>
            </w:r>
          </w:p>
        </w:tc>
      </w:tr>
      <w:tr>
        <w:trPr>
          <w:cantSplit w:val="true"/>
        </w:trPr>
        <w:tc>
          <w:tcPr>
            <w:tcW w:type="dxa" w:w="2520"/>
            <w:vAlign w:val="center"/>
          </w:tcPr>
          <w:p>
            <w:pPr>
              <w:spacing w:after="0" w:line="240" w:lineRule="auto"/>
            </w:pPr>
            <w:r/>
            <w:r>
              <w:rPr>
                <w:b/>
                <w:i w:val="0"/>
                <w:sz w:val="17"/>
              </w:rPr>
              <w:t>10 — Sign-off and stamp</w:t>
            </w:r>
          </w:p>
        </w:tc>
        <w:tc>
          <w:tcPr>
            <w:tcW w:type="dxa" w:w="1296"/>
            <w:vAlign w:val="center"/>
          </w:tcPr>
          <w:p>
            <w:pPr>
              <w:spacing w:after="0" w:line="240" w:lineRule="auto"/>
            </w:pPr>
            <w:r/>
            <w:r>
              <w:rPr>
                <w:b w:val="0"/>
                <w:i w:val="0"/>
                <w:sz w:val="17"/>
              </w:rPr>
              <w:t>Open</w:t>
            </w:r>
          </w:p>
        </w:tc>
        <w:tc>
          <w:tcPr>
            <w:tcW w:type="dxa" w:w="5832"/>
            <w:vAlign w:val="center"/>
          </w:tcPr>
          <w:p>
            <w:pPr>
              <w:spacing w:after="0" w:line="240" w:lineRule="auto"/>
            </w:pPr>
            <w:r/>
            <w:r>
              <w:rPr>
                <w:b w:val="0"/>
                <w:i w:val="0"/>
                <w:sz w:val="17"/>
              </w:rPr>
              <w:t>Held pending items 2, 3, 4, 5, 7 and 9.</w:t>
            </w:r>
          </w:p>
        </w:tc>
      </w:tr>
    </w:tbl>
    <w:p>
      <w:pPr>
        <w:spacing w:after="40"/>
      </w:pP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4824"/>
        <w:gridCol w:w="4824"/>
      </w:tblGrid>
      <w:tr>
        <w:trPr>
          <w:tblHeader w:val="true"/>
          <w:cantSplit w:val="true"/>
        </w:trPr>
        <w:tc>
          <w:tcPr>
            <w:tcW w:type="dxa" w:w="4824"/>
            <w:vAlign w:val="center"/>
            <w:shd w:val="clear" w:color="auto" w:fill="D9DEE7"/>
          </w:tcPr>
          <w:p>
            <w:pPr>
              <w:spacing w:after="0" w:line="240" w:lineRule="auto"/>
            </w:pPr>
            <w:r/>
            <w:r>
              <w:rPr>
                <w:b/>
                <w:i w:val="0"/>
                <w:sz w:val="17"/>
              </w:rPr>
              <w:t>Prepared by</w:t>
            </w:r>
          </w:p>
        </w:tc>
        <w:tc>
          <w:tcPr>
            <w:tcW w:type="dxa" w:w="4824"/>
            <w:vAlign w:val="center"/>
            <w:shd w:val="clear" w:color="auto" w:fill="D9DEE7"/>
          </w:tcPr>
          <w:p>
            <w:pPr>
              <w:spacing w:after="0" w:line="240" w:lineRule="auto"/>
            </w:pPr>
            <w:r/>
            <w:r>
              <w:rPr>
                <w:b/>
                <w:i w:val="0"/>
                <w:sz w:val="17"/>
              </w:rPr>
              <w:t>Reviewed by</w:t>
            </w:r>
          </w:p>
        </w:tc>
      </w:tr>
      <w:tr>
        <w:trPr>
          <w:cantSplit w:val="true"/>
        </w:trPr>
        <w:tc>
          <w:tcPr>
            <w:tcW w:type="dxa" w:w="4824"/>
            <w:vAlign w:val="center"/>
          </w:tcPr>
          <w:p>
            <w:pPr>
              <w:spacing w:after="0" w:line="240" w:lineRule="auto"/>
            </w:pPr>
            <w:r/>
            <w:r>
              <w:rPr>
                <w:b w:val="0"/>
                <w:i w:val="0"/>
                <w:sz w:val="17"/>
              </w:rPr>
              <w:t>Gordon Selby, PE — Owner &amp; Principal Engineer</w:t>
            </w:r>
          </w:p>
          <w:p>
            <w:pPr>
              <w:spacing w:after="0" w:line="240" w:lineRule="auto"/>
            </w:pPr>
            <w:r>
              <w:rPr>
                <w:b w:val="0"/>
                <w:i w:val="0"/>
                <w:sz w:val="17"/>
              </w:rPr>
              <w:t>AZ PE #48213</w:t>
            </w:r>
          </w:p>
          <w:p>
            <w:pPr>
              <w:spacing w:after="0" w:line="240" w:lineRule="auto"/>
            </w:pPr>
          </w:p>
          <w:p>
            <w:pPr>
              <w:spacing w:after="0" w:line="240" w:lineRule="auto"/>
            </w:pPr>
            <w:r>
              <w:rPr>
                <w:b w:val="0"/>
                <w:i w:val="0"/>
                <w:sz w:val="17"/>
              </w:rPr>
              <w:t>Signature: ______________________</w:t>
            </w:r>
          </w:p>
          <w:p>
            <w:pPr>
              <w:spacing w:after="0" w:line="240" w:lineRule="auto"/>
            </w:pPr>
            <w:r>
              <w:rPr>
                <w:b w:val="0"/>
                <w:i w:val="0"/>
                <w:sz w:val="17"/>
              </w:rPr>
              <w:t>Date: ____________</w:t>
            </w:r>
          </w:p>
          <w:p>
            <w:pPr>
              <w:spacing w:after="0" w:line="240" w:lineRule="auto"/>
            </w:pPr>
            <w:r>
              <w:rPr>
                <w:b w:val="0"/>
                <w:i w:val="0"/>
                <w:sz w:val="17"/>
              </w:rPr>
              <w:t>[PE stamp — not applied; pending peer review]</w:t>
            </w:r>
          </w:p>
        </w:tc>
        <w:tc>
          <w:tcPr>
            <w:tcW w:type="dxa" w:w="4824"/>
            <w:vAlign w:val="center"/>
          </w:tcPr>
          <w:p>
            <w:pPr>
              <w:spacing w:after="0" w:line="240" w:lineRule="auto"/>
            </w:pPr>
            <w:r/>
            <w:r>
              <w:rPr>
                <w:b w:val="0"/>
                <w:i w:val="0"/>
                <w:sz w:val="17"/>
              </w:rPr>
              <w:t>Marguerite Falk, PE — Technical Director &amp; Reviewing Engineer</w:t>
            </w:r>
          </w:p>
          <w:p>
            <w:pPr>
              <w:spacing w:after="0" w:line="240" w:lineRule="auto"/>
            </w:pPr>
            <w:r>
              <w:rPr>
                <w:b w:val="0"/>
                <w:i w:val="0"/>
                <w:sz w:val="17"/>
              </w:rPr>
              <w:t>AZ PE #42798</w:t>
            </w:r>
          </w:p>
          <w:p>
            <w:pPr>
              <w:spacing w:after="0" w:line="240" w:lineRule="auto"/>
            </w:pPr>
          </w:p>
          <w:p>
            <w:pPr>
              <w:spacing w:after="0" w:line="240" w:lineRule="auto"/>
            </w:pPr>
            <w:r>
              <w:rPr>
                <w:b w:val="0"/>
                <w:i w:val="0"/>
                <w:sz w:val="17"/>
              </w:rPr>
              <w:t>Signature: ______________________</w:t>
            </w:r>
          </w:p>
          <w:p>
            <w:pPr>
              <w:spacing w:after="0" w:line="240" w:lineRule="auto"/>
            </w:pPr>
            <w:r>
              <w:rPr>
                <w:b w:val="0"/>
                <w:i w:val="0"/>
                <w:sz w:val="17"/>
              </w:rPr>
              <w:t>Date: ____________</w:t>
            </w:r>
          </w:p>
          <w:p>
            <w:pPr>
              <w:spacing w:after="0" w:line="240" w:lineRule="auto"/>
            </w:pPr>
            <w:r>
              <w:rPr>
                <w:b w:val="0"/>
                <w:i w:val="0"/>
                <w:sz w:val="17"/>
              </w:rPr>
              <w:t>§5 disposition: ______________________</w:t>
            </w:r>
          </w:p>
        </w:tc>
      </w:tr>
    </w:tbl>
    <w:p>
      <w:pPr>
        <w:spacing w:after="40"/>
      </w:pPr>
    </w:p>
    <w:p>
      <w:pPr>
        <w:jc w:val="center"/>
      </w:pPr>
      <w:r>
        <w:rPr>
          <w:b/>
          <w:i w:val="0"/>
          <w:sz w:val="18"/>
        </w:rPr>
        <w:t>CFD thermal analysis only. Fire-resistance rating certified separately by others.</w:t>
      </w:r>
    </w:p>
    <w:p>
      <w:r>
        <w:br w:type="page"/>
      </w:r>
    </w:p>
    <w:p>
      <w:pPr>
        <w:keepNext/>
        <w:spacing w:before="200" w:after="60"/>
        <w:pBdr>
          <w:bottom w:val="single" w:sz="4" w:space="1" w:color="1F2A44"/>
        </w:pBdr>
      </w:pPr>
      <w:r>
        <w:rPr>
          <w:b/>
          <w:color w:val="1F2A44"/>
          <w:sz w:val="24"/>
        </w:rPr>
        <w:t>Attachment A — Proposed report §7 text (client-facing)</w:t>
      </w:r>
    </w:p>
    <w:p>
      <w:r>
        <w:rPr>
          <w:b w:val="0"/>
          <w:i/>
          <w:sz w:val="18"/>
        </w:rPr>
        <w:t>Drafted to replace the stub in CFDME-2025-041_Phase1_report_revB.docx §7. The bracketed line is for the reviewing engineer's §5 disposition.</w:t>
      </w:r>
    </w:p>
    <w:p>
      <w:pPr>
        <w:spacing w:before="80"/>
      </w:pPr>
      <w:r>
        <w:rPr>
          <w:b/>
          <w:i w:val="0"/>
          <w:sz w:val="21"/>
        </w:rPr>
        <w:t>7. Validation</w:t>
      </w:r>
    </w:p>
    <w:p>
      <w:r>
        <w:rPr>
          <w:b/>
          <w:i w:val="0"/>
        </w:rPr>
        <w:t>7.1 Reference, prediction and assembly.</w:t>
      </w:r>
      <w:r>
        <w:rPr>
          <w:b w:val="0"/>
          <w:i w:val="0"/>
        </w:rPr>
        <w:t xml:space="preserve"> The reference is the certified ASTM E119 test of the subject assembly: Red Butte Fire &amp; Materials Testing report RBFMT-25-0918 (tested and issued 09/24/2025). It is the basis of Ironwood Fire Protection Engineering certification IWFPE-CERT-25-0374 (09/29/2025). The companion simulation applies the E119 standard exposure to geometry of record OAS-WUI-01_revC, which carries the certified section on every tabulated parameter. That section has two 50 mm siliceous-aggregate printed-concrete leaves, a 205 mm open-air cavity and an overall thickness of 305 mm, with continuous 9-gauge (3.8 mm) galvanized truss-type ties at 600 mm o.c. embedded 25 mm into each leaf. Both criteria are evaluated as rises above the 21.0 °C initial ambient. The single-point criterion (181 °C rise) governs in the test at 118 min and in the simulation at 131 min. The average criterion (139 °C rise) follows at 163 min and 176 min respectively.</w:t>
      </w:r>
    </w:p>
    <w:p>
      <w:pPr>
        <w:spacing w:after="40"/>
      </w:pPr>
      <w:r>
        <w:rPr>
          <w:b/>
          <w:i w:val="0"/>
        </w:rPr>
        <w:t>7.2 Result</w:t>
      </w:r>
      <w:r>
        <w:rPr>
          <w:b w:val="0"/>
          <w:i w:val="0"/>
        </w:rPr>
        <w:t xml:space="preserve"> (Validation QA Procedure CFDME-QA-VAL-002 rev 2; ASME V&amp;V 20 formulation)</w:t>
      </w:r>
    </w:p>
    <w:tbl>
      <w:tblPr>
        <w:tblStyle w:val="TableGrid"/>
        <w:tblW w:type="dxa" w:w="9648"/>
        <w:jc w:val="center"/>
        <w:tblLayout w:type="fixed"/>
        <w:tblLook w:firstColumn="1" w:firstRow="1" w:lastColumn="0" w:lastRow="0" w:noHBand="0" w:noVBand="1" w:val="04A0"/>
        <w:tblCellMar>
          <w:top w:w="40" w:type="dxa"/>
          <w:left w:w="70" w:type="dxa"/>
          <w:bottom w:w="40" w:type="dxa"/>
          <w:right w:w="70" w:type="dxa"/>
        </w:tblCellMar>
        <w:tblLayout w:type="fixed"/>
      </w:tblPr>
      <w:tblGrid>
        <w:gridCol w:w="2412"/>
        <w:gridCol w:w="2412"/>
        <w:gridCol w:w="2412"/>
        <w:gridCol w:w="2412"/>
      </w:tblGrid>
      <w:tr>
        <w:trPr>
          <w:tblHeader w:val="true"/>
          <w:cantSplit w:val="true"/>
        </w:trPr>
        <w:tc>
          <w:tcPr>
            <w:tcW w:type="dxa" w:w="2412"/>
            <w:vAlign w:val="center"/>
            <w:shd w:val="clear" w:color="auto" w:fill="D9DEE7"/>
          </w:tcPr>
          <w:p>
            <w:pPr>
              <w:spacing w:after="0" w:line="240" w:lineRule="auto"/>
              <w:jc w:val="center"/>
            </w:pPr>
            <w:r/>
            <w:r>
              <w:rPr>
                <w:b/>
                <w:i w:val="0"/>
                <w:sz w:val="20"/>
              </w:rPr>
              <w:t>S</w:t>
            </w:r>
          </w:p>
        </w:tc>
        <w:tc>
          <w:tcPr>
            <w:tcW w:type="dxa" w:w="2412"/>
            <w:vAlign w:val="center"/>
            <w:shd w:val="clear" w:color="auto" w:fill="D9DEE7"/>
          </w:tcPr>
          <w:p>
            <w:pPr>
              <w:spacing w:after="0" w:line="240" w:lineRule="auto"/>
              <w:jc w:val="center"/>
            </w:pPr>
            <w:r/>
            <w:r>
              <w:rPr>
                <w:b/>
                <w:i w:val="0"/>
                <w:sz w:val="20"/>
              </w:rPr>
              <w:t>D</w:t>
            </w:r>
          </w:p>
        </w:tc>
        <w:tc>
          <w:tcPr>
            <w:tcW w:type="dxa" w:w="2412"/>
            <w:vAlign w:val="center"/>
            <w:shd w:val="clear" w:color="auto" w:fill="D9DEE7"/>
          </w:tcPr>
          <w:p>
            <w:pPr>
              <w:spacing w:after="0" w:line="240" w:lineRule="auto"/>
              <w:jc w:val="center"/>
            </w:pPr>
            <w:r/>
            <w:r>
              <w:rPr>
                <w:b/>
                <w:i w:val="0"/>
                <w:sz w:val="20"/>
              </w:rPr>
              <w:t>E = S − D</w:t>
            </w:r>
          </w:p>
        </w:tc>
        <w:tc>
          <w:tcPr>
            <w:tcW w:type="dxa" w:w="2412"/>
            <w:vAlign w:val="center"/>
            <w:shd w:val="clear" w:color="auto" w:fill="D9DEE7"/>
          </w:tcPr>
          <w:p>
            <w:pPr>
              <w:spacing w:after="0" w:line="240" w:lineRule="auto"/>
              <w:jc w:val="center"/>
            </w:pPr>
            <w:r/>
            <w:r>
              <w:rPr>
                <w:b/>
                <w:i w:val="0"/>
                <w:sz w:val="20"/>
              </w:rPr>
              <w:t>u_val</w:t>
            </w:r>
          </w:p>
        </w:tc>
      </w:tr>
      <w:tr>
        <w:trPr>
          <w:cantSplit w:val="true"/>
        </w:trPr>
        <w:tc>
          <w:tcPr>
            <w:tcW w:type="dxa" w:w="2412"/>
            <w:vAlign w:val="center"/>
          </w:tcPr>
          <w:p>
            <w:pPr>
              <w:spacing w:after="0" w:line="240" w:lineRule="auto"/>
              <w:jc w:val="center"/>
            </w:pPr>
            <w:r/>
            <w:r>
              <w:rPr>
                <w:b w:val="0"/>
                <w:i w:val="0"/>
                <w:sz w:val="20"/>
              </w:rPr>
              <w:t>131 min</w:t>
            </w:r>
          </w:p>
        </w:tc>
        <w:tc>
          <w:tcPr>
            <w:tcW w:type="dxa" w:w="2412"/>
            <w:vAlign w:val="center"/>
          </w:tcPr>
          <w:p>
            <w:pPr>
              <w:spacing w:after="0" w:line="240" w:lineRule="auto"/>
              <w:jc w:val="center"/>
            </w:pPr>
            <w:r/>
            <w:r>
              <w:rPr>
                <w:b w:val="0"/>
                <w:i w:val="0"/>
                <w:sz w:val="20"/>
              </w:rPr>
              <w:t>118 min</w:t>
            </w:r>
          </w:p>
        </w:tc>
        <w:tc>
          <w:tcPr>
            <w:tcW w:type="dxa" w:w="2412"/>
            <w:vAlign w:val="center"/>
          </w:tcPr>
          <w:p>
            <w:pPr>
              <w:spacing w:after="0" w:line="240" w:lineRule="auto"/>
              <w:jc w:val="center"/>
            </w:pPr>
            <w:r/>
            <w:r>
              <w:rPr>
                <w:b w:val="0"/>
                <w:i w:val="0"/>
                <w:sz w:val="20"/>
              </w:rPr>
              <w:t>+13 min</w:t>
            </w:r>
          </w:p>
        </w:tc>
        <w:tc>
          <w:tcPr>
            <w:tcW w:type="dxa" w:w="2412"/>
            <w:vAlign w:val="center"/>
          </w:tcPr>
          <w:p>
            <w:pPr>
              <w:spacing w:after="0" w:line="240" w:lineRule="auto"/>
              <w:jc w:val="center"/>
            </w:pPr>
            <w:r/>
            <w:r>
              <w:rPr>
                <w:b w:val="0"/>
                <w:i w:val="0"/>
                <w:sz w:val="20"/>
              </w:rPr>
              <w:t>±9 min</w:t>
            </w:r>
          </w:p>
        </w:tc>
      </w:tr>
    </w:tbl>
    <w:p>
      <w:pPr>
        <w:spacing w:after="40"/>
      </w:pPr>
    </w:p>
    <w:p>
      <w:r>
        <w:rPr>
          <w:b w:val="0"/>
          <w:i w:val="0"/>
        </w:rPr>
        <w:t>u_val = √(u_num² + u_inp² + u_exp²) = √((4 min)² + (6 min)² + (5 min)²) = 8.77 min, reported as ±9 min. The acceptance criterion is |E| ≤ 10 % of D = 11.8 min, and |E| = 13 min exceeds it by 1.2 min. |E| also exceeds u_val by 4 min, so the discrepancy is a resolved model error rather than measurement-plus-model scatter. E is positive: the simulation predicts 13 min more endurance than the test measured, which is non-conservative.</w:t>
      </w:r>
    </w:p>
    <w:p>
      <w:r>
        <w:rPr>
          <w:b w:val="0"/>
          <w:i w:val="0"/>
        </w:rPr>
        <w:t>The simulation reproduces the 45 min separation between the two criteria. It also reproduces, to within about 6 °C, how far the governing point sits above the nine-point mean at governance (≈85 °C in the test, 91 °C in the simulation). The discrepancy therefore lies in the bulk through-wall heat transfer rather than in the tie thermal bridge. The companion model is not represented as validated. [Reviewing engineer's §5 disposition to be inserted.]</w:t>
      </w:r>
    </w:p>
    <w:p>
      <w:r>
        <w:rPr>
          <w:b/>
          <w:i w:val="0"/>
        </w:rPr>
        <w:t>7.3 Scope.</w:t>
      </w:r>
      <w:r>
        <w:rPr>
          <w:b w:val="0"/>
          <w:i w:val="0"/>
        </w:rPr>
        <w:t xml:space="preserve"> (i) This comparison establishes the model's performance against the ASTM E119 standard exposure only. (ii) It does not validate the model or the assembly for wildfire exposure, does not yield a wildfire survival time, and makes no comparison with any other form of construction. (iii) Closing that gap requires resolving the finding in 7.2, plus certified physical test evidence under a wildfire-representative exposure for both the exposure and the assembly's response.</w:t>
      </w:r>
    </w:p>
    <w:p>
      <w:pPr>
        <w:spacing w:before="80"/>
        <w:jc w:val="center"/>
      </w:pPr>
      <w:r>
        <w:rPr>
          <w:b/>
          <w:i w:val="0"/>
        </w:rPr>
        <w:t>CFD thermal analysis only. Fire-resistance rating certified separately by others.</w:t>
      </w:r>
    </w:p>
    <w:p>
      <w:pPr>
        <w:keepNext/>
        <w:spacing w:before="200" w:after="60"/>
        <w:pBdr>
          <w:bottom w:val="single" w:sz="4" w:space="1" w:color="1F2A44"/>
        </w:pBdr>
      </w:pPr>
      <w:r>
        <w:rPr>
          <w:b/>
          <w:color w:val="1F2A44"/>
          <w:sz w:val="24"/>
        </w:rPr>
        <w:t>Attachment B — Paragraph for Bianca Rennert (can be sent today)</w:t>
      </w:r>
    </w:p>
    <w:p>
      <w:pPr>
        <w:keepLines/>
        <w:ind w:left="288"/>
      </w:pPr>
      <w:r>
        <w:rPr>
          <w:b w:val="0"/>
          <w:i w:val="0"/>
        </w:rPr>
        <w:t>Bianca — thanks for the revised figures. We can't support describing the simulation as "validated against the certified test" in launch materials. The certified Red Butte result (report RBFMT-25-0918) is 118 min, governed by the single-point criterion, and the companion simulation predicts 131 min. That 13 min difference is outside our acceptance limit for this comparison (11.8 min, which is 10 % of 118 min) and larger than its ±9 min uncertainty. Under our procedure that makes it a model error we have to correct, and it errs toward showing the wall lasting longer than the test did. We also can't use the 129 min figure. A post-test calibration correction can enter our analysis, or the rating, only through a reissued Red Butte report with the supporting calibration certificate, and any change to the 1-hour rating is Ironwood's alone to make. Unless and until that happens, the certified record is 118 min and 1-hour, and nothing in our work supports a 2-hour figure. Finally, an E119 furnace comparison, whether it passes or not, says nothing about wildfire performance, so our work can't be cited for a wildfire claim. We're happy to walk you and Trevor through the numbers.</w:t>
      </w:r>
    </w:p>
    <w:sectPr w:rsidR="00FC693F" w:rsidRPr="0006063C" w:rsidSect="00034616">
      <w:headerReference w:type="default" r:id="rId9"/>
      <w:footerReference w:type="default" r:id="rId10"/>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Firm-internal working record. Attachments A and B are drafted for client use.   |   Page </w:t>
    </w:r>
    <w:r>
      <w:rPr>
        <w:color w:val="555555"/>
        <w:sz w:val="16"/>
      </w:rPr>
      <w:fldChar w:fldCharType="begin"/>
      <w:instrText xml:space="preserve">PAGE</w:instrText>
      <w:fldChar w:fldCharType="separate"/>
      <w:t>1</w:t>
      <w:fldChar w:fldCharType="end"/>
    </w:r>
    <w:r>
      <w:rPr>
        <w:color w:val="555555"/>
        <w:sz w:val="16"/>
      </w:rPr>
      <w:t xml:space="preserve"> of </w:t>
    </w:r>
    <w:r>
      <w:rPr>
        <w:color w:val="555555"/>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THE CFD ME   |   Tucson, Arizona   |   AZ PE #48213   |   CFDME-2025-041   |   E119 validation memo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CFDME-2025-041 — Validation of the ASTM E119 companion simulation (Phase 1 report §7), rev A</dc:title>
  <dc:subject>E119 companion simulation vs RBFMT-25-0918 under CFDME-QA-VAL-002 rev 2</dc:subject>
  <dc:creator>Gordon Selby, PE — The CFD ME</dc:creator>
  <cp:keywords>CFDME-2025-041; validation; E119; RBFMT-25-0918; IWFPE-CERT-25-0374</cp:keywords>
  <dc:description>generated by python-docx</dc:description>
  <cp:lastModifiedBy/>
  <cp:revision>1</cp:revision>
  <dcterms:created xsi:type="dcterms:W3CDTF">2013-12-23T23:15:00Z</dcterms:created>
  <dcterms:modified xsi:type="dcterms:W3CDTF">2013-12-23T23:15:00Z</dcterms:modified>
  <cp:category/>
</cp:coreProperties>
</file>