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A5F"/>
          <w:sz w:val="28"/>
        </w:rPr>
        <w:t>SUNDIAL ENGINEERING &amp; SURVEY</w:t>
      </w:r>
    </w:p>
    <w:p>
      <w:pPr>
        <w:spacing w:after="40" w:before="0"/>
        <w:pBdr>
          <w:bottom w:val="single" w:sz="12" w:space="1" w:color="1F3A5F"/>
        </w:pBdr>
      </w:pPr>
      <w:r>
        <w:rPr>
          <w:b w:val="0"/>
          <w:i w:val="0"/>
          <w:color w:val="555555"/>
          <w:sz w:val="17"/>
        </w:rPr>
        <w:t>4720 South Rainbow Boulevard, Suite 210  ·  Las Vegas, Nevada 89103  ·  (702) 555-0142  ·  NV COA #C-3874</w:t>
      </w:r>
    </w:p>
    <w:p>
      <w:pPr>
        <w:spacing w:after="80" w:before="160"/>
      </w:pPr>
      <w:r>
        <w:rPr>
          <w:b/>
          <w:i w:val="0"/>
          <w:sz w:val="26"/>
        </w:rPr>
        <w:t>MEMORANDUM</w:t>
      </w:r>
    </w:p>
    <w:tbl>
      <w:tblPr>
        <w:tblW w:type="dxa" w:w="9648"/>
        <w:tblLook w:firstColumn="1" w:firstRow="1" w:lastColumn="0" w:lastRow="0" w:noHBand="0" w:noVBand="1" w:val="04A0"/>
        <w:tblBorders>
          <w:top w:val="nil"/>
          <w:left w:val="nil"/>
          <w:bottom w:val="nil"/>
          <w:right w:val="nil"/>
          <w:insideH w:val="nil"/>
          <w:insideV w:val="nil"/>
        </w:tblBorders>
        <w:tblLayout w:type="fixed"/>
        <w:tblCellMar>
          <w:top w:w="10" w:type="dxa"/>
          <w:bottom w:w="10" w:type="dxa"/>
          <w:left w:w="0" w:type="dxa"/>
          <w:right w:w="60" w:type="dxa"/>
        </w:tblCellMar>
        <w:tblLayout w:type="fixed"/>
      </w:tblPr>
      <w:tblGrid>
        <w:gridCol w:w="1080"/>
        <w:gridCol w:w="8568"/>
      </w:tblGrid>
      <w:tr>
        <w:tc>
          <w:tcPr>
            <w:tcW w:type="dxa" w:w="1080"/>
          </w:tcPr>
          <w:p>
            <w:pPr>
              <w:spacing w:after="0" w:line="240" w:lineRule="auto"/>
            </w:pPr>
            <w:r/>
            <w:r>
              <w:rPr>
                <w:b/>
                <w:i w:val="0"/>
                <w:sz w:val="21"/>
              </w:rPr>
              <w:t>TO:</w:t>
            </w:r>
          </w:p>
        </w:tc>
        <w:tc>
          <w:tcPr>
            <w:tcW w:type="dxa" w:w="8568"/>
          </w:tcPr>
          <w:p>
            <w:pPr>
              <w:spacing w:after="0" w:line="240" w:lineRule="auto"/>
            </w:pPr>
            <w:r/>
            <w:r>
              <w:rPr>
                <w:b w:val="0"/>
                <w:i w:val="0"/>
                <w:sz w:val="21"/>
              </w:rPr>
              <w:t>Garrett Nokes, Vice President, Land Development — Callaway Land Partners</w:t>
            </w:r>
          </w:p>
        </w:tc>
      </w:tr>
      <w:tr>
        <w:tc>
          <w:tcPr>
            <w:tcW w:type="dxa" w:w="1080"/>
          </w:tcPr>
          <w:p>
            <w:pPr>
              <w:spacing w:after="0" w:line="240" w:lineRule="auto"/>
            </w:pPr>
            <w:r/>
            <w:r>
              <w:rPr>
                <w:b/>
                <w:i w:val="0"/>
                <w:sz w:val="21"/>
              </w:rPr>
              <w:t>FROM:</w:t>
            </w:r>
          </w:p>
        </w:tc>
        <w:tc>
          <w:tcPr>
            <w:tcW w:type="dxa" w:w="8568"/>
          </w:tcPr>
          <w:p>
            <w:pPr>
              <w:spacing w:after="0" w:line="240" w:lineRule="auto"/>
            </w:pPr>
            <w:r/>
            <w:r>
              <w:rPr>
                <w:b w:val="0"/>
                <w:i w:val="0"/>
                <w:sz w:val="21"/>
              </w:rPr>
              <w:t>Max Braddock, Project Manager — Sundial Engineering &amp; Survey</w:t>
            </w:r>
          </w:p>
        </w:tc>
      </w:tr>
      <w:tr>
        <w:tc>
          <w:tcPr>
            <w:tcW w:type="dxa" w:w="1080"/>
          </w:tcPr>
          <w:p>
            <w:pPr>
              <w:spacing w:after="0" w:line="240" w:lineRule="auto"/>
            </w:pPr>
            <w:r/>
            <w:r>
              <w:rPr>
                <w:b/>
                <w:i w:val="0"/>
                <w:sz w:val="21"/>
              </w:rPr>
              <w:t>DATE:</w:t>
            </w:r>
          </w:p>
        </w:tc>
        <w:tc>
          <w:tcPr>
            <w:tcW w:type="dxa" w:w="8568"/>
          </w:tcPr>
          <w:p>
            <w:pPr>
              <w:spacing w:after="0" w:line="240" w:lineRule="auto"/>
            </w:pPr>
            <w:r/>
            <w:r>
              <w:rPr>
                <w:b w:val="0"/>
                <w:i w:val="0"/>
                <w:sz w:val="21"/>
              </w:rPr>
              <w:t>October 31, 2026</w:t>
            </w:r>
          </w:p>
        </w:tc>
      </w:tr>
      <w:tr>
        <w:tc>
          <w:tcPr>
            <w:tcW w:type="dxa" w:w="1080"/>
          </w:tcPr>
          <w:p>
            <w:pPr>
              <w:spacing w:after="0" w:line="240" w:lineRule="auto"/>
            </w:pPr>
            <w:r/>
            <w:r>
              <w:rPr>
                <w:b/>
                <w:i w:val="0"/>
                <w:sz w:val="21"/>
              </w:rPr>
              <w:t>RE:</w:t>
            </w:r>
          </w:p>
        </w:tc>
        <w:tc>
          <w:tcPr>
            <w:tcW w:type="dxa" w:w="8568"/>
          </w:tcPr>
          <w:p>
            <w:pPr>
              <w:spacing w:after="0" w:line="240" w:lineRule="auto"/>
            </w:pPr>
            <w:r/>
            <w:r>
              <w:rPr>
                <w:b/>
                <w:i w:val="0"/>
                <w:sz w:val="21"/>
              </w:rPr>
              <w:t>Desert Sage Ranch Phase 3 — County comment L-4 (street frontage trees) and the 11/30/2026 resubmittal</w:t>
            </w:r>
            <w:r>
              <w:rPr>
                <w:b w:val="0"/>
                <w:i w:val="0"/>
                <w:sz w:val="21"/>
              </w:rPr>
              <w:br/>
              <w:t>IP-26-100288  ·  FM-26-100290  ·  TM-22-500041  ·  Job No. 2201-03</w:t>
            </w:r>
          </w:p>
        </w:tc>
      </w:tr>
      <w:tr>
        <w:tc>
          <w:tcPr>
            <w:tcW w:type="dxa" w:w="1080"/>
          </w:tcPr>
          <w:p>
            <w:pPr>
              <w:spacing w:after="0" w:line="240" w:lineRule="auto"/>
            </w:pPr>
            <w:r/>
            <w:r>
              <w:rPr>
                <w:b/>
                <w:i w:val="0"/>
                <w:sz w:val="21"/>
              </w:rPr>
              <w:t>CC:</w:t>
            </w:r>
          </w:p>
        </w:tc>
        <w:tc>
          <w:tcPr>
            <w:tcW w:type="dxa" w:w="8568"/>
          </w:tcPr>
          <w:p>
            <w:pPr>
              <w:spacing w:after="0" w:line="240" w:lineRule="auto"/>
            </w:pPr>
            <w:r/>
            <w:r>
              <w:rPr>
                <w:b w:val="0"/>
                <w:i w:val="0"/>
                <w:sz w:val="21"/>
              </w:rPr>
              <w:t>Lee Chastain (Callaway); Bea Cortland, PLA (Ocotillo Landscape Studio); Priya Sarwal, EIT; Jonathan R. Kessler, PE; File 2201-03</w:t>
            </w:r>
          </w:p>
        </w:tc>
      </w:tr>
    </w:tbl>
    <w:p>
      <w:pPr>
        <w:spacing w:after="40" w:before="0"/>
        <w:pBdr>
          <w:bottom w:val="single" w:sz="6" w:space="1" w:color="1F3A5F"/>
        </w:pBdr>
      </w:pPr>
      <w:r>
        <w:rPr>
          <w:b w:val="0"/>
          <w:i w:val="0"/>
        </w:rPr>
      </w:r>
    </w:p>
    <w:p>
      <w:pPr>
        <w:keepNext/>
        <w:spacing w:before="160" w:after="60"/>
      </w:pPr>
      <w:r>
        <w:rPr>
          <w:b/>
          <w:color w:val="1F3A5F"/>
          <w:sz w:val="23"/>
        </w:rPr>
        <w:t>1.  Bottom line</w:t>
      </w:r>
    </w:p>
    <w:p>
      <w:pPr>
        <w:spacing w:after="80" w:before="0"/>
      </w:pPr>
      <w:r>
        <w:rPr>
          <w:b/>
          <w:i w:val="0"/>
        </w:rPr>
        <w:t xml:space="preserve">Not yet. </w:t>
      </w:r>
      <w:r>
        <w:rPr>
          <w:b w:val="0"/>
          <w:i w:val="0"/>
        </w:rPr>
        <w:t xml:space="preserve">The L-4 drafting fits inside 11/30. What is not settled are four items outside the drafting, and they decide whether the L-4 response survives second-round review. They need to close by </w:t>
      </w:r>
      <w:r>
        <w:rPr>
          <w:b/>
          <w:i w:val="0"/>
        </w:rPr>
        <w:t>Friday, November 13</w:t>
      </w:r>
      <w:r>
        <w:rPr>
          <w:b w:val="0"/>
          <w:i w:val="0"/>
        </w:rPr>
        <w:t>. If they do, I will commit to 11/30 for L-4, and I recommend going in earlier. If Comprehensive Planning treats the revision as a “significant change” under TM Condition 14, no resubmittal date protects the 12/18 recordation.</w:t>
      </w:r>
    </w:p>
    <w:p>
      <w:pPr>
        <w:spacing w:after="80" w:before="0"/>
      </w:pPr>
      <w:r>
        <w:rPr>
          <w:b/>
          <w:i w:val="0"/>
        </w:rPr>
        <w:t xml:space="preserve">This is not a clerical redline. </w:t>
      </w:r>
      <w:r>
        <w:rPr>
          <w:b w:val="0"/>
          <w:i w:val="0"/>
        </w:rPr>
        <w:t xml:space="preserve">Yeoman’s 10/09 letter requires 208 street trees (one per 20 lf on 4,160 lf). Sheet L-2 shows 58. That means 150 more trees placed clear of sight triangles and easements, and the plant schedule, irrigation demand, water budget and bond estimate all change with them. Our notes already say trees are at 20 ft on center, but the count works out to about one tree per 72 ft. A redline that changes only the count would draw the same comment again, and there is no time for a third round. </w:t>
      </w:r>
      <w:r>
        <w:rPr>
          <w:b w:val="0"/>
          <w:i/>
        </w:rPr>
        <w:t>(Comment L-4 is answered on Sheets L-1 and L-2. Sheet L-4 is the entry monument.)</w:t>
      </w:r>
    </w:p>
    <w:p>
      <w:pPr>
        <w:keepNext/>
        <w:spacing w:before="160" w:after="60"/>
      </w:pPr>
      <w:r>
        <w:rPr>
          <w:b/>
          <w:color w:val="1F3A5F"/>
          <w:sz w:val="23"/>
        </w:rPr>
        <w:t>2.  What has to happen first</w:t>
      </w:r>
    </w:p>
    <w:tbl>
      <w:tblPr>
        <w:tblStyle w:val="TableGrid"/>
        <w:tblW w:type="dxa" w:w="9648"/>
        <w:jc w:val="center"/>
        <w:tblLook w:firstColumn="1" w:firstRow="1" w:lastColumn="0" w:lastRow="0" w:noHBand="0" w:noVBand="1" w:val="04A0"/>
        <w:tblLayout w:type="fixed"/>
        <w:tblCellMar>
          <w:top w:w="40" w:type="dxa"/>
          <w:bottom w:w="40" w:type="dxa"/>
          <w:left w:w="70" w:type="dxa"/>
          <w:right w:w="70" w:type="dxa"/>
        </w:tblCellMar>
        <w:tblLayout w:type="fixed"/>
      </w:tblPr>
      <w:tblGrid>
        <w:gridCol w:w="360"/>
        <w:gridCol w:w="2736"/>
        <w:gridCol w:w="3960"/>
        <w:gridCol w:w="1440"/>
        <w:gridCol w:w="1152"/>
      </w:tblGrid>
      <w:tr>
        <w:trPr>
          <w:tblHeader w:val="true"/>
          <w:cantSplit w:val="true"/>
        </w:trPr>
        <w:tc>
          <w:tcPr>
            <w:tcW w:type="dxa" w:w="360"/>
            <w:shd w:val="clear" w:color="auto" w:fill="D9E2F3"/>
          </w:tcPr>
          <w:p>
            <w:pPr>
              <w:spacing w:after="0" w:line="240" w:lineRule="auto"/>
            </w:pPr>
            <w:r/>
            <w:r>
              <w:rPr>
                <w:b/>
                <w:i w:val="0"/>
                <w:sz w:val="18"/>
              </w:rPr>
              <w:t>#</w:t>
            </w:r>
          </w:p>
        </w:tc>
        <w:tc>
          <w:tcPr>
            <w:tcW w:type="dxa" w:w="2736"/>
            <w:shd w:val="clear" w:color="auto" w:fill="D9E2F3"/>
          </w:tcPr>
          <w:p>
            <w:pPr>
              <w:spacing w:after="0" w:line="240" w:lineRule="auto"/>
            </w:pPr>
            <w:r/>
            <w:r>
              <w:rPr>
                <w:b/>
                <w:i w:val="0"/>
                <w:sz w:val="18"/>
              </w:rPr>
              <w:t>What has to happen</w:t>
            </w:r>
          </w:p>
        </w:tc>
        <w:tc>
          <w:tcPr>
            <w:tcW w:type="dxa" w:w="3960"/>
            <w:shd w:val="clear" w:color="auto" w:fill="D9E2F3"/>
          </w:tcPr>
          <w:p>
            <w:pPr>
              <w:spacing w:after="0" w:line="240" w:lineRule="auto"/>
            </w:pPr>
            <w:r/>
            <w:r>
              <w:rPr>
                <w:b/>
                <w:i w:val="0"/>
                <w:sz w:val="18"/>
              </w:rPr>
              <w:t>Why it controls the date</w:t>
            </w:r>
          </w:p>
        </w:tc>
        <w:tc>
          <w:tcPr>
            <w:tcW w:type="dxa" w:w="1440"/>
            <w:shd w:val="clear" w:color="auto" w:fill="D9E2F3"/>
          </w:tcPr>
          <w:p>
            <w:pPr>
              <w:spacing w:after="0" w:line="240" w:lineRule="auto"/>
            </w:pPr>
            <w:r/>
            <w:r>
              <w:rPr>
                <w:b/>
                <w:i w:val="0"/>
                <w:sz w:val="18"/>
              </w:rPr>
              <w:t>Owner</w:t>
            </w:r>
          </w:p>
        </w:tc>
        <w:tc>
          <w:tcPr>
            <w:tcW w:type="dxa" w:w="1152"/>
            <w:shd w:val="clear" w:color="auto" w:fill="D9E2F3"/>
          </w:tcPr>
          <w:p>
            <w:pPr>
              <w:spacing w:after="0" w:line="240" w:lineRule="auto"/>
            </w:pPr>
            <w:r/>
            <w:r>
              <w:rPr>
                <w:b/>
                <w:i w:val="0"/>
                <w:sz w:val="18"/>
              </w:rPr>
              <w:t>Need by</w:t>
            </w:r>
          </w:p>
        </w:tc>
      </w:tr>
      <w:tr>
        <w:trPr>
          <w:cantSplit w:val="true"/>
        </w:trPr>
        <w:tc>
          <w:tcPr>
            <w:tcW w:type="dxa" w:w="360"/>
          </w:tcPr>
          <w:p>
            <w:pPr>
              <w:spacing w:after="0" w:line="240" w:lineRule="auto"/>
            </w:pPr>
            <w:r/>
            <w:r>
              <w:rPr>
                <w:b/>
                <w:i w:val="0"/>
                <w:sz w:val="18"/>
              </w:rPr>
              <w:t>1</w:t>
            </w:r>
          </w:p>
        </w:tc>
        <w:tc>
          <w:tcPr>
            <w:tcW w:type="dxa" w:w="2736"/>
          </w:tcPr>
          <w:p>
            <w:pPr>
              <w:spacing w:after="0" w:line="240" w:lineRule="auto"/>
            </w:pPr>
            <w:r/>
            <w:r>
              <w:rPr>
                <w:b w:val="0"/>
                <w:i w:val="0"/>
                <w:sz w:val="18"/>
              </w:rPr>
              <w:t>Planning’s written determination that the street-tree revision is not a “significant change” under TM Condition 14.</w:t>
            </w:r>
          </w:p>
        </w:tc>
        <w:tc>
          <w:tcPr>
            <w:tcW w:type="dxa" w:w="3960"/>
          </w:tcPr>
          <w:p>
            <w:pPr>
              <w:spacing w:after="0" w:line="240" w:lineRule="auto"/>
            </w:pPr>
            <w:r/>
            <w:r>
              <w:rPr>
                <w:b w:val="0"/>
                <w:i w:val="0"/>
                <w:sz w:val="18"/>
              </w:rPr>
              <w:t>If it is, a TAB and Planning Commission hearing must come before any staff approval. The 11/18 TAB filing cutoff (10/28) has passed. The next TAB is 12/16, and the Commission follows it, past 12/18 (Section 3.1).</w:t>
            </w:r>
          </w:p>
        </w:tc>
        <w:tc>
          <w:tcPr>
            <w:tcW w:type="dxa" w:w="1440"/>
          </w:tcPr>
          <w:p>
            <w:pPr>
              <w:spacing w:after="0" w:line="240" w:lineRule="auto"/>
            </w:pPr>
            <w:r/>
            <w:r>
              <w:rPr>
                <w:b w:val="0"/>
                <w:i w:val="0"/>
                <w:sz w:val="18"/>
              </w:rPr>
              <w:t>Braddock to O. Marchetti; Ocotillo prepares red-line comparison</w:t>
            </w:r>
          </w:p>
        </w:tc>
        <w:tc>
          <w:tcPr>
            <w:tcW w:type="dxa" w:w="1152"/>
          </w:tcPr>
          <w:p>
            <w:pPr>
              <w:spacing w:after="0" w:line="240" w:lineRule="auto"/>
            </w:pPr>
            <w:r/>
            <w:r>
              <w:rPr>
                <w:b w:val="0"/>
                <w:i w:val="0"/>
                <w:sz w:val="18"/>
              </w:rPr>
              <w:t>Ask Mon 11/02; answer by Fri 11/13</w:t>
            </w:r>
          </w:p>
        </w:tc>
      </w:tr>
      <w:tr>
        <w:trPr>
          <w:cantSplit w:val="true"/>
        </w:trPr>
        <w:tc>
          <w:tcPr>
            <w:tcW w:type="dxa" w:w="360"/>
          </w:tcPr>
          <w:p>
            <w:pPr>
              <w:spacing w:after="0" w:line="240" w:lineRule="auto"/>
            </w:pPr>
            <w:r/>
            <w:r>
              <w:rPr>
                <w:b/>
                <w:i w:val="0"/>
                <w:sz w:val="18"/>
              </w:rPr>
              <w:t>2</w:t>
            </w:r>
          </w:p>
        </w:tc>
        <w:tc>
          <w:tcPr>
            <w:tcW w:type="dxa" w:w="2736"/>
          </w:tcPr>
          <w:p>
            <w:pPr>
              <w:spacing w:after="0" w:line="240" w:lineRule="auto"/>
            </w:pPr>
            <w:r/>
            <w:r>
              <w:rPr>
                <w:b w:val="0"/>
                <w:i w:val="0"/>
                <w:sz w:val="18"/>
              </w:rPr>
              <w:t>Callaway decision on the Parcel A park program.</w:t>
            </w:r>
          </w:p>
        </w:tc>
        <w:tc>
          <w:tcPr>
            <w:tcW w:type="dxa" w:w="3960"/>
          </w:tcPr>
          <w:p>
            <w:pPr>
              <w:spacing w:after="0" w:line="240" w:lineRule="auto"/>
            </w:pPr>
            <w:r/>
            <w:r>
              <w:rPr>
                <w:b w:val="0"/>
                <w:i w:val="0"/>
                <w:sz w:val="18"/>
              </w:rPr>
              <w:t>The revised irrigation demand that L-4 requires runs from 2.3 to 4.2 ac-ft/yr, depending on the park (Section 3.2).</w:t>
            </w:r>
          </w:p>
        </w:tc>
        <w:tc>
          <w:tcPr>
            <w:tcW w:type="dxa" w:w="1440"/>
          </w:tcPr>
          <w:p>
            <w:pPr>
              <w:spacing w:after="0" w:line="240" w:lineRule="auto"/>
            </w:pPr>
            <w:r/>
            <w:r>
              <w:rPr>
                <w:b w:val="0"/>
                <w:i w:val="0"/>
                <w:sz w:val="18"/>
              </w:rPr>
              <w:t>Callaway (Nokes), with counsel</w:t>
            </w:r>
          </w:p>
        </w:tc>
        <w:tc>
          <w:tcPr>
            <w:tcW w:type="dxa" w:w="1152"/>
          </w:tcPr>
          <w:p>
            <w:pPr>
              <w:spacing w:after="0" w:line="240" w:lineRule="auto"/>
            </w:pPr>
            <w:r/>
            <w:r>
              <w:rPr>
                <w:b w:val="0"/>
                <w:i w:val="0"/>
                <w:sz w:val="18"/>
              </w:rPr>
              <w:t>Fri 11/06</w:t>
            </w:r>
          </w:p>
        </w:tc>
      </w:tr>
      <w:tr>
        <w:trPr>
          <w:cantSplit w:val="true"/>
        </w:trPr>
        <w:tc>
          <w:tcPr>
            <w:tcW w:type="dxa" w:w="360"/>
          </w:tcPr>
          <w:p>
            <w:pPr>
              <w:spacing w:after="0" w:line="240" w:lineRule="auto"/>
            </w:pPr>
            <w:r/>
            <w:r>
              <w:rPr>
                <w:b/>
                <w:i w:val="0"/>
                <w:sz w:val="18"/>
              </w:rPr>
              <w:t>3</w:t>
            </w:r>
          </w:p>
        </w:tc>
        <w:tc>
          <w:tcPr>
            <w:tcW w:type="dxa" w:w="2736"/>
          </w:tcPr>
          <w:p>
            <w:pPr>
              <w:spacing w:after="0" w:line="240" w:lineRule="auto"/>
            </w:pPr>
            <w:r/>
            <w:r>
              <w:rPr>
                <w:b w:val="0"/>
                <w:i w:val="0"/>
                <w:sz w:val="18"/>
              </w:rPr>
              <w:t>Placement check of all 208 trees on an updated survey base.</w:t>
            </w:r>
          </w:p>
        </w:tc>
        <w:tc>
          <w:tcPr>
            <w:tcW w:type="dxa" w:w="3960"/>
          </w:tcPr>
          <w:p>
            <w:pPr>
              <w:spacing w:after="0" w:line="240" w:lineRule="auto"/>
            </w:pPr>
            <w:r/>
            <w:r>
              <w:rPr>
                <w:b w:val="0"/>
                <w:i w:val="0"/>
                <w:sz w:val="18"/>
              </w:rPr>
              <w:t>At 20 ft o.c. there is no slack. Trees cannot go in sight triangles, or in easements without written utility consent. If the count does not fit, the fixes take longer than 11/30 allows (Section 3.3).</w:t>
            </w:r>
          </w:p>
        </w:tc>
        <w:tc>
          <w:tcPr>
            <w:tcW w:type="dxa" w:w="1440"/>
          </w:tcPr>
          <w:p>
            <w:pPr>
              <w:spacing w:after="0" w:line="240" w:lineRule="auto"/>
            </w:pPr>
            <w:r/>
            <w:r>
              <w:rPr>
                <w:b w:val="0"/>
                <w:i w:val="0"/>
                <w:sz w:val="18"/>
              </w:rPr>
              <w:t>Survey (easement base); Ocotillo (layout); Sarwal (back-check)</w:t>
            </w:r>
          </w:p>
        </w:tc>
        <w:tc>
          <w:tcPr>
            <w:tcW w:type="dxa" w:w="1152"/>
          </w:tcPr>
          <w:p>
            <w:pPr>
              <w:spacing w:after="0" w:line="240" w:lineRule="auto"/>
            </w:pPr>
            <w:r/>
            <w:r>
              <w:rPr>
                <w:b w:val="0"/>
                <w:i w:val="0"/>
                <w:sz w:val="18"/>
              </w:rPr>
              <w:t>Tue 11/10</w:t>
            </w:r>
          </w:p>
        </w:tc>
      </w:tr>
      <w:tr>
        <w:trPr>
          <w:cantSplit w:val="true"/>
        </w:trPr>
        <w:tc>
          <w:tcPr>
            <w:tcW w:type="dxa" w:w="360"/>
          </w:tcPr>
          <w:p>
            <w:pPr>
              <w:spacing w:after="0" w:line="240" w:lineRule="auto"/>
            </w:pPr>
            <w:r/>
            <w:r>
              <w:rPr>
                <w:b/>
                <w:i w:val="0"/>
                <w:sz w:val="18"/>
              </w:rPr>
              <w:t>4</w:t>
            </w:r>
          </w:p>
        </w:tc>
        <w:tc>
          <w:tcPr>
            <w:tcW w:type="dxa" w:w="2736"/>
          </w:tcPr>
          <w:p>
            <w:pPr>
              <w:spacing w:after="0" w:line="240" w:lineRule="auto"/>
            </w:pPr>
            <w:r/>
            <w:r>
              <w:rPr>
                <w:b w:val="0"/>
                <w:i w:val="0"/>
                <w:sz w:val="18"/>
              </w:rPr>
              <w:t>Frontage basis confirmed before the count is locked.</w:t>
            </w:r>
          </w:p>
        </w:tc>
        <w:tc>
          <w:tcPr>
            <w:tcW w:type="dxa" w:w="3960"/>
          </w:tcPr>
          <w:p>
            <w:pPr>
              <w:spacing w:after="0" w:line="240" w:lineRule="auto"/>
            </w:pPr>
            <w:r/>
            <w:r>
              <w:rPr>
                <w:b w:val="0"/>
                <w:i w:val="0"/>
                <w:sz w:val="18"/>
              </w:rPr>
              <w:t>The County will check our 4,160 lf against the map. It does not reconcile to the civil boundary (Section 3.4).</w:t>
            </w:r>
          </w:p>
        </w:tc>
        <w:tc>
          <w:tcPr>
            <w:tcW w:type="dxa" w:w="1440"/>
          </w:tcPr>
          <w:p>
            <w:pPr>
              <w:spacing w:after="0" w:line="240" w:lineRule="auto"/>
            </w:pPr>
            <w:r/>
            <w:r>
              <w:rPr>
                <w:b w:val="0"/>
                <w:i w:val="0"/>
                <w:sz w:val="18"/>
              </w:rPr>
              <w:t>Halvorsen (certify lengths); Braddock (confirm with Yeoman)</w:t>
            </w:r>
          </w:p>
        </w:tc>
        <w:tc>
          <w:tcPr>
            <w:tcW w:type="dxa" w:w="1152"/>
          </w:tcPr>
          <w:p>
            <w:pPr>
              <w:spacing w:after="0" w:line="240" w:lineRule="auto"/>
            </w:pPr>
            <w:r/>
            <w:r>
              <w:rPr>
                <w:b w:val="0"/>
                <w:i w:val="0"/>
                <w:sz w:val="18"/>
              </w:rPr>
              <w:t>Fri 11/06; Yeoman by 11/10</w:t>
            </w:r>
          </w:p>
        </w:tc>
      </w:tr>
    </w:tbl>
    <w:p>
      <w:pPr>
        <w:keepNext/>
        <w:spacing w:before="160" w:after="60"/>
      </w:pPr>
      <w:r>
        <w:rPr>
          <w:b/>
          <w:color w:val="1F3A5F"/>
          <w:sz w:val="23"/>
        </w:rPr>
        <w:t>3.  Why each item controls the date</w:t>
      </w:r>
    </w:p>
    <w:p>
      <w:pPr>
        <w:keepNext/>
        <w:spacing w:after="40" w:before="80"/>
      </w:pPr>
      <w:r>
        <w:rPr>
          <w:b/>
          <w:i w:val="0"/>
        </w:rPr>
        <w:t xml:space="preserve">3.1  Condition 14: get Planning’s answer before we submit. </w:t>
      </w:r>
    </w:p>
    <w:p>
      <w:pPr>
        <w:spacing w:after="80" w:before="0"/>
      </w:pPr>
      <w:r>
        <w:rPr>
          <w:b w:val="0"/>
          <w:i w:val="0"/>
        </w:rPr>
        <w:t xml:space="preserve">Condition 14 requires a design-review public hearing before the Enterprise TAB and the Planning Commission, </w:t>
      </w:r>
      <w:r>
        <w:rPr>
          <w:b w:val="0"/>
          <w:i/>
        </w:rPr>
        <w:t>prior to staff-level action</w:t>
      </w:r>
      <w:r>
        <w:rPr>
          <w:b w:val="0"/>
          <w:i w:val="0"/>
        </w:rPr>
        <w:t>, for any significant change to approved plans, “including but not limited to landscape and streetscape treatments in common areas.” At the 06/22 pre-app, Odette Marchetti called that threshold fact-specific. She asked for a red-line comparison against the 2022 approved palette and said Planning’s determination would follow the submittal. Advisory A-3 in Yeoman’s letter repeats the point. I know you want nothing that adds process or TAB time. A staff determination letter is how we avoid both. Without one, Planning can raise Condition 14 in December, with no time left to answer. (The 12/16 TAB filing cutoff is 11/25. After that, the next meeting is in January 2027.)</w:t>
      </w:r>
    </w:p>
    <w:p>
      <w:pPr>
        <w:keepNext/>
        <w:spacing w:after="40" w:before="0"/>
      </w:pPr>
      <w:r>
        <w:rPr>
          <w:b w:val="0"/>
          <w:i w:val="0"/>
        </w:rPr>
        <w:t>Our position is strong if we keep it narrow. The Phase 1/2 landscape that Planning approved in 2022 already calls for one tree per 20 lf at 20 ft on center, using the species we carry (Desert Willow, Palo Verde, Mesquite). Bringing Phase 3 up to that standard matches the approved character, and Condition 25 requires it anyway. To protect that position:</w:t>
      </w:r>
    </w:p>
    <w:p>
      <w:pPr>
        <w:pStyle w:val="ListBullet"/>
        <w:spacing w:after="40"/>
      </w:pPr>
      <w:r>
        <w:rPr>
          <w:b w:val="0"/>
          <w:i w:val="0"/>
        </w:rPr>
        <w:t>Send Planning a streetscape-only red-line comparison next week.</w:t>
      </w:r>
    </w:p>
    <w:p>
      <w:pPr>
        <w:pStyle w:val="ListBullet"/>
        <w:spacing w:after="40"/>
      </w:pPr>
      <w:r>
        <w:rPr>
          <w:b w:val="0"/>
          <w:i w:val="0"/>
        </w:rPr>
        <w:t>Stay within the 2022 species palette and section design. That rules out cutting the count by switching to large-canopy species at one per 30 lf (about 140 trees).</w:t>
      </w:r>
    </w:p>
    <w:p>
      <w:pPr>
        <w:pStyle w:val="ListBullet"/>
        <w:spacing w:after="40"/>
      </w:pPr>
      <w:r>
        <w:rPr>
          <w:b w:val="0"/>
          <w:i w:val="0"/>
        </w:rPr>
        <w:t>Keep the street trees separate from the park palette changes Ocotillo raised on 10/30. Those carry the real Condition 14 risk. Phase 1/2 homeowners plan to speak about the park at the 11/18 TAB, so expect Planning to read this resubmittal closely.</w:t>
      </w:r>
    </w:p>
    <w:p>
      <w:pPr>
        <w:keepNext/>
        <w:spacing w:after="40" w:before="80"/>
      </w:pPr>
      <w:r>
        <w:rPr>
          <w:b/>
          <w:i w:val="0"/>
        </w:rPr>
        <w:t xml:space="preserve">3.2  The irrigation number cannot be finalized until the park is decided. </w:t>
      </w:r>
    </w:p>
    <w:p>
      <w:pPr>
        <w:keepNext/>
        <w:spacing w:after="60" w:before="0"/>
      </w:pPr>
      <w:r>
        <w:rPr>
          <w:b w:val="0"/>
          <w:i w:val="0"/>
        </w:rPr>
        <w:t xml:space="preserve">L-4 requires a revised </w:t>
      </w:r>
      <w:r>
        <w:rPr>
          <w:b w:val="0"/>
          <w:i/>
        </w:rPr>
        <w:t>annual</w:t>
      </w:r>
      <w:r>
        <w:rPr>
          <w:b w:val="0"/>
          <w:i w:val="0"/>
        </w:rPr>
        <w:t xml:space="preserve"> irrigation demand, which is one total for all Phase 3 landscape. The park lawn accounts for 2.32 of today’s 3.28 ac-ft/yr. Using Ocotillo’s own rates:</w:t>
      </w:r>
    </w:p>
    <w:tbl>
      <w:tblPr>
        <w:tblStyle w:val="TableGrid"/>
        <w:tblW w:type="dxa" w:w="9647"/>
        <w:jc w:val="center"/>
        <w:tblLook w:firstColumn="1" w:firstRow="1" w:lastColumn="0" w:lastRow="0" w:noHBand="0" w:noVBand="1" w:val="04A0"/>
        <w:tblLayout w:type="fixed"/>
        <w:tblCellMar>
          <w:top w:w="20" w:type="dxa"/>
          <w:bottom w:w="20" w:type="dxa"/>
          <w:left w:w="70" w:type="dxa"/>
          <w:right w:w="70" w:type="dxa"/>
        </w:tblCellMar>
        <w:tblLayout w:type="fixed"/>
      </w:tblPr>
      <w:tblGrid>
        <w:gridCol w:w="4320"/>
        <w:gridCol w:w="1080"/>
        <w:gridCol w:w="792"/>
        <w:gridCol w:w="792"/>
        <w:gridCol w:w="1152"/>
        <w:gridCol w:w="1512"/>
      </w:tblGrid>
      <w:tr>
        <w:trPr>
          <w:cantSplit w:val="true"/>
        </w:trPr>
        <w:tc>
          <w:tcPr>
            <w:tcW w:type="dxa" w:w="4320"/>
            <w:shd w:val="clear" w:color="auto" w:fill="D9E2F3"/>
          </w:tcPr>
          <w:p>
            <w:pPr>
              <w:spacing w:after="0" w:line="240" w:lineRule="auto"/>
            </w:pPr>
            <w:r/>
            <w:r>
              <w:rPr>
                <w:b/>
                <w:i w:val="0"/>
                <w:sz w:val="18"/>
              </w:rPr>
              <w:t>Park program</w:t>
            </w:r>
          </w:p>
        </w:tc>
        <w:tc>
          <w:tcPr>
            <w:tcW w:type="dxa" w:w="1080"/>
            <w:shd w:val="clear" w:color="auto" w:fill="D9E2F3"/>
          </w:tcPr>
          <w:p>
            <w:pPr>
              <w:spacing w:after="0" w:line="240" w:lineRule="auto"/>
              <w:jc w:val="center"/>
            </w:pPr>
            <w:r/>
            <w:r>
              <w:rPr>
                <w:b/>
                <w:i w:val="0"/>
                <w:sz w:val="18"/>
              </w:rPr>
              <w:t>Street trees</w:t>
            </w:r>
          </w:p>
        </w:tc>
        <w:tc>
          <w:tcPr>
            <w:tcW w:type="dxa" w:w="792"/>
            <w:shd w:val="clear" w:color="auto" w:fill="D9E2F3"/>
          </w:tcPr>
          <w:p>
            <w:pPr>
              <w:spacing w:after="0" w:line="240" w:lineRule="auto"/>
              <w:jc w:val="center"/>
            </w:pPr>
            <w:r/>
            <w:r>
              <w:rPr>
                <w:b/>
                <w:i w:val="0"/>
                <w:sz w:val="18"/>
              </w:rPr>
              <w:t>Turf</w:t>
            </w:r>
          </w:p>
        </w:tc>
        <w:tc>
          <w:tcPr>
            <w:tcW w:type="dxa" w:w="792"/>
            <w:shd w:val="clear" w:color="auto" w:fill="D9E2F3"/>
          </w:tcPr>
          <w:p>
            <w:pPr>
              <w:spacing w:after="0" w:line="240" w:lineRule="auto"/>
              <w:jc w:val="center"/>
            </w:pPr>
            <w:r/>
            <w:r>
              <w:rPr>
                <w:b/>
                <w:i w:val="0"/>
                <w:sz w:val="18"/>
              </w:rPr>
              <w:t>Drip</w:t>
            </w:r>
          </w:p>
        </w:tc>
        <w:tc>
          <w:tcPr>
            <w:tcW w:type="dxa" w:w="1152"/>
            <w:shd w:val="clear" w:color="auto" w:fill="D9E2F3"/>
          </w:tcPr>
          <w:p>
            <w:pPr>
              <w:spacing w:after="0" w:line="240" w:lineRule="auto"/>
              <w:jc w:val="center"/>
            </w:pPr>
            <w:r/>
            <w:r>
              <w:rPr>
                <w:b/>
                <w:i w:val="0"/>
                <w:sz w:val="18"/>
              </w:rPr>
              <w:t>Trees (all)</w:t>
            </w:r>
          </w:p>
        </w:tc>
        <w:tc>
          <w:tcPr>
            <w:tcW w:type="dxa" w:w="1512"/>
            <w:shd w:val="clear" w:color="auto" w:fill="D9E2F3"/>
          </w:tcPr>
          <w:p>
            <w:pPr>
              <w:spacing w:after="0" w:line="240" w:lineRule="auto"/>
              <w:jc w:val="center"/>
            </w:pPr>
            <w:r/>
            <w:r>
              <w:rPr>
                <w:b/>
                <w:i w:val="0"/>
                <w:sz w:val="18"/>
              </w:rPr>
              <w:t>Total ac-ft/yr</w:t>
            </w:r>
          </w:p>
        </w:tc>
      </w:tr>
      <w:tr>
        <w:trPr>
          <w:cantSplit w:val="true"/>
        </w:trPr>
        <w:tc>
          <w:tcPr>
            <w:tcW w:type="dxa" w:w="4320"/>
          </w:tcPr>
          <w:p>
            <w:pPr>
              <w:spacing w:after="0" w:line="240" w:lineRule="auto"/>
            </w:pPr>
            <w:r/>
            <w:r>
              <w:rPr>
                <w:b w:val="0"/>
                <w:i w:val="0"/>
                <w:sz w:val="18"/>
              </w:rPr>
              <w:t>As submitted 08/21 (18,400 sf lawn)</w:t>
            </w:r>
          </w:p>
        </w:tc>
        <w:tc>
          <w:tcPr>
            <w:tcW w:type="dxa" w:w="1080"/>
          </w:tcPr>
          <w:p>
            <w:pPr>
              <w:spacing w:after="0" w:line="240" w:lineRule="auto"/>
              <w:jc w:val="center"/>
            </w:pPr>
            <w:r/>
            <w:r>
              <w:rPr>
                <w:b w:val="0"/>
                <w:i w:val="0"/>
                <w:sz w:val="18"/>
              </w:rPr>
              <w:t>58</w:t>
            </w:r>
          </w:p>
        </w:tc>
        <w:tc>
          <w:tcPr>
            <w:tcW w:type="dxa" w:w="792"/>
          </w:tcPr>
          <w:p>
            <w:pPr>
              <w:spacing w:after="0" w:line="240" w:lineRule="auto"/>
              <w:jc w:val="center"/>
            </w:pPr>
            <w:r/>
            <w:r>
              <w:rPr>
                <w:b w:val="0"/>
                <w:i w:val="0"/>
                <w:sz w:val="18"/>
              </w:rPr>
              <w:t>2.32</w:t>
            </w:r>
          </w:p>
        </w:tc>
        <w:tc>
          <w:tcPr>
            <w:tcW w:type="dxa" w:w="792"/>
          </w:tcPr>
          <w:p>
            <w:pPr>
              <w:spacing w:after="0" w:line="240" w:lineRule="auto"/>
              <w:jc w:val="center"/>
            </w:pPr>
            <w:r/>
            <w:r>
              <w:rPr>
                <w:b w:val="0"/>
                <w:i w:val="0"/>
                <w:sz w:val="18"/>
              </w:rPr>
              <w:t>0.51</w:t>
            </w:r>
          </w:p>
        </w:tc>
        <w:tc>
          <w:tcPr>
            <w:tcW w:type="dxa" w:w="1152"/>
          </w:tcPr>
          <w:p>
            <w:pPr>
              <w:spacing w:after="0" w:line="240" w:lineRule="auto"/>
              <w:jc w:val="center"/>
            </w:pPr>
            <w:r/>
            <w:r>
              <w:rPr>
                <w:b w:val="0"/>
                <w:i w:val="0"/>
                <w:sz w:val="18"/>
              </w:rPr>
              <w:t>0.45</w:t>
            </w:r>
          </w:p>
        </w:tc>
        <w:tc>
          <w:tcPr>
            <w:tcW w:type="dxa" w:w="1512"/>
          </w:tcPr>
          <w:p>
            <w:pPr>
              <w:spacing w:after="0" w:line="240" w:lineRule="auto"/>
              <w:jc w:val="center"/>
            </w:pPr>
            <w:r/>
            <w:r>
              <w:rPr>
                <w:b/>
                <w:i w:val="0"/>
                <w:sz w:val="18"/>
              </w:rPr>
              <w:t>3.28</w:t>
            </w:r>
          </w:p>
        </w:tc>
      </w:tr>
      <w:tr>
        <w:trPr>
          <w:cantSplit w:val="true"/>
        </w:trPr>
        <w:tc>
          <w:tcPr>
            <w:tcW w:type="dxa" w:w="4320"/>
          </w:tcPr>
          <w:p>
            <w:pPr>
              <w:spacing w:after="0" w:line="240" w:lineRule="auto"/>
            </w:pPr>
            <w:r/>
            <w:r>
              <w:rPr>
                <w:b w:val="0"/>
                <w:i w:val="0"/>
                <w:sz w:val="18"/>
              </w:rPr>
              <w:t>L-4 trees added; lawn kept as drawn</w:t>
            </w:r>
          </w:p>
        </w:tc>
        <w:tc>
          <w:tcPr>
            <w:tcW w:type="dxa" w:w="1080"/>
          </w:tcPr>
          <w:p>
            <w:pPr>
              <w:spacing w:after="0" w:line="240" w:lineRule="auto"/>
              <w:jc w:val="center"/>
            </w:pPr>
            <w:r/>
            <w:r>
              <w:rPr>
                <w:b w:val="0"/>
                <w:i w:val="0"/>
                <w:sz w:val="18"/>
              </w:rPr>
              <w:t>208</w:t>
            </w:r>
          </w:p>
        </w:tc>
        <w:tc>
          <w:tcPr>
            <w:tcW w:type="dxa" w:w="792"/>
          </w:tcPr>
          <w:p>
            <w:pPr>
              <w:spacing w:after="0" w:line="240" w:lineRule="auto"/>
              <w:jc w:val="center"/>
            </w:pPr>
            <w:r/>
            <w:r>
              <w:rPr>
                <w:b w:val="0"/>
                <w:i w:val="0"/>
                <w:sz w:val="18"/>
              </w:rPr>
              <w:t>2.32</w:t>
            </w:r>
          </w:p>
        </w:tc>
        <w:tc>
          <w:tcPr>
            <w:tcW w:type="dxa" w:w="792"/>
          </w:tcPr>
          <w:p>
            <w:pPr>
              <w:spacing w:after="0" w:line="240" w:lineRule="auto"/>
              <w:jc w:val="center"/>
            </w:pPr>
            <w:r/>
            <w:r>
              <w:rPr>
                <w:b w:val="0"/>
                <w:i w:val="0"/>
                <w:sz w:val="18"/>
              </w:rPr>
              <w:t>0.51</w:t>
            </w:r>
          </w:p>
        </w:tc>
        <w:tc>
          <w:tcPr>
            <w:tcW w:type="dxa" w:w="1152"/>
          </w:tcPr>
          <w:p>
            <w:pPr>
              <w:spacing w:after="0" w:line="240" w:lineRule="auto"/>
              <w:jc w:val="center"/>
            </w:pPr>
            <w:r/>
            <w:r>
              <w:rPr>
                <w:b w:val="0"/>
                <w:i w:val="0"/>
                <w:sz w:val="18"/>
              </w:rPr>
              <w:t>1.37</w:t>
            </w:r>
          </w:p>
        </w:tc>
        <w:tc>
          <w:tcPr>
            <w:tcW w:type="dxa" w:w="1512"/>
          </w:tcPr>
          <w:p>
            <w:pPr>
              <w:spacing w:after="0" w:line="240" w:lineRule="auto"/>
              <w:jc w:val="center"/>
            </w:pPr>
            <w:r/>
            <w:r>
              <w:rPr>
                <w:b/>
                <w:i w:val="0"/>
                <w:sz w:val="18"/>
              </w:rPr>
              <w:t>4.20</w:t>
            </w:r>
          </w:p>
        </w:tc>
      </w:tr>
      <w:tr>
        <w:trPr>
          <w:cantSplit w:val="true"/>
        </w:trPr>
        <w:tc>
          <w:tcPr>
            <w:tcW w:type="dxa" w:w="4320"/>
          </w:tcPr>
          <w:p>
            <w:pPr>
              <w:spacing w:after="0" w:line="240" w:lineRule="auto"/>
            </w:pPr>
            <w:r/>
            <w:r>
              <w:rPr>
                <w:b w:val="0"/>
                <w:i w:val="0"/>
                <w:sz w:val="18"/>
              </w:rPr>
              <w:t>L-4 trees; 4,200 sf play-area turf (Phase 1/2 model), rest drip</w:t>
            </w:r>
          </w:p>
        </w:tc>
        <w:tc>
          <w:tcPr>
            <w:tcW w:type="dxa" w:w="1080"/>
          </w:tcPr>
          <w:p>
            <w:pPr>
              <w:spacing w:after="0" w:line="240" w:lineRule="auto"/>
              <w:jc w:val="center"/>
            </w:pPr>
            <w:r/>
            <w:r>
              <w:rPr>
                <w:b w:val="0"/>
                <w:i w:val="0"/>
                <w:sz w:val="18"/>
              </w:rPr>
              <w:t>208</w:t>
            </w:r>
          </w:p>
        </w:tc>
        <w:tc>
          <w:tcPr>
            <w:tcW w:type="dxa" w:w="792"/>
          </w:tcPr>
          <w:p>
            <w:pPr>
              <w:spacing w:after="0" w:line="240" w:lineRule="auto"/>
              <w:jc w:val="center"/>
            </w:pPr>
            <w:r/>
            <w:r>
              <w:rPr>
                <w:b w:val="0"/>
                <w:i w:val="0"/>
                <w:sz w:val="18"/>
              </w:rPr>
              <w:t>0.53</w:t>
            </w:r>
          </w:p>
        </w:tc>
        <w:tc>
          <w:tcPr>
            <w:tcW w:type="dxa" w:w="792"/>
          </w:tcPr>
          <w:p>
            <w:pPr>
              <w:spacing w:after="0" w:line="240" w:lineRule="auto"/>
              <w:jc w:val="center"/>
            </w:pPr>
            <w:r/>
            <w:r>
              <w:rPr>
                <w:b w:val="0"/>
                <w:i w:val="0"/>
                <w:sz w:val="18"/>
              </w:rPr>
              <w:t>0.84</w:t>
            </w:r>
          </w:p>
        </w:tc>
        <w:tc>
          <w:tcPr>
            <w:tcW w:type="dxa" w:w="1152"/>
          </w:tcPr>
          <w:p>
            <w:pPr>
              <w:spacing w:after="0" w:line="240" w:lineRule="auto"/>
              <w:jc w:val="center"/>
            </w:pPr>
            <w:r/>
            <w:r>
              <w:rPr>
                <w:b w:val="0"/>
                <w:i w:val="0"/>
                <w:sz w:val="18"/>
              </w:rPr>
              <w:t>1.37</w:t>
            </w:r>
          </w:p>
        </w:tc>
        <w:tc>
          <w:tcPr>
            <w:tcW w:type="dxa" w:w="1512"/>
          </w:tcPr>
          <w:p>
            <w:pPr>
              <w:spacing w:after="0" w:line="240" w:lineRule="auto"/>
              <w:jc w:val="center"/>
            </w:pPr>
            <w:r/>
            <w:r>
              <w:rPr>
                <w:b/>
                <w:i w:val="0"/>
                <w:sz w:val="18"/>
              </w:rPr>
              <w:t>2.74</w:t>
            </w:r>
          </w:p>
        </w:tc>
      </w:tr>
      <w:tr>
        <w:trPr>
          <w:cantSplit w:val="true"/>
        </w:trPr>
        <w:tc>
          <w:tcPr>
            <w:tcW w:type="dxa" w:w="4320"/>
          </w:tcPr>
          <w:p>
            <w:pPr>
              <w:spacing w:after="0" w:line="240" w:lineRule="auto"/>
            </w:pPr>
            <w:r/>
            <w:r>
              <w:rPr>
                <w:b w:val="0"/>
                <w:i w:val="0"/>
                <w:sz w:val="18"/>
              </w:rPr>
              <w:t>L-4 trees; all turf converted to drip</w:t>
            </w:r>
          </w:p>
        </w:tc>
        <w:tc>
          <w:tcPr>
            <w:tcW w:type="dxa" w:w="1080"/>
          </w:tcPr>
          <w:p>
            <w:pPr>
              <w:spacing w:after="0" w:line="240" w:lineRule="auto"/>
              <w:jc w:val="center"/>
            </w:pPr>
            <w:r/>
            <w:r>
              <w:rPr>
                <w:b w:val="0"/>
                <w:i w:val="0"/>
                <w:sz w:val="18"/>
              </w:rPr>
              <w:t>208</w:t>
            </w:r>
          </w:p>
        </w:tc>
        <w:tc>
          <w:tcPr>
            <w:tcW w:type="dxa" w:w="792"/>
          </w:tcPr>
          <w:p>
            <w:pPr>
              <w:spacing w:after="0" w:line="240" w:lineRule="auto"/>
              <w:jc w:val="center"/>
            </w:pPr>
            <w:r/>
            <w:r>
              <w:rPr>
                <w:b w:val="0"/>
                <w:i w:val="0"/>
                <w:sz w:val="18"/>
              </w:rPr>
              <w:t>—</w:t>
            </w:r>
          </w:p>
        </w:tc>
        <w:tc>
          <w:tcPr>
            <w:tcW w:type="dxa" w:w="792"/>
          </w:tcPr>
          <w:p>
            <w:pPr>
              <w:spacing w:after="0" w:line="240" w:lineRule="auto"/>
              <w:jc w:val="center"/>
            </w:pPr>
            <w:r/>
            <w:r>
              <w:rPr>
                <w:b w:val="0"/>
                <w:i w:val="0"/>
                <w:sz w:val="18"/>
              </w:rPr>
              <w:t>0.93</w:t>
            </w:r>
          </w:p>
        </w:tc>
        <w:tc>
          <w:tcPr>
            <w:tcW w:type="dxa" w:w="1152"/>
          </w:tcPr>
          <w:p>
            <w:pPr>
              <w:spacing w:after="0" w:line="240" w:lineRule="auto"/>
              <w:jc w:val="center"/>
            </w:pPr>
            <w:r/>
            <w:r>
              <w:rPr>
                <w:b w:val="0"/>
                <w:i w:val="0"/>
                <w:sz w:val="18"/>
              </w:rPr>
              <w:t>1.37</w:t>
            </w:r>
          </w:p>
        </w:tc>
        <w:tc>
          <w:tcPr>
            <w:tcW w:type="dxa" w:w="1512"/>
          </w:tcPr>
          <w:p>
            <w:pPr>
              <w:spacing w:after="0" w:line="240" w:lineRule="auto"/>
              <w:jc w:val="center"/>
            </w:pPr>
            <w:r/>
            <w:r>
              <w:rPr>
                <w:b/>
                <w:i w:val="0"/>
                <w:sz w:val="18"/>
              </w:rPr>
              <w:t>2.30</w:t>
            </w:r>
          </w:p>
        </w:tc>
      </w:tr>
    </w:tbl>
    <w:p>
      <w:pPr>
        <w:spacing w:after="80" w:before="40"/>
      </w:pPr>
      <w:r>
        <w:rPr>
          <w:b w:val="0"/>
          <w:i/>
          <w:sz w:val="16"/>
        </w:rPr>
        <w:t>Rates per Ocotillo’s 08/15/2026 worksheet: spray turf 5.5 ft/yr; drip 1.0 ft/yr; 2,000 gal/tree/yr. Tree totals include 6 entry and 10 park trees. Conversion rows assume the converted area is fully drip-planted (upper bound).</w:t>
      </w:r>
    </w:p>
    <w:p>
      <w:pPr>
        <w:keepNext/>
        <w:spacing w:after="40" w:before="0"/>
      </w:pPr>
      <w:r>
        <w:rPr>
          <w:b w:val="0"/>
          <w:i w:val="0"/>
        </w:rPr>
        <w:t>So there is no single number to put “behind” the tree count until the park is set. On the turf question, three sources point the same way:</w:t>
      </w:r>
    </w:p>
    <w:p>
      <w:pPr>
        <w:pStyle w:val="ListBullet"/>
        <w:spacing w:after="40"/>
      </w:pPr>
      <w:r>
        <w:rPr>
          <w:b w:val="0"/>
          <w:i w:val="0"/>
        </w:rPr>
        <w:t>Yeoman’s comment L-3 asks for functional-turf classification of all common-area turf.</w:t>
      </w:r>
    </w:p>
    <w:p>
      <w:pPr>
        <w:pStyle w:val="ListBullet"/>
        <w:spacing w:after="40"/>
      </w:pPr>
      <w:r>
        <w:rPr>
          <w:b w:val="0"/>
          <w:i w:val="0"/>
        </w:rPr>
        <w:t>SNWA Bulletin WRC-2024-07 says the single-family carve-out is lot-based. HOA park parcels are covered whatever the zoning.</w:t>
      </w:r>
    </w:p>
    <w:p>
      <w:pPr>
        <w:pStyle w:val="ListBullet"/>
        <w:spacing w:after="40"/>
      </w:pPr>
      <w:r>
        <w:rPr>
          <w:b w:val="0"/>
          <w:i w:val="0"/>
        </w:rPr>
        <w:t>The County’s March 2025 canopy guidance expects HOA park turf to meet a functional (playground or athletic) definition. Since the VE cut, the 18,400 sf lawn has no play equipment.</w:t>
      </w:r>
    </w:p>
    <w:p>
      <w:pPr>
        <w:spacing w:after="80" w:before="40"/>
      </w:pPr>
      <w:r>
        <w:rPr>
          <w:b w:val="0"/>
          <w:i w:val="0"/>
        </w:rPr>
        <w:t>This is a legal question, and I am not offering an opinion on it. Please ask Adrienne Vogel to address the bulletin’s lot-based language directly, because a demand figure built on the lawn as drawn is likely to come back. A Phase 1/2-style play area comes closest to the approved park and to the HOA’s request, but it adds cost. That decision is yours, under L-2/L-3. If the lawn stays, demand rises 28%. We should then confirm that the 07/22/2026 LVVWD will-serve still covers it, since it covers the common-area demand “indicated in the developer’s submittal.”</w:t>
      </w:r>
    </w:p>
    <w:p>
      <w:pPr>
        <w:keepNext/>
        <w:spacing w:after="40" w:before="80"/>
      </w:pPr>
      <w:r>
        <w:rPr>
          <w:b/>
          <w:i w:val="0"/>
        </w:rPr>
        <w:t xml:space="preserve">3.3  The 150 added trees have to physically fit. </w:t>
      </w:r>
    </w:p>
    <w:p>
      <w:pPr>
        <w:keepNext/>
        <w:spacing w:after="40" w:before="0"/>
      </w:pPr>
      <w:r>
        <w:rPr>
          <w:b w:val="0"/>
          <w:i w:val="0"/>
        </w:rPr>
        <w:t>At 20 ft on center, 4,160 lf holds exactly 208 trees. Every station lost to a sight triangle, hydrant, inlet or easement has to be made up elsewhere on the same frontage.</w:t>
      </w:r>
    </w:p>
    <w:p>
      <w:pPr>
        <w:pStyle w:val="ListBullet"/>
        <w:spacing w:after="40"/>
      </w:pPr>
      <w:r>
        <w:rPr>
          <w:b w:val="0"/>
          <w:i w:val="0"/>
        </w:rPr>
        <w:t>TM Condition 6 requires sight-visibility triangles on the landscape plans at every intersection and driveway. The traffic study requires one at Desert Sage Pkwy./Windmill Ln.</w:t>
      </w:r>
    </w:p>
    <w:p>
      <w:pPr>
        <w:pStyle w:val="ListBullet"/>
        <w:spacing w:after="40"/>
      </w:pPr>
      <w:r>
        <w:rPr>
          <w:b w:val="0"/>
          <w:i w:val="0"/>
        </w:rPr>
        <w:t>Our own notes (L-1 Note 12; L-2) bar trees in utility easements without written utility consent. The easements include:</w:t>
      </w:r>
    </w:p>
    <w:p>
      <w:pPr>
        <w:spacing w:after="20"/>
        <w:ind w:left="792" w:hanging="216"/>
      </w:pPr>
      <w:r>
        <w:rPr>
          <w:b w:val="0"/>
          <w:i w:val="0"/>
        </w:rPr>
        <w:t xml:space="preserve">– </w:t>
      </w:r>
      <w:r>
        <w:rPr>
          <w:b w:val="0"/>
          <w:i w:val="0"/>
        </w:rPr>
        <w:t>NV Energy’s easement over the westerly 10 ft, on the Rainbow side (title exception 7);</w:t>
      </w:r>
    </w:p>
    <w:p>
      <w:pPr>
        <w:spacing w:after="20"/>
        <w:ind w:left="792" w:hanging="216"/>
      </w:pPr>
      <w:r>
        <w:rPr>
          <w:b w:val="0"/>
          <w:i w:val="0"/>
        </w:rPr>
        <w:t xml:space="preserve">– </w:t>
      </w:r>
      <w:r>
        <w:rPr>
          <w:b w:val="0"/>
          <w:i w:val="0"/>
        </w:rPr>
        <w:t>the 10-ft P.U.E. across all lot frontages on our final map;</w:t>
      </w:r>
    </w:p>
    <w:p>
      <w:pPr>
        <w:spacing w:after="20"/>
        <w:ind w:left="792" w:hanging="216"/>
      </w:pPr>
      <w:r>
        <w:rPr>
          <w:b w:val="0"/>
          <w:i w:val="0"/>
        </w:rPr>
        <w:t xml:space="preserve">– </w:t>
      </w:r>
      <w:r>
        <w:rPr>
          <w:b w:val="0"/>
          <w:i w:val="0"/>
        </w:rPr>
        <w:t>joint-trench lateral JT-B along the east side of Desert Sage Pkwy.;</w:t>
      </w:r>
    </w:p>
    <w:p>
      <w:pPr>
        <w:spacing w:after="20"/>
        <w:ind w:left="792" w:hanging="216"/>
      </w:pPr>
      <w:r>
        <w:rPr>
          <w:b w:val="0"/>
          <w:i w:val="0"/>
        </w:rPr>
        <w:t xml:space="preserve">– </w:t>
      </w:r>
      <w:r>
        <w:rPr>
          <w:b w:val="0"/>
          <w:i w:val="0"/>
        </w:rPr>
        <w:t>an unplotted 1989 LVVWD transmission easement (exception 8); and</w:t>
      </w:r>
    </w:p>
    <w:p>
      <w:pPr>
        <w:spacing w:after="20"/>
        <w:ind w:left="792" w:hanging="216"/>
      </w:pPr>
      <w:r>
        <w:rPr>
          <w:b w:val="0"/>
          <w:i w:val="0"/>
        </w:rPr>
        <w:t xml:space="preserve">– </w:t>
      </w:r>
      <w:r>
        <w:rPr>
          <w:b w:val="0"/>
          <w:i w:val="0"/>
        </w:rPr>
        <w:t>the Southwest Gas regulator-station easement at the northwest corner, on Rainbow.</w:t>
      </w:r>
    </w:p>
    <w:p>
      <w:pPr>
        <w:pStyle w:val="ListBullet"/>
        <w:spacing w:after="40"/>
      </w:pPr>
      <w:r>
        <w:rPr>
          <w:b w:val="0"/>
          <w:i w:val="0"/>
        </w:rPr>
        <w:t>Our Phase 3 CAD base, which Ocotillo draws on, still carries easements from the 2022 tentative-map exhibit. That exhibit omits easements created by later maps, so the survey base update (M-2/M-4) comes first. The landscape sheets also need re-basing on the civil set. Sheet L-4 places the entry at Rainbow Blvd., but FA-1 and the traffic study show the only permanent connection at Desert Sage Pkwy./Windmill Ln.</w:t>
      </w:r>
    </w:p>
    <w:p>
      <w:pPr>
        <w:spacing w:after="80" w:before="40"/>
      </w:pPr>
      <w:r>
        <w:rPr>
          <w:b w:val="0"/>
          <w:i w:val="0"/>
        </w:rPr>
        <w:t>If the count will not fit, there are two remedies: written consent from each easement holder (NV Energy, Southwest Gas, CenturyLink, Cox, and LVVWD where applicable), or a discretionary Alternative Standards approval from Planning under sec. 30.64.050. Neither can happen by 11/30. Ocotillo will also run the County’s 30% shade-coverage check now. L-4 does not ask for it, but staff apply it, and a shortfall would mean more or larger trees.</w:t>
      </w:r>
    </w:p>
    <w:p>
      <w:pPr>
        <w:keepNext/>
        <w:spacing w:after="40" w:before="80"/>
      </w:pPr>
      <w:r>
        <w:rPr>
          <w:b/>
          <w:i w:val="0"/>
        </w:rPr>
        <w:t xml:space="preserve">3.4  Confirm the frontage before we lock the count. </w:t>
      </w:r>
    </w:p>
    <w:p>
      <w:pPr>
        <w:spacing w:after="80" w:before="0"/>
      </w:pPr>
      <w:r>
        <w:rPr>
          <w:b w:val="0"/>
          <w:i w:val="0"/>
        </w:rPr>
        <w:t>The County’s 208 is our own 4,160 lf divided by 20, and its guidance says staff verify footage against the map along each property line. On our civil control, Rainbow scales at about 665 ft (we counted 420) and Windmill at about 2,640 ft (we counted 2,560). Measured that way, about 225 trees are required. We also excluded interior-street frontage as “owner-planted.” Callaway’s recorded CC&amp;Rs, however, contemplate HOA streetscape with street trees along Phase 3 interior streets (Exhibit B, Parcel S-4). If staff count those streets, the requirement rises by several hundred trees. Marcus Halvorsen will certify the lengths from the map geometry. I will then put our basis and exclusions to Yeoman and confirm in writing; his letter invites that call. Better to settle this now than in round two.</w:t>
      </w:r>
    </w:p>
    <w:p>
      <w:pPr>
        <w:keepNext/>
        <w:spacing w:before="160" w:after="60"/>
      </w:pPr>
      <w:r>
        <w:rPr>
          <w:b/>
          <w:color w:val="1F3A5F"/>
          <w:sz w:val="23"/>
        </w:rPr>
        <w:t>4.  Why 11/30 is the outside date, not the target</w:t>
      </w:r>
    </w:p>
    <w:p>
      <w:pPr>
        <w:pStyle w:val="ListBullet"/>
        <w:spacing w:after="40"/>
      </w:pPr>
      <w:r>
        <w:rPr>
          <w:b/>
          <w:i w:val="0"/>
        </w:rPr>
        <w:t xml:space="preserve">The deadline behind 12/18. </w:t>
      </w:r>
      <w:r>
        <w:rPr>
          <w:b w:val="0"/>
          <w:i w:val="0"/>
        </w:rPr>
        <w:t xml:space="preserve">NRS 278.360, as quoted in the TM approval, gives each successive final map two years from the previous map’s recording. Phases 1–2 recorded 12/23/2024, so our working deadline is </w:t>
      </w:r>
      <w:r>
        <w:rPr>
          <w:b/>
          <w:i w:val="0"/>
        </w:rPr>
        <w:t>12/23/2026</w:t>
      </w:r>
      <w:r>
        <w:rPr>
          <w:b w:val="0"/>
          <w:i w:val="0"/>
        </w:rPr>
        <w:t>. On 10/16 Planning asked for the recording particulars in writing before it confirms on letterhead, and I am sending them Monday. Please disregard the 2028 date in the title officer’s 10/26 email. It applies the first-map clock to a successive map. Planning’s 12/30/2024 letter says an extension can be sought only after a deadline has passed, and granting it is discretionary.</w:t>
      </w:r>
    </w:p>
    <w:p>
      <w:pPr>
        <w:pStyle w:val="ListBullet"/>
        <w:spacing w:after="40"/>
      </w:pPr>
      <w:r>
        <w:rPr>
          <w:b/>
          <w:i w:val="0"/>
        </w:rPr>
        <w:t xml:space="preserve">The review clock. </w:t>
      </w:r>
      <w:r>
        <w:rPr>
          <w:b w:val="0"/>
          <w:i w:val="0"/>
        </w:rPr>
        <w:t>An 11/30 resubmittal leaves the County 14 business days to 12/18. Yeoman quotes 20 for second round (ending 12/29), and Phase 2’s second round took 37 calendar days. 11/18 is the last date that gives the County its standard 20 business days before 12/18.</w:t>
      </w:r>
    </w:p>
    <w:p>
      <w:pPr>
        <w:pStyle w:val="ListBullet"/>
        <w:spacing w:after="40"/>
      </w:pPr>
      <w:r>
        <w:rPr>
          <w:b/>
          <w:i w:val="0"/>
        </w:rPr>
        <w:t xml:space="preserve">Plan. </w:t>
      </w:r>
      <w:r>
        <w:rPr>
          <w:b w:val="0"/>
          <w:i w:val="0"/>
        </w:rPr>
        <w:t>Lock the landscape set on 11/13 and finish QC by 11/18. The tracker’s 11/22 internal target falls on a Sunday and leaves about three working days for QC around Thanksgiving. I will also ask Yeoman for priority review given the statutory date.</w:t>
      </w:r>
    </w:p>
    <w:p>
      <w:pPr>
        <w:keepNext/>
        <w:spacing w:before="160" w:after="60"/>
      </w:pPr>
      <w:r>
        <w:rPr>
          <w:b/>
          <w:color w:val="1F3A5F"/>
          <w:sz w:val="23"/>
        </w:rPr>
        <w:t>5.  Cost and bond</w:t>
      </w:r>
    </w:p>
    <w:p>
      <w:pPr>
        <w:spacing w:after="80" w:before="0"/>
      </w:pPr>
      <w:r>
        <w:rPr>
          <w:b w:val="0"/>
          <w:i w:val="0"/>
        </w:rPr>
        <w:t xml:space="preserve">150 added 24-inch box trees ($485, County schedule item 7.09) plus drip assemblies ($12.50, item 7.42) add </w:t>
      </w:r>
      <w:r>
        <w:rPr>
          <w:b/>
          <w:i w:val="0"/>
        </w:rPr>
        <w:t>$74,625</w:t>
      </w:r>
      <w:r>
        <w:rPr>
          <w:b w:val="0"/>
          <w:i w:val="0"/>
        </w:rPr>
        <w:t xml:space="preserve">. That moves the engineer’s estimate from $5,357,000 to about </w:t>
      </w:r>
      <w:r>
        <w:rPr>
          <w:b/>
          <w:i w:val="0"/>
        </w:rPr>
        <w:t>$5,432,000</w:t>
      </w:r>
      <w:r>
        <w:rPr>
          <w:b w:val="0"/>
          <w:i w:val="0"/>
        </w:rPr>
        <w:t>. Please don’t treat $5,357,000 as final with the surety broker. A re-sealed Rev. 1 goes in with the resubmittal, as Advisory A-6 asks. The park decision will move the figure again. The estimate carries the lawn as “functional turf,” and the County schedule does not allow nonfunctional turf to be bonded.</w:t>
      </w:r>
    </w:p>
    <w:p>
      <w:pPr>
        <w:keepNext/>
        <w:spacing w:before="160" w:after="60"/>
      </w:pPr>
      <w:r>
        <w:rPr>
          <w:b/>
          <w:color w:val="1F3A5F"/>
          <w:sz w:val="23"/>
        </w:rPr>
        <w:t>6.  What I need from you</w:t>
      </w:r>
    </w:p>
    <w:p>
      <w:pPr>
        <w:spacing w:after="40"/>
        <w:ind w:left="432" w:hanging="317"/>
      </w:pPr>
      <w:r>
        <w:rPr>
          <w:b/>
          <w:i w:val="0"/>
        </w:rPr>
        <w:t xml:space="preserve">1.  </w:t>
      </w:r>
      <w:r>
        <w:rPr>
          <w:b w:val="0"/>
          <w:i w:val="0"/>
        </w:rPr>
        <w:t>Your OK to request Planning’s written Condition 14 determination, by Monday 11/02. This is a staff letter, not a TAB item.</w:t>
      </w:r>
    </w:p>
    <w:p>
      <w:pPr>
        <w:spacing w:after="40"/>
        <w:ind w:left="432" w:hanging="317"/>
      </w:pPr>
      <w:r>
        <w:rPr>
          <w:b/>
          <w:i w:val="0"/>
        </w:rPr>
        <w:t xml:space="preserve">2.  </w:t>
      </w:r>
      <w:r>
        <w:rPr>
          <w:b w:val="0"/>
          <w:i w:val="0"/>
        </w:rPr>
        <w:t>Direction on the Parcel A park program by Friday 11/06.</w:t>
      </w:r>
    </w:p>
    <w:p>
      <w:pPr>
        <w:spacing w:after="40"/>
        <w:ind w:left="432" w:hanging="317"/>
      </w:pPr>
      <w:r>
        <w:rPr>
          <w:b/>
          <w:i w:val="0"/>
        </w:rPr>
        <w:t xml:space="preserve">3.  </w:t>
      </w:r>
      <w:r>
        <w:rPr>
          <w:b w:val="0"/>
          <w:i w:val="0"/>
        </w:rPr>
        <w:t>Agreement that L-4 stays within the 2022 species palette and goes in separately from any park redesign.</w:t>
      </w:r>
    </w:p>
    <w:p>
      <w:pPr>
        <w:spacing w:after="40"/>
        <w:ind w:left="432" w:hanging="317"/>
      </w:pPr>
      <w:r>
        <w:rPr>
          <w:b/>
          <w:i w:val="0"/>
        </w:rPr>
        <w:t xml:space="preserve">4.  </w:t>
      </w:r>
      <w:r>
        <w:rPr>
          <w:b w:val="0"/>
          <w:i w:val="0"/>
        </w:rPr>
        <w:t>No final bond figure to the surety broker until Rev. 1 is issued.</w:t>
      </w:r>
    </w:p>
    <w:p>
      <w:pPr>
        <w:keepNext/>
        <w:spacing w:after="40" w:before="80"/>
      </w:pPr>
      <w:r>
        <w:rPr>
          <w:b/>
          <w:i w:val="0"/>
        </w:rPr>
        <w:t xml:space="preserve">My commitment: </w:t>
      </w:r>
      <w:r>
        <w:rPr>
          <w:b w:val="0"/>
          <w:i w:val="0"/>
        </w:rPr>
        <w:t>if the Section 2 items close by 11/13, Sundial will deliver the L-4 response for an 11/30 resubmittal, and earlier if the rest of the package is ready. The response will include:</w:t>
      </w:r>
    </w:p>
    <w:p>
      <w:pPr>
        <w:pStyle w:val="ListBullet"/>
        <w:spacing w:after="40"/>
      </w:pPr>
      <w:r>
        <w:rPr>
          <w:b w:val="0"/>
          <w:i w:val="0"/>
        </w:rPr>
        <w:t>revised Sheets L-1 and L-2, with every tree, sight triangle and easement plotted;</w:t>
      </w:r>
    </w:p>
    <w:p>
      <w:pPr>
        <w:pStyle w:val="ListBullet"/>
        <w:spacing w:after="40"/>
      </w:pPr>
      <w:r>
        <w:rPr>
          <w:b w:val="0"/>
          <w:i w:val="0"/>
        </w:rPr>
        <w:t>the frontage tabulation and the shade-coverage exhibit;</w:t>
      </w:r>
    </w:p>
    <w:p>
      <w:pPr>
        <w:pStyle w:val="ListBullet"/>
        <w:spacing w:after="40"/>
      </w:pPr>
      <w:r>
        <w:rPr>
          <w:b w:val="0"/>
          <w:i w:val="0"/>
        </w:rPr>
        <w:t>a reconciled irrigation worksheet, water budget and planting tabulation;</w:t>
      </w:r>
    </w:p>
    <w:p>
      <w:pPr>
        <w:pStyle w:val="ListBullet"/>
        <w:spacing w:after="40"/>
      </w:pPr>
      <w:r>
        <w:rPr>
          <w:b w:val="0"/>
          <w:i w:val="0"/>
        </w:rPr>
        <w:t>the revised estimate; and</w:t>
      </w:r>
    </w:p>
    <w:p>
      <w:pPr>
        <w:pStyle w:val="ListBullet"/>
        <w:spacing w:after="40"/>
      </w:pPr>
      <w:r>
        <w:rPr>
          <w:b w:val="0"/>
          <w:i w:val="0"/>
        </w:rPr>
        <w:t>all L-sheets sealed.</w:t>
      </w:r>
    </w:p>
    <w:p>
      <w:pPr>
        <w:spacing w:after="80" w:before="60"/>
      </w:pPr>
      <w:r>
        <w:rPr>
          <w:b w:val="0"/>
          <w:i w:val="0"/>
        </w:rPr>
        <w:t>This memo covers L-4 only. The package date also depends on items outside landscape. The most immediate are the CCWRD sewer capacity confirmation (it expired 09/30/2026, and reissuing it requires re-review) and F-1, the permanent second access. I will address those separately and call you Monday to walk through this memo.</w:t>
      </w:r>
    </w:p>
    <w:p>
      <w:pPr>
        <w:spacing w:after="0" w:before="200"/>
      </w:pPr>
      <w:r>
        <w:rPr>
          <w:b w:val="0"/>
          <w:i w:val="0"/>
        </w:rPr>
      </w:r>
    </w:p>
    <w:p>
      <w:pPr>
        <w:keepNext/>
        <w:spacing w:after="0" w:before="0"/>
      </w:pPr>
      <w:r>
        <w:rPr>
          <w:b w:val="0"/>
          <w:i w:val="0"/>
        </w:rPr>
        <w:t>______________________________</w:t>
      </w:r>
    </w:p>
    <w:p>
      <w:pPr>
        <w:keepNext/>
        <w:spacing w:after="0" w:before="0"/>
      </w:pPr>
      <w:r>
        <w:rPr>
          <w:b/>
          <w:i w:val="0"/>
        </w:rPr>
        <w:t>Max Braddock</w:t>
      </w:r>
    </w:p>
    <w:p>
      <w:pPr>
        <w:keepNext/>
        <w:spacing w:after="0" w:before="0"/>
      </w:pPr>
      <w:r>
        <w:rPr>
          <w:b w:val="0"/>
          <w:i w:val="0"/>
        </w:rPr>
        <w:t>Project Manager, Sundial Engineering &amp; Survey</w:t>
      </w:r>
    </w:p>
    <w:p>
      <w:pPr>
        <w:spacing w:after="0" w:before="0"/>
      </w:pPr>
      <w:r>
        <w:rPr>
          <w:b w:val="0"/>
          <w:i w:val="0"/>
        </w:rPr>
        <w:t>mbraddock@sundialensv.com  ·  (702) 555-0144</w:t>
      </w:r>
    </w:p>
    <w:sectPr w:rsidR="00FC693F" w:rsidRPr="0006063C" w:rsidSect="00034616">
      <w:footerReference w:type="default" r:id="rId9"/>
      <w:pgSz w:w="12240" w:h="15840"/>
      <w:pgMar w:top="1080" w:right="1296" w:bottom="1008"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Sundial Engineering &amp; Survey  ·  Desert Sage Ranch Phase 3, Job No. 2201-03  ·  Memo re: Comment L-4  ·  Page </w:t>
    </w:r>
    <w:r>
      <w:rPr>
        <w:color w:val="555555"/>
        <w:sz w:val="16"/>
      </w:rPr>
      <w:fldChar w:fldCharType="begin"/>
      <w:instrText xml:space="preserve">PAGE</w:instrText>
      <w:fldChar w:fldCharType="separate"/>
      <w:t>1</w:t>
      <w:fldChar w:fldCharType="end"/>
    </w:r>
    <w:r>
      <w:rPr>
        <w:color w:val="555555"/>
        <w:sz w:val="16"/>
      </w:rPr>
      <w:t xml:space="preserve"> of </w:t>
    </w:r>
    <w:r>
      <w:rPr>
        <w:color w:val="555555"/>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