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Bdr>
          <w:bottom w:val="single" w:sz="12" w:space="6" w:color="0E2A47"/>
        </w:pBdr>
      </w:pPr>
      <w:r>
        <w:rPr>
          <w:b/>
          <w:i w:val="0"/>
          <w:color w:val="0E2A47"/>
          <w:sz w:val="19"/>
        </w:rPr>
        <w:t>THE CFD ME   |   Tucson, Arizona   |   CFDME-2025-041   |   Resolution note rev A</w:t>
      </w:r>
    </w:p>
    <w:p>
      <w:pPr>
        <w:spacing w:after="120"/>
        <w:jc w:val="center"/>
      </w:pPr>
      <w:r>
        <w:rPr>
          <w:rFonts w:ascii="Trebuchet MS" w:hAnsi="Trebuchet MS" w:eastAsia="Trebuchet MS"/>
          <w:b/>
          <w:i w:val="0"/>
          <w:color w:val="0E2A47"/>
          <w:sz w:val="30"/>
        </w:rPr>
        <w:t>NOTE — CHECKLIST ITEM 4: LES RESOLUTION BASIS</w:t>
      </w:r>
    </w:p>
    <w:tbl>
      <w:tblPr>
        <w:tblW w:type="dxa" w:w="9648"/>
        <w:jc w:val="center"/>
        <w:tblLayout w:type="fixed"/>
        <w:tblLook w:firstColumn="1" w:firstRow="1" w:lastColumn="0" w:lastRow="0" w:noHBand="0" w:noVBand="1" w:val="04A0"/>
        <w:tblBorders>
          <w:top w:val="single" w:sz="6" w:space="0" w:color="CBD5E1"/>
          <w:bottom w:val="single" w:sz="6" w:space="0" w:color="CBD5E1"/>
          <w:insideH w:val="single" w:sz="4" w:space="0" w:color="CBD5E1"/>
          <w:left w:val="nil"/>
          <w:right w:val="nil"/>
          <w:insideV w:val="nil"/>
        </w:tblBorders>
        <w:tblLayout w:type="fixed"/>
      </w:tblPr>
      <w:tblGrid>
        <w:gridCol w:w="1440"/>
        <w:gridCol w:w="8208"/>
      </w:tblGrid>
      <w:tr>
        <w:trPr>
          <w:cantSplit/>
        </w:trPr>
        <w:tc>
          <w:tcPr>
            <w:tcW w:type="dxa" w:w="1440"/>
            <w:shd w:val="clear" w:color="auto" w:fill="F8FAFC"/>
            <w:tcMar>
              <w:top w:w="60" w:type="dxa"/>
              <w:bottom w:w="60" w:type="dxa"/>
              <w:left w:w="110" w:type="dxa"/>
              <w:right w:w="110" w:type="dxa"/>
            </w:tcMar>
          </w:tcPr>
          <w:p>
            <w:pPr>
              <w:spacing w:after="0" w:line="252" w:lineRule="auto"/>
            </w:pPr>
            <w:r/>
            <w:r>
              <w:rPr>
                <w:b/>
                <w:i w:val="0"/>
                <w:color w:val="0E2A47"/>
                <w:sz w:val="19"/>
              </w:rPr>
              <w:t>To:</w:t>
            </w:r>
          </w:p>
        </w:tc>
        <w:tc>
          <w:tcPr>
            <w:tcW w:type="dxa" w:w="8208"/>
            <w:shd w:val="clear" w:color="auto" w:fill="F8FAFC"/>
            <w:tcMar>
              <w:top w:w="60" w:type="dxa"/>
              <w:bottom w:w="60" w:type="dxa"/>
              <w:left w:w="110" w:type="dxa"/>
              <w:right w:w="110" w:type="dxa"/>
            </w:tcMar>
          </w:tcPr>
          <w:p>
            <w:pPr>
              <w:spacing w:after="0" w:line="252" w:lineRule="auto"/>
            </w:pPr>
            <w:r/>
            <w:r>
              <w:rPr>
                <w:b w:val="0"/>
                <w:i w:val="0"/>
                <w:sz w:val="19"/>
              </w:rPr>
              <w:t>Marguerite Falk, PE — Technical Director &amp; Reviewing Engineer</w:t>
            </w:r>
          </w:p>
        </w:tc>
      </w:tr>
      <w:tr>
        <w:trPr>
          <w:cantSplit/>
        </w:trPr>
        <w:tc>
          <w:tcPr>
            <w:tcW w:type="dxa" w:w="1440"/>
            <w:shd w:val="clear" w:color="auto" w:fill="F8FAFC"/>
            <w:tcMar>
              <w:top w:w="60" w:type="dxa"/>
              <w:bottom w:w="60" w:type="dxa"/>
              <w:left w:w="110" w:type="dxa"/>
              <w:right w:w="110" w:type="dxa"/>
            </w:tcMar>
          </w:tcPr>
          <w:p>
            <w:pPr>
              <w:spacing w:after="0" w:line="252" w:lineRule="auto"/>
            </w:pPr>
            <w:r/>
            <w:r>
              <w:rPr>
                <w:b/>
                <w:i w:val="0"/>
                <w:color w:val="0E2A47"/>
                <w:sz w:val="19"/>
              </w:rPr>
              <w:t>From:</w:t>
            </w:r>
          </w:p>
        </w:tc>
        <w:tc>
          <w:tcPr>
            <w:tcW w:type="dxa" w:w="8208"/>
            <w:shd w:val="clear" w:color="auto" w:fill="F8FAFC"/>
            <w:tcMar>
              <w:top w:w="60" w:type="dxa"/>
              <w:bottom w:w="60" w:type="dxa"/>
              <w:left w:w="110" w:type="dxa"/>
              <w:right w:w="110" w:type="dxa"/>
            </w:tcMar>
          </w:tcPr>
          <w:p>
            <w:pPr>
              <w:spacing w:after="0" w:line="252" w:lineRule="auto"/>
            </w:pPr>
            <w:r/>
            <w:r>
              <w:rPr>
                <w:b w:val="0"/>
                <w:i w:val="0"/>
                <w:sz w:val="19"/>
              </w:rPr>
              <w:t>______________________________</w:t>
            </w:r>
          </w:p>
        </w:tc>
      </w:tr>
      <w:tr>
        <w:trPr>
          <w:cantSplit/>
        </w:trPr>
        <w:tc>
          <w:tcPr>
            <w:tcW w:type="dxa" w:w="1440"/>
            <w:shd w:val="clear" w:color="auto" w:fill="F8FAFC"/>
            <w:tcMar>
              <w:top w:w="60" w:type="dxa"/>
              <w:bottom w:w="60" w:type="dxa"/>
              <w:left w:w="110" w:type="dxa"/>
              <w:right w:w="110" w:type="dxa"/>
            </w:tcMar>
          </w:tcPr>
          <w:p>
            <w:pPr>
              <w:spacing w:after="0" w:line="252" w:lineRule="auto"/>
            </w:pPr>
            <w:r/>
            <w:r>
              <w:rPr>
                <w:b/>
                <w:i w:val="0"/>
                <w:color w:val="0E2A47"/>
                <w:sz w:val="19"/>
              </w:rPr>
              <w:t>Date:</w:t>
            </w:r>
          </w:p>
        </w:tc>
        <w:tc>
          <w:tcPr>
            <w:tcW w:type="dxa" w:w="8208"/>
            <w:shd w:val="clear" w:color="auto" w:fill="F8FAFC"/>
            <w:tcMar>
              <w:top w:w="60" w:type="dxa"/>
              <w:bottom w:w="60" w:type="dxa"/>
              <w:left w:w="110" w:type="dxa"/>
              <w:right w:w="110" w:type="dxa"/>
            </w:tcMar>
          </w:tcPr>
          <w:p>
            <w:pPr>
              <w:spacing w:after="0" w:line="252" w:lineRule="auto"/>
            </w:pPr>
            <w:r/>
            <w:r>
              <w:rPr>
                <w:b w:val="0"/>
                <w:i w:val="0"/>
                <w:sz w:val="19"/>
              </w:rPr>
              <w:t>______________</w:t>
            </w:r>
          </w:p>
        </w:tc>
      </w:tr>
      <w:tr>
        <w:trPr>
          <w:cantSplit/>
        </w:trPr>
        <w:tc>
          <w:tcPr>
            <w:tcW w:type="dxa" w:w="1440"/>
            <w:shd w:val="clear" w:color="auto" w:fill="F8FAFC"/>
            <w:tcMar>
              <w:top w:w="60" w:type="dxa"/>
              <w:bottom w:w="60" w:type="dxa"/>
              <w:left w:w="110" w:type="dxa"/>
              <w:right w:w="110" w:type="dxa"/>
            </w:tcMar>
          </w:tcPr>
          <w:p>
            <w:pPr>
              <w:spacing w:after="0" w:line="252" w:lineRule="auto"/>
            </w:pPr>
            <w:r/>
            <w:r>
              <w:rPr>
                <w:b/>
                <w:i w:val="0"/>
                <w:color w:val="0E2A47"/>
                <w:sz w:val="19"/>
              </w:rPr>
              <w:t>Subject:</w:t>
            </w:r>
          </w:p>
        </w:tc>
        <w:tc>
          <w:tcPr>
            <w:tcW w:type="dxa" w:w="8208"/>
            <w:shd w:val="clear" w:color="auto" w:fill="F8FAFC"/>
            <w:tcMar>
              <w:top w:w="60" w:type="dxa"/>
              <w:bottom w:w="60" w:type="dxa"/>
              <w:left w:w="110" w:type="dxa"/>
              <w:right w:w="110" w:type="dxa"/>
            </w:tcMar>
          </w:tcPr>
          <w:p>
            <w:pPr>
              <w:spacing w:after="0" w:line="252" w:lineRule="auto"/>
            </w:pPr>
            <w:r/>
            <w:r>
              <w:rPr>
                <w:b w:val="0"/>
                <w:i w:val="0"/>
                <w:sz w:val="19"/>
              </w:rPr>
              <w:t>CFDME-2025-041 Phase 1 report rev B — peer-review checklist item 4 (D*/dx and Pope resolved-TKE)</w:t>
            </w:r>
          </w:p>
        </w:tc>
      </w:tr>
      <w:tr>
        <w:trPr>
          <w:cantSplit/>
        </w:trPr>
        <w:tc>
          <w:tcPr>
            <w:tcW w:type="dxa" w:w="1440"/>
            <w:shd w:val="clear" w:color="auto" w:fill="F8FAFC"/>
            <w:tcMar>
              <w:top w:w="60" w:type="dxa"/>
              <w:bottom w:w="60" w:type="dxa"/>
              <w:left w:w="110" w:type="dxa"/>
              <w:right w:w="110" w:type="dxa"/>
            </w:tcMar>
          </w:tcPr>
          <w:p>
            <w:pPr>
              <w:spacing w:after="0" w:line="252" w:lineRule="auto"/>
            </w:pPr>
            <w:r/>
            <w:r>
              <w:rPr>
                <w:b/>
                <w:i w:val="0"/>
                <w:color w:val="0E2A47"/>
                <w:sz w:val="19"/>
              </w:rPr>
              <w:t>Basis:</w:t>
            </w:r>
          </w:p>
        </w:tc>
        <w:tc>
          <w:tcPr>
            <w:tcW w:type="dxa" w:w="8208"/>
            <w:shd w:val="clear" w:color="auto" w:fill="F8FAFC"/>
            <w:tcMar>
              <w:top w:w="60" w:type="dxa"/>
              <w:bottom w:w="60" w:type="dxa"/>
              <w:left w:w="110" w:type="dxa"/>
              <w:right w:w="110" w:type="dxa"/>
            </w:tcMar>
          </w:tcPr>
          <w:p>
            <w:pPr>
              <w:spacing w:after="0" w:line="252" w:lineRule="auto"/>
            </w:pPr>
            <w:r/>
            <w:r>
              <w:rPr>
                <w:b w:val="0"/>
                <w:i w:val="0"/>
                <w:sz w:val="19"/>
              </w:rPr>
              <w:t>Project records (10/08–10/09/2025) and firm standards on the file server only; nothing new has been run. Governing standard: QA Verification Standard rev 3 (“QA VS”), §3, §5, §6.</w:t>
            </w:r>
          </w:p>
        </w:tc>
      </w:tr>
    </w:tbl>
    <w:p>
      <w:pPr>
        <w:keepNext/>
        <w:spacing w:before="160" w:after="60"/>
      </w:pPr>
      <w:r>
        <w:rPr>
          <w:rFonts w:ascii="Trebuchet MS" w:hAnsi="Trebuchet MS" w:eastAsia="Trebuchet MS"/>
          <w:b/>
          <w:i w:val="0"/>
          <w:color w:val="0E2A47"/>
          <w:sz w:val="24"/>
        </w:rPr>
        <w:t>Bottom line</w:t>
      </w:r>
    </w:p>
    <w:p>
      <w:pPr>
        <w:pStyle w:val="ListBullet"/>
        <w:spacing w:after="80"/>
      </w:pPr>
      <w:r>
        <w:rPr>
          <w:b/>
          <w:i w:val="0"/>
        </w:rPr>
        <w:t xml:space="preserve">Index: </w:t>
      </w:r>
      <w:r>
        <w:rPr>
          <w:b w:val="0"/>
          <w:i w:val="0"/>
        </w:rPr>
        <w:t>D*/dx ≈ 30 on the fine grid the report rests on: the fire-zone cell is 0.125 m and D* is 3.76 m as carried (3.74 m recomputed; 3.88 m at the site). The 5–10 band is not met. The index is about three times the upper limit, so the mesh is finer than the band, not coarser. Rev B’s 7.5 uses the 0.5 m background cell, which lies outside the fire-source refinement zone.</w:t>
      </w:r>
    </w:p>
    <w:p>
      <w:pPr>
        <w:pStyle w:val="ListBullet"/>
        <w:spacing w:after="80"/>
      </w:pPr>
      <w:r>
        <w:rPr>
          <w:b/>
          <w:i w:val="0"/>
        </w:rPr>
        <w:t xml:space="preserve">Acceptance: </w:t>
      </w:r>
      <w:r>
        <w:rPr>
          <w:b w:val="0"/>
          <w:i w:val="0"/>
        </w:rPr>
        <w:t>With D*/dx out of band, acceptance rests on the Pope criterion alone: 84 % at one probe, 4 percentage points over the 80 % threshold. Three rulings are Marguerite’s to make (Section 2).</w:t>
      </w:r>
    </w:p>
    <w:p>
      <w:pPr>
        <w:pStyle w:val="ListBullet"/>
        <w:spacing w:after="80"/>
      </w:pPr>
      <w:r>
        <w:rPr>
          <w:b/>
          <w:i w:val="0"/>
        </w:rPr>
        <w:t xml:space="preserve">Where the 84 % was taken: </w:t>
      </w:r>
      <w:r>
        <w:rPr>
          <w:b w:val="0"/>
          <w:i w:val="0"/>
        </w:rPr>
        <w:t>In the 0.125 m fire zone, not in the 0.5 m cells the reported 7.5 describes. Taken in the same region, the criteria read: Pope met, D*/dx above band.</w:t>
      </w:r>
    </w:p>
    <w:p>
      <w:pPr>
        <w:pStyle w:val="ListBullet"/>
        <w:spacing w:after="80"/>
      </w:pPr>
      <w:r>
        <w:rPr>
          <w:b/>
          <w:i w:val="0"/>
        </w:rPr>
        <w:t xml:space="preserve">Ambient: </w:t>
      </w:r>
      <w:r>
        <w:rPr>
          <w:b w:val="0"/>
          <w:i w:val="0"/>
        </w:rPr>
        <w:t>The values describe sea-level air at 20 °C, not the site. At about 750 m elevation D* is ≈3.6 % larger (3.88 m), and ambient temperature drops out. The index becomes ≈31, further from the band; no conclusion changes.</w:t>
      </w:r>
    </w:p>
    <w:p>
      <w:pPr>
        <w:pStyle w:val="ListBullet"/>
        <w:spacing w:after="80"/>
      </w:pPr>
      <w:r>
        <w:rPr>
          <w:b/>
          <w:i w:val="0"/>
        </w:rPr>
        <w:t xml:space="preserve">Item 4: </w:t>
      </w:r>
      <w:r>
        <w:rPr>
          <w:b w:val="0"/>
          <w:i w:val="0"/>
        </w:rPr>
        <w:t>Cannot close on the record as it stands. It can close without a new run, given a corrected Verification section, Marguerite’s rulings, and the output behind the 84 % placed on file (Section 5).</w:t>
      </w:r>
    </w:p>
    <w:p>
      <w:pPr>
        <w:keepNext/>
        <w:spacing w:before="160" w:after="60"/>
      </w:pPr>
      <w:r>
        <w:rPr>
          <w:rFonts w:ascii="Trebuchet MS" w:hAnsi="Trebuchet MS" w:eastAsia="Trebuchet MS"/>
          <w:b/>
          <w:i w:val="0"/>
          <w:color w:val="0E2A47"/>
          <w:sz w:val="24"/>
        </w:rPr>
        <w:t>1.  Where the plume resolution index lands</w:t>
      </w:r>
    </w:p>
    <w:p>
      <w:pPr>
        <w:keepNext/>
        <w:spacing w:after="100"/>
      </w:pPr>
      <w:r>
        <w:rPr>
          <w:b w:val="0"/>
          <w:i w:val="0"/>
        </w:rPr>
        <w:t>Rev B rests on the fine grid of the fluid-only three-grid study (11,196,000 cells). That grid is the §6.3 reporting grid and the source of both the §5.4 peaks and the 84 %. Its background cell is 0.5 m, and the fire-source refinement zone is two refinement levels finer (rev B §6.2; study header), so cells in the fire region are 0.5 m ÷ 4 = 0.125 m. checkMesh agrees: the smallest cell is 0.001936 m³ ≈ (0.125 m)³ and the largest is 0.1256 m³ ≈ (0.5 m)³.</w:t>
      </w:r>
    </w:p>
    <w:p>
      <w:pPr>
        <w:keepNext/>
        <w:spacing w:after="60"/>
      </w:pPr>
      <w:r>
        <w:rPr>
          <w:b/>
          <w:i w:val="0"/>
          <w:sz w:val="19"/>
        </w:rPr>
        <w:t>Table 1 — Plume resolution index, study fine grid</w:t>
      </w:r>
    </w:p>
    <w:tbl>
      <w:tblPr>
        <w:tblW w:type="dxa" w:w="9647"/>
        <w:jc w:val="center"/>
        <w:tblLayout w:type="fixed"/>
        <w:tblLook w:firstColumn="1" w:firstRow="1" w:lastColumn="0" w:lastRow="0" w:noHBand="0" w:noVBand="1" w:val="04A0"/>
        <w:tblBorders>
          <w:top w:val="single" w:sz="6" w:space="0" w:color="CBD5E1"/>
          <w:bottom w:val="single" w:sz="6" w:space="0" w:color="CBD5E1"/>
          <w:insideH w:val="single" w:sz="4" w:space="0" w:color="CBD5E1"/>
          <w:left w:val="nil"/>
          <w:right w:val="nil"/>
          <w:insideV w:val="nil"/>
        </w:tblBorders>
        <w:tblLayout w:type="fixed"/>
      </w:tblPr>
      <w:tblGrid>
        <w:gridCol w:w="4392"/>
        <w:gridCol w:w="1224"/>
        <w:gridCol w:w="2015"/>
        <w:gridCol w:w="2015"/>
      </w:tblGrid>
      <w:tr>
        <w:trPr>
          <w:cantSplit/>
        </w:trPr>
        <w:tc>
          <w:tcPr>
            <w:tcW w:type="dxa" w:w="4392"/>
            <w:shd w:val="clear" w:color="auto" w:fill="0E2A47"/>
            <w:tcMar>
              <w:top w:w="40" w:type="dxa"/>
              <w:bottom w:w="40" w:type="dxa"/>
              <w:left w:w="110" w:type="dxa"/>
              <w:right w:w="110" w:type="dxa"/>
            </w:tcMar>
          </w:tcPr>
          <w:p>
            <w:pPr>
              <w:keepNext/>
              <w:spacing w:after="0" w:line="252" w:lineRule="auto"/>
            </w:pPr>
            <w:r/>
            <w:r>
              <w:rPr>
                <w:b/>
                <w:i w:val="0"/>
                <w:color w:val="FFFFFF"/>
                <w:sz w:val="18"/>
              </w:rPr>
              <w:t>D* basis</w:t>
            </w:r>
          </w:p>
        </w:tc>
        <w:tc>
          <w:tcPr>
            <w:tcW w:type="dxa" w:w="1224"/>
            <w:shd w:val="clear" w:color="auto" w:fill="0E2A47"/>
            <w:tcMar>
              <w:top w:w="40" w:type="dxa"/>
              <w:bottom w:w="40" w:type="dxa"/>
              <w:left w:w="110" w:type="dxa"/>
              <w:right w:w="110" w:type="dxa"/>
            </w:tcMar>
          </w:tcPr>
          <w:p>
            <w:pPr>
              <w:keepNext/>
              <w:spacing w:after="0" w:line="252" w:lineRule="auto"/>
              <w:jc w:val="center"/>
            </w:pPr>
            <w:r/>
            <w:r>
              <w:rPr>
                <w:b/>
                <w:i w:val="0"/>
                <w:color w:val="FFFFFF"/>
                <w:sz w:val="18"/>
              </w:rPr>
              <w:t>D*</w:t>
            </w:r>
          </w:p>
        </w:tc>
        <w:tc>
          <w:tcPr>
            <w:tcW w:type="dxa" w:w="2016"/>
            <w:shd w:val="clear" w:color="auto" w:fill="0E2A47"/>
            <w:tcMar>
              <w:top w:w="40" w:type="dxa"/>
              <w:bottom w:w="40" w:type="dxa"/>
              <w:left w:w="110" w:type="dxa"/>
              <w:right w:w="110" w:type="dxa"/>
            </w:tcMar>
          </w:tcPr>
          <w:p>
            <w:pPr>
              <w:keepNext/>
              <w:spacing w:after="0" w:line="252" w:lineRule="auto"/>
              <w:jc w:val="center"/>
            </w:pPr>
            <w:r/>
            <w:r>
              <w:rPr>
                <w:b/>
                <w:i w:val="0"/>
                <w:color w:val="FFFFFF"/>
                <w:sz w:val="18"/>
              </w:rPr>
              <w:t>D*/dx, fire zone</w:t>
              <w:br/>
              <w:t>(dx = 0.125 m)</w:t>
            </w:r>
          </w:p>
        </w:tc>
        <w:tc>
          <w:tcPr>
            <w:tcW w:type="dxa" w:w="2016"/>
            <w:shd w:val="clear" w:color="auto" w:fill="0E2A47"/>
            <w:tcMar>
              <w:top w:w="40" w:type="dxa"/>
              <w:bottom w:w="40" w:type="dxa"/>
              <w:left w:w="110" w:type="dxa"/>
              <w:right w:w="110" w:type="dxa"/>
            </w:tcMar>
          </w:tcPr>
          <w:p>
            <w:pPr>
              <w:keepNext/>
              <w:spacing w:after="0" w:line="252" w:lineRule="auto"/>
              <w:jc w:val="center"/>
            </w:pPr>
            <w:r/>
            <w:r>
              <w:rPr>
                <w:b/>
                <w:i w:val="0"/>
                <w:color w:val="FFFFFF"/>
                <w:sz w:val="18"/>
              </w:rPr>
              <w:t>D*/dx, background</w:t>
              <w:br/>
              <w:t>(dx = 0.5 m)</w:t>
            </w:r>
          </w:p>
        </w:tc>
      </w:tr>
      <w:tr>
        <w:trPr>
          <w:cantSplit/>
        </w:trPr>
        <w:tc>
          <w:tcPr>
            <w:tcW w:type="dxa" w:w="4392"/>
            <w:shd w:val="clear" w:color="auto" w:fill="F8FAFC"/>
            <w:tcMar>
              <w:top w:w="40" w:type="dxa"/>
              <w:bottom w:w="40" w:type="dxa"/>
              <w:left w:w="110" w:type="dxa"/>
              <w:right w:w="110" w:type="dxa"/>
            </w:tcMar>
          </w:tcPr>
          <w:p>
            <w:pPr>
              <w:keepNext/>
              <w:spacing w:after="0" w:line="252" w:lineRule="auto"/>
            </w:pPr>
            <w:r/>
            <w:r>
              <w:rPr>
                <w:b w:val="0"/>
                <w:i w:val="0"/>
                <w:sz w:val="19"/>
              </w:rPr>
              <w:t>As carried (scoping memo §5.1; rev B App. C)</w:t>
            </w:r>
          </w:p>
        </w:tc>
        <w:tc>
          <w:tcPr>
            <w:tcW w:type="dxa" w:w="1224"/>
            <w:shd w:val="clear" w:color="auto" w:fill="F8FAFC"/>
            <w:tcMar>
              <w:top w:w="40" w:type="dxa"/>
              <w:bottom w:w="40" w:type="dxa"/>
              <w:left w:w="110" w:type="dxa"/>
              <w:right w:w="110" w:type="dxa"/>
            </w:tcMar>
          </w:tcPr>
          <w:p>
            <w:pPr>
              <w:keepNext/>
              <w:spacing w:after="0" w:line="252" w:lineRule="auto"/>
              <w:jc w:val="center"/>
            </w:pPr>
            <w:r/>
            <w:r>
              <w:rPr>
                <w:b w:val="0"/>
                <w:i w:val="0"/>
                <w:sz w:val="19"/>
              </w:rPr>
              <w:t>3.76 m</w:t>
            </w:r>
          </w:p>
        </w:tc>
        <w:tc>
          <w:tcPr>
            <w:tcW w:type="dxa" w:w="2016"/>
            <w:shd w:val="clear" w:color="auto" w:fill="F8FAFC"/>
            <w:tcMar>
              <w:top w:w="40" w:type="dxa"/>
              <w:bottom w:w="40" w:type="dxa"/>
              <w:left w:w="110" w:type="dxa"/>
              <w:right w:w="110" w:type="dxa"/>
            </w:tcMar>
          </w:tcPr>
          <w:p>
            <w:pPr>
              <w:keepNext/>
              <w:spacing w:after="0" w:line="252" w:lineRule="auto"/>
              <w:jc w:val="center"/>
            </w:pPr>
            <w:r/>
            <w:r>
              <w:rPr>
                <w:b/>
                <w:i w:val="0"/>
                <w:sz w:val="19"/>
              </w:rPr>
              <w:t>30.1</w:t>
            </w:r>
          </w:p>
        </w:tc>
        <w:tc>
          <w:tcPr>
            <w:tcW w:type="dxa" w:w="2016"/>
            <w:shd w:val="clear" w:color="auto" w:fill="F8FAFC"/>
            <w:tcMar>
              <w:top w:w="40" w:type="dxa"/>
              <w:bottom w:w="40" w:type="dxa"/>
              <w:left w:w="110" w:type="dxa"/>
              <w:right w:w="110" w:type="dxa"/>
            </w:tcMar>
          </w:tcPr>
          <w:p>
            <w:pPr>
              <w:keepNext/>
              <w:spacing w:after="0" w:line="252" w:lineRule="auto"/>
              <w:jc w:val="center"/>
            </w:pPr>
            <w:r/>
            <w:r>
              <w:rPr>
                <w:b w:val="0"/>
                <w:i w:val="0"/>
                <w:sz w:val="19"/>
              </w:rPr>
              <w:t>7.5</w:t>
            </w:r>
          </w:p>
        </w:tc>
      </w:tr>
      <w:tr>
        <w:trPr>
          <w:cantSplit/>
        </w:trPr>
        <w:tc>
          <w:tcPr>
            <w:tcW w:type="dxa" w:w="4392"/>
            <w:shd w:val="clear" w:color="auto" w:fill="FFFFFF"/>
            <w:tcMar>
              <w:top w:w="40" w:type="dxa"/>
              <w:bottom w:w="40" w:type="dxa"/>
              <w:left w:w="110" w:type="dxa"/>
              <w:right w:w="110" w:type="dxa"/>
            </w:tcMar>
          </w:tcPr>
          <w:p>
            <w:pPr>
              <w:keepNext/>
              <w:spacing w:after="0" w:line="252" w:lineRule="auto"/>
            </w:pPr>
            <w:r/>
            <w:r>
              <w:rPr>
                <w:b w:val="0"/>
                <w:i w:val="0"/>
                <w:sz w:val="19"/>
              </w:rPr>
              <w:t>Same reference inputs, recomputed</w:t>
            </w:r>
          </w:p>
        </w:tc>
        <w:tc>
          <w:tcPr>
            <w:tcW w:type="dxa" w:w="1224"/>
            <w:shd w:val="clear" w:color="auto" w:fill="FFFFFF"/>
            <w:tcMar>
              <w:top w:w="40" w:type="dxa"/>
              <w:bottom w:w="40" w:type="dxa"/>
              <w:left w:w="110" w:type="dxa"/>
              <w:right w:w="110" w:type="dxa"/>
            </w:tcMar>
          </w:tcPr>
          <w:p>
            <w:pPr>
              <w:keepNext/>
              <w:spacing w:after="0" w:line="252" w:lineRule="auto"/>
              <w:jc w:val="center"/>
            </w:pPr>
            <w:r/>
            <w:r>
              <w:rPr>
                <w:b w:val="0"/>
                <w:i w:val="0"/>
                <w:sz w:val="19"/>
              </w:rPr>
              <w:t>3.74 m</w:t>
            </w:r>
          </w:p>
        </w:tc>
        <w:tc>
          <w:tcPr>
            <w:tcW w:type="dxa" w:w="2016"/>
            <w:shd w:val="clear" w:color="auto" w:fill="FFFFFF"/>
            <w:tcMar>
              <w:top w:w="40" w:type="dxa"/>
              <w:bottom w:w="40" w:type="dxa"/>
              <w:left w:w="110" w:type="dxa"/>
              <w:right w:w="110" w:type="dxa"/>
            </w:tcMar>
          </w:tcPr>
          <w:p>
            <w:pPr>
              <w:keepNext/>
              <w:spacing w:after="0" w:line="252" w:lineRule="auto"/>
              <w:jc w:val="center"/>
            </w:pPr>
            <w:r/>
            <w:r>
              <w:rPr>
                <w:b/>
                <w:i w:val="0"/>
                <w:sz w:val="19"/>
              </w:rPr>
              <w:t>29.9</w:t>
            </w:r>
          </w:p>
        </w:tc>
        <w:tc>
          <w:tcPr>
            <w:tcW w:type="dxa" w:w="2016"/>
            <w:shd w:val="clear" w:color="auto" w:fill="FFFFFF"/>
            <w:tcMar>
              <w:top w:w="40" w:type="dxa"/>
              <w:bottom w:w="40" w:type="dxa"/>
              <w:left w:w="110" w:type="dxa"/>
              <w:right w:w="110" w:type="dxa"/>
            </w:tcMar>
          </w:tcPr>
          <w:p>
            <w:pPr>
              <w:keepNext/>
              <w:spacing w:after="0" w:line="252" w:lineRule="auto"/>
              <w:jc w:val="center"/>
            </w:pPr>
            <w:r/>
            <w:r>
              <w:rPr>
                <w:b w:val="0"/>
                <w:i w:val="0"/>
                <w:sz w:val="19"/>
              </w:rPr>
              <w:t>7.5</w:t>
            </w:r>
          </w:p>
        </w:tc>
      </w:tr>
      <w:tr>
        <w:trPr>
          <w:cantSplit/>
        </w:trPr>
        <w:tc>
          <w:tcPr>
            <w:tcW w:type="dxa" w:w="4392"/>
            <w:shd w:val="clear" w:color="auto" w:fill="F8FAFC"/>
            <w:tcMar>
              <w:top w:w="40" w:type="dxa"/>
              <w:bottom w:w="40" w:type="dxa"/>
              <w:left w:w="110" w:type="dxa"/>
              <w:right w:w="110" w:type="dxa"/>
            </w:tcMar>
          </w:tcPr>
          <w:p>
            <w:pPr>
              <w:spacing w:after="0" w:line="252" w:lineRule="auto"/>
            </w:pPr>
            <w:r/>
            <w:r>
              <w:rPr>
                <w:b w:val="0"/>
                <w:i w:val="0"/>
                <w:sz w:val="19"/>
              </w:rPr>
              <w:t>Site ambient (~750 m; 35–42 °C)</w:t>
            </w:r>
          </w:p>
        </w:tc>
        <w:tc>
          <w:tcPr>
            <w:tcW w:type="dxa" w:w="1224"/>
            <w:shd w:val="clear" w:color="auto" w:fill="F8FAFC"/>
            <w:tcMar>
              <w:top w:w="40" w:type="dxa"/>
              <w:bottom w:w="40" w:type="dxa"/>
              <w:left w:w="110" w:type="dxa"/>
              <w:right w:w="110" w:type="dxa"/>
            </w:tcMar>
          </w:tcPr>
          <w:p>
            <w:pPr>
              <w:spacing w:after="0" w:line="252" w:lineRule="auto"/>
              <w:jc w:val="center"/>
            </w:pPr>
            <w:r/>
            <w:r>
              <w:rPr>
                <w:b w:val="0"/>
                <w:i w:val="0"/>
                <w:sz w:val="19"/>
              </w:rPr>
              <w:t>3.88 m</w:t>
            </w:r>
          </w:p>
        </w:tc>
        <w:tc>
          <w:tcPr>
            <w:tcW w:type="dxa" w:w="2016"/>
            <w:shd w:val="clear" w:color="auto" w:fill="F8FAFC"/>
            <w:tcMar>
              <w:top w:w="40" w:type="dxa"/>
              <w:bottom w:w="40" w:type="dxa"/>
              <w:left w:w="110" w:type="dxa"/>
              <w:right w:w="110" w:type="dxa"/>
            </w:tcMar>
          </w:tcPr>
          <w:p>
            <w:pPr>
              <w:spacing w:after="0" w:line="252" w:lineRule="auto"/>
              <w:jc w:val="center"/>
            </w:pPr>
            <w:r/>
            <w:r>
              <w:rPr>
                <w:b/>
                <w:i w:val="0"/>
                <w:sz w:val="19"/>
              </w:rPr>
              <w:t>31.0</w:t>
            </w:r>
          </w:p>
        </w:tc>
        <w:tc>
          <w:tcPr>
            <w:tcW w:type="dxa" w:w="2016"/>
            <w:shd w:val="clear" w:color="auto" w:fill="F8FAFC"/>
            <w:tcMar>
              <w:top w:w="40" w:type="dxa"/>
              <w:bottom w:w="40" w:type="dxa"/>
              <w:left w:w="110" w:type="dxa"/>
              <w:right w:w="110" w:type="dxa"/>
            </w:tcMar>
          </w:tcPr>
          <w:p>
            <w:pPr>
              <w:spacing w:after="0" w:line="252" w:lineRule="auto"/>
              <w:jc w:val="center"/>
            </w:pPr>
            <w:r/>
            <w:r>
              <w:rPr>
                <w:b w:val="0"/>
                <w:i w:val="0"/>
                <w:sz w:val="19"/>
              </w:rPr>
              <w:t>7.8</w:t>
            </w:r>
          </w:p>
        </w:tc>
      </w:tr>
    </w:tbl>
    <w:p>
      <w:pPr>
        <w:spacing w:after="100" w:before="60"/>
      </w:pPr>
      <w:r>
        <w:rPr>
          <w:b w:val="0"/>
          <w:i/>
          <w:color w:val="555F6D"/>
          <w:sz w:val="17"/>
        </w:rPr>
        <w:t>D*/dx is dimensionless; band 5 to 10 (QA VS §5.1). D* = (Q / (ρ∞·cp·T∞·√g))^(2/5), with Q = 30.1 MW, cp = 1005 J/(kg·K), g = 9.81 m/s². Site row: p ≈ 92.6 kPa (standard atmosphere at ~750 m; the met pull has no station pressure), ρ∞ = p/(R·T∞), R = 287.05 J/(kg·K). On the site D*, the band corresponds to a fire-zone cell of 0.39–0.78 m.</w:t>
      </w:r>
    </w:p>
    <w:p>
      <w:pPr>
        <w:spacing w:after="100"/>
      </w:pPr>
      <w:r>
        <w:rPr>
          <w:b w:val="0"/>
          <w:i w:val="0"/>
        </w:rPr>
        <w:t>QA VS §5.1 gives a compute reason for the upper limit (values above 10 are “wasteful of compute”), so this is over-resolution rather than a shortfall, but the band is still a “shall”. No study grid is in band in its fire zone (≈15, ≈21 and ≈30); the in-band values in the logs (5.37 and 7.52) are background cells. Minor point: the memo’s (27.08)^(2/5) works out to 3.74 m, not 3.76 m.</w:t>
      </w:r>
    </w:p>
    <w:p>
      <w:pPr>
        <w:keepNext/>
        <w:spacing w:before="160" w:after="60"/>
      </w:pPr>
      <w:r>
        <w:rPr>
          <w:rFonts w:ascii="Trebuchet MS" w:hAnsi="Trebuchet MS" w:eastAsia="Trebuchet MS"/>
          <w:b/>
          <w:i w:val="0"/>
          <w:color w:val="0E2A47"/>
          <w:sz w:val="24"/>
        </w:rPr>
        <w:t>2.  What the acceptance rests on, and what needs Marguerite</w:t>
      </w:r>
    </w:p>
    <w:p>
      <w:pPr>
        <w:keepNext/>
        <w:spacing w:after="100"/>
      </w:pPr>
      <w:r>
        <w:rPr>
          <w:b w:val="0"/>
          <w:i w:val="0"/>
        </w:rPr>
        <w:t>The study records “PASS on both criteria”, and rev B Appendix C carries the same two figures. The 7.5 traces back to scoping memo §5.1 (10/08/2025), which Marguerite reviewed and concurred. The memo used D* = 3.76 m on reference air and dx = 0.5 m; the 0.5 m was set before meshing, and the built mesh did not keep it in the fire region. Once that is corrected, D*/dx fails on the high side, and acceptance rests on one criterion: Pope, at one probe, 84 %, with 4 percentage points of margin. QA VS §5 accepts either criterion alone, but it does not allow judgement to stand in for a missed one. Rulings needed:</w:t>
      </w:r>
    </w:p>
    <w:p>
      <w:pPr>
        <w:spacing w:after="80"/>
        <w:ind w:left="461" w:hanging="461"/>
        <w:tabs>
          <w:tab w:val="left" w:pos="460"/>
        </w:tabs>
      </w:pPr>
      <w:r>
        <w:rPr>
          <w:b/>
          <w:i w:val="0"/>
        </w:rPr>
        <w:t>(a)</w:t>
        <w:tab/>
      </w:r>
      <w:r>
        <w:rPr>
          <w:b/>
          <w:i w:val="0"/>
        </w:rPr>
        <w:t xml:space="preserve">One criterion or both. </w:t>
      </w:r>
      <w:r>
        <w:rPr>
          <w:b w:val="0"/>
          <w:i w:val="0"/>
        </w:rPr>
        <w:t>QA VS §5 makes both the default for AHJ or life-safety end use. Rev B supports a public claim about the fire performance of houses in the WUI (SOW §1), and SOW §4 (deliverable 2) names both indicators. If both are required, the index of ≈30 is either a deviation she records or an open failure.</w:t>
      </w:r>
    </w:p>
    <w:p>
      <w:pPr>
        <w:spacing w:after="80"/>
        <w:ind w:left="461" w:hanging="461"/>
        <w:tabs>
          <w:tab w:val="left" w:pos="460"/>
        </w:tabs>
      </w:pPr>
      <w:r>
        <w:rPr>
          <w:b/>
          <w:i w:val="0"/>
        </w:rPr>
        <w:t>(b)</w:t>
        <w:tab/>
      </w:r>
      <w:r>
        <w:rPr>
          <w:b/>
          <w:i w:val="0"/>
        </w:rPr>
        <w:t xml:space="preserve">Whether the Pope evidence is enough. </w:t>
      </w:r>
      <w:r>
        <w:rPr>
          <w:b w:val="0"/>
          <w:i w:val="0"/>
        </w:rPr>
        <w:t>It comes from one probe on the plume axis. The averaging window is not stated, and the underlying output is not on the server (Section 3).</w:t>
      </w:r>
    </w:p>
    <w:p>
      <w:pPr>
        <w:spacing w:after="100"/>
        <w:ind w:left="461" w:hanging="461"/>
        <w:tabs>
          <w:tab w:val="left" w:pos="460"/>
        </w:tabs>
      </w:pPr>
      <w:r>
        <w:rPr>
          <w:b/>
          <w:i w:val="0"/>
        </w:rPr>
        <w:t>(c)</w:t>
        <w:tab/>
      </w:r>
      <w:r>
        <w:rPr>
          <w:b/>
          <w:i w:val="0"/>
        </w:rPr>
        <w:t xml:space="preserve">D* basis. </w:t>
      </w:r>
      <w:r>
        <w:rPr>
          <w:b w:val="0"/>
          <w:i w:val="0"/>
        </w:rPr>
        <w:t>Whether D* moves to site ambient (Section 4). The memo is the controlling source for D* (memo §1), so this means a memo revision she would concur, not just a report edit.</w:t>
      </w:r>
    </w:p>
    <w:p>
      <w:pPr>
        <w:keepNext/>
        <w:spacing w:before="160" w:after="60"/>
      </w:pPr>
      <w:r>
        <w:rPr>
          <w:rFonts w:ascii="Trebuchet MS" w:hAnsi="Trebuchet MS" w:eastAsia="Trebuchet MS"/>
          <w:b/>
          <w:i w:val="0"/>
          <w:color w:val="0E2A47"/>
          <w:sz w:val="24"/>
        </w:rPr>
        <w:t>3.  Was the 84 % taken inside the region the index describes?</w:t>
      </w:r>
    </w:p>
    <w:p>
      <w:pPr>
        <w:spacing w:after="100"/>
      </w:pPr>
      <w:r>
        <w:rPr>
          <w:b/>
          <w:i w:val="0"/>
        </w:rPr>
        <w:t xml:space="preserve">Not in the region the reported index describes. </w:t>
      </w:r>
      <w:r>
        <w:rPr>
          <w:b w:val="0"/>
          <w:i w:val="0"/>
        </w:rPr>
        <w:t>The probe is on the plume axis, 0.75·D* ≈ 2.8 m above the top of the source. The refinement zone is a cylinder over the 3.0 m source. Its dimensions are not recorded, but its cell counts give ≈2,450 m³ on all three grids, so it must reach well above 2.8 m (a cylinder only that tall would need a radius of more than 16 m). The probe therefore sits in 0.125 m cells, where the index is ≈30, not in the 0.5 m cells the 7.5 describes. The 84 % does not carry over to the 0.5 m cells. The modelled share of the energy grows with cell size, so the resolved fraction would be expected to be lower there.</w:t>
      </w:r>
    </w:p>
    <w:p>
      <w:pPr>
        <w:spacing w:after="100"/>
      </w:pPr>
      <w:r>
        <w:rPr>
          <w:b/>
          <w:i w:val="0"/>
        </w:rPr>
        <w:t xml:space="preserve">Gaps against QA VS §6: </w:t>
      </w:r>
      <w:r>
        <w:rPr>
          <w:b w:val="0"/>
          <w:i w:val="0"/>
        </w:rPr>
        <w:t>the averaging window is not stated as a window. The record gives samples at t = 40 s, an initial transient cleared by ≈8 s, and “20+ puffing cycles”; if the average ran from 8 s to 40 s, that is ≈28 periods. Also, only the one-line result is on the server, not the averaged fields or probe series behind it.</w:t>
      </w:r>
    </w:p>
    <w:p>
      <w:pPr>
        <w:spacing w:after="100"/>
      </w:pPr>
      <w:r>
        <w:rPr>
          <w:b/>
          <w:i w:val="0"/>
        </w:rPr>
        <w:t xml:space="preserve">Production mesh: </w:t>
      </w:r>
      <w:r>
        <w:rPr>
          <w:b w:val="0"/>
          <w:i w:val="0"/>
        </w:rPr>
        <w:t>the study evidence does not carry over to it. Appendix C says the production mesh uses “the same dx = 0.5 m background”, but its log shows a 4.0 m background, the plume box at 0.25 m, and 0.125 m within 3.0 m of the source (D*/dx ≈ 15–31). The only solve on file for it is the steady k-ε RANS attempt 3, which has no resolved/subgrid split, so no Pope fraction can come from it (items 2–3).</w:t>
      </w:r>
    </w:p>
    <w:p>
      <w:pPr>
        <w:keepNext/>
        <w:spacing w:before="160" w:after="60"/>
      </w:pPr>
      <w:r>
        <w:rPr>
          <w:rFonts w:ascii="Trebuchet MS" w:hAnsi="Trebuchet MS" w:eastAsia="Trebuchet MS"/>
          <w:b/>
          <w:i w:val="0"/>
          <w:color w:val="0E2A47"/>
          <w:sz w:val="24"/>
        </w:rPr>
        <w:t>4.  Do the ambient values behind D* represent the site?</w:t>
      </w:r>
    </w:p>
    <w:p>
      <w:pPr>
        <w:spacing w:after="100"/>
      </w:pPr>
      <w:r>
        <w:rPr>
          <w:b/>
          <w:i w:val="0"/>
        </w:rPr>
        <w:t xml:space="preserve">No. </w:t>
      </w:r>
      <w:r>
        <w:rPr>
          <w:b w:val="0"/>
          <w:i w:val="0"/>
        </w:rPr>
        <w:t>ρ∞ = 1.204 kg/m³ and T∞ = 293.15 K describe sea-level air at 20 °C (≈101.3 kPa); the memo calls them “standard reference-atmosphere conditions”. The site is at about 750 m (wind-load basis memo §2.1a), which gives ≈92.6 kPa. Its design ambient is 35–42 °C (308.15–315.15 K) per memo §2 and the ALERT record, so ρ∞ ≈ 1.02–1.05 kg/m³. The only solve log on file starts its ambient at 308.15 K, so D* does not match the case’s own ambient either.</w:t>
      </w:r>
    </w:p>
    <w:p>
      <w:pPr>
        <w:spacing w:after="100"/>
      </w:pPr>
      <w:r>
        <w:rPr>
          <w:b/>
          <w:i w:val="0"/>
        </w:rPr>
        <w:t xml:space="preserve">Effect of site conditions: </w:t>
      </w:r>
      <w:r>
        <w:rPr>
          <w:b w:val="0"/>
          <w:i w:val="0"/>
        </w:rPr>
        <w:t>D* depends on the product ρ∞·T∞, which for an ideal gas equals p/R, so ambient temperature cancels and only pressure matters. At site pressure the product is 8.6 % lower, so D* is 3.6 % larger than on reference air: 3.88 m at any temperature from 35 °C to 42 °C. Humidity at 10–25 % RH changes it by less than 0.2 %. The index becomes ≈31 in the fire zone (7.8 on the background), further from the band, and no conclusion changes. One caution: putting in the site temperature while keeping 1.204 kg/m³ gives 3.64–3.67 m. That pairs a hot-air temperature with a cool-air density and moves D* the wrong way.</w:t>
      </w:r>
    </w:p>
    <w:p>
      <w:pPr>
        <w:keepNext/>
        <w:spacing w:before="160" w:after="60"/>
      </w:pPr>
      <w:r>
        <w:rPr>
          <w:rFonts w:ascii="Trebuchet MS" w:hAnsi="Trebuchet MS" w:eastAsia="Trebuchet MS"/>
          <w:b/>
          <w:i w:val="0"/>
          <w:color w:val="0E2A47"/>
          <w:sz w:val="24"/>
        </w:rPr>
        <w:t>5.  Can item 4 close?</w:t>
      </w:r>
    </w:p>
    <w:p>
      <w:pPr>
        <w:keepNext/>
        <w:spacing w:after="100"/>
      </w:pPr>
      <w:r>
        <w:rPr>
          <w:b/>
          <w:i w:val="0"/>
        </w:rPr>
        <w:t xml:space="preserve">Not on the present record. </w:t>
      </w:r>
      <w:r>
        <w:rPr>
          <w:b w:val="0"/>
          <w:i w:val="0"/>
        </w:rPr>
        <w:t>Rev B §6 contains only background cell sizes. Q, D*, D*/dx and the Pope fraction are not in §6 but in Appendix C, and QA VS §6 does not accept appendix placement. Appendix C’s dx and D*/dx describe the wrong region, and “PASS on both” is not supported. Without a new run, the item would close on:</w:t>
      </w:r>
    </w:p>
    <w:p>
      <w:pPr>
        <w:spacing w:after="80"/>
        <w:ind w:left="461" w:hanging="461"/>
        <w:tabs>
          <w:tab w:val="left" w:pos="460"/>
        </w:tabs>
      </w:pPr>
      <w:r>
        <w:rPr>
          <w:b/>
          <w:i w:val="0"/>
        </w:rPr>
        <w:t>1.</w:t>
        <w:tab/>
      </w:r>
      <w:r>
        <w:rPr>
          <w:b/>
          <w:i w:val="0"/>
        </w:rPr>
        <w:t xml:space="preserve">Rev C of report §6, </w:t>
      </w:r>
      <w:r>
        <w:rPr>
          <w:b w:val="0"/>
          <w:i w:val="0"/>
        </w:rPr>
        <w:t>stating in the body: Q = 30.1 MW; D* on the basis Marguerite sets (3.88 m at site, or 3.74 m on reference air with the arithmetic corrected); dx = 0.125 m in the fire zone, with the 0.5 m background and the total cell count; D*/dx ≈ 31 (or 30), stated as above the band; and Pope 84 %, with the probe location and the actual averaging window. It should include the sentence QA VS §3(d) requires: “Pope criterion met by 4 percentage points; D*/dx above the band.” The three-grid table moves to an appendix labelled as a sensitivity study, and the Appendix C sentence on the production mesh is corrected.</w:t>
      </w:r>
    </w:p>
    <w:p>
      <w:pPr>
        <w:spacing w:after="80"/>
        <w:ind w:left="461" w:hanging="461"/>
        <w:tabs>
          <w:tab w:val="left" w:pos="460"/>
        </w:tabs>
      </w:pPr>
      <w:r>
        <w:rPr>
          <w:b/>
          <w:i w:val="0"/>
        </w:rPr>
        <w:t>2.</w:t>
        <w:tab/>
      </w:r>
      <w:r>
        <w:rPr>
          <w:b/>
          <w:i w:val="0"/>
        </w:rPr>
        <w:t xml:space="preserve">Marguerite’s rulings on 2(a)–(c), </w:t>
      </w:r>
      <w:r>
        <w:rPr>
          <w:b w:val="0"/>
          <w:i w:val="0"/>
        </w:rPr>
        <w:t>recorded against item 4, with scoping memo rev B if D* moves to site ambient.</w:t>
      </w:r>
    </w:p>
    <w:p>
      <w:pPr>
        <w:spacing w:after="120"/>
        <w:ind w:left="461" w:hanging="461"/>
        <w:tabs>
          <w:tab w:val="left" w:pos="460"/>
        </w:tabs>
      </w:pPr>
      <w:r>
        <w:rPr>
          <w:b/>
          <w:i w:val="0"/>
        </w:rPr>
        <w:t>3.</w:t>
        <w:tab/>
      </w:r>
      <w:r>
        <w:rPr>
          <w:b/>
          <w:i w:val="0"/>
        </w:rPr>
        <w:t xml:space="preserve">The output behind the 84 %, </w:t>
      </w:r>
      <w:r>
        <w:rPr>
          <w:b w:val="0"/>
          <w:i w:val="0"/>
        </w:rPr>
        <w:t>filed in Case/verification by the study author (Renata Ellsworth): the time-averaged resolved and subgrid TKE at the probe, the averaging window, and the cell size at the probe. Filing existing output is not a new run. If it cannot be produced, ruling 2(b) becomes whether a one-line entry can carry acceptance on its own. With D*/dx out of band, nothing else on file can.</w:t>
      </w:r>
    </w:p>
    <w:p>
      <w:pPr>
        <w:spacing w:after="0" w:before="40"/>
      </w:pPr>
      <w:r>
        <w:rPr>
          <w:b/>
          <w:i w:val="0"/>
          <w:color w:val="555F6D"/>
          <w:sz w:val="16"/>
        </w:rPr>
        <w:t xml:space="preserve">Records relied on (CFDME-2025-041 paths relative to /Projects/CFDME-2025-041_Ocotillo_WUI/): </w:t>
      </w:r>
      <w:r>
        <w:rPr>
          <w:b w:val="0"/>
          <w:i w:val="0"/>
          <w:color w:val="555F6D"/>
          <w:sz w:val="16"/>
        </w:rPr>
        <w:t>Firm/QA/CFDME_QA_Verification_Standard_rev3.pdf (§2, §3, §5–§7); Firm/QA/Reviews/CFDME-2025-041_peer_review_checklist.docx (item 4); Reports/CFDME-2025-041_Phase1_report_revB.docx (§5.4, §6, App. C, reviewer comment on item 4); Reports/CFDME-2025-041_scoping_memo_20251008.docx (§1, §2, §5.1); Case/verification/three_grid_study_outputs.txt (header, fine-grid checkMesh, resolution block); Case/logs/log.snappyHexMesh_20251009.txt (refinement shells, level table); Case/logs/log.solve_20251009_attempt3.txt (RAS kEpsilon, steady SIMPLE; ambient 308.15 K); Reports/CFDME-2025-041_windload_basis_memo.pdf (§2.1a, ground elevation ~750 m); Data/site_met_avra_valley_2015-2024.csv (design envelope); Contracts/CFDME-2025-041_SOW_signed_20251008.pdf (§1, §3.1, §4).</w:t>
      </w:r>
    </w:p>
    <w:sectPr w:rsidR="00FC693F" w:rsidRPr="0006063C" w:rsidSect="00034616">
      <w:footerReference w:type="default" r:id="rId9"/>
      <w:pgSz w:w="12240" w:h="15840"/>
      <w:pgMar w:top="864"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55F6D"/>
        <w:sz w:val="16"/>
      </w:rPr>
      <w:t xml:space="preserve">CFDME-2025-041_resolution_note_revA.docx   |   rev A   |   Internal — peer-review record   |   Page </w:t>
    </w:r>
    <w:r>
      <w:rPr>
        <w:color w:val="555F6D"/>
        <w:sz w:val="16"/>
      </w:rPr>
      <w:fldChar w:fldCharType="begin"/>
      <w:instrText xml:space="preserve">PAGE</w:instrText>
      <w:fldChar w:fldCharType="end"/>
    </w:r>
    <w:r>
      <w:rPr>
        <w:b w:val="0"/>
        <w:i w:val="0"/>
        <w:color w:val="555F6D"/>
        <w:sz w:val="16"/>
      </w:rPr>
      <w:t xml:space="preserve"> of </w:t>
    </w:r>
    <w:r>
      <w:rPr>
        <w:color w:val="555F6D"/>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64" w:lineRule="auto"/>
    </w:pPr>
    <w:rPr>
      <w:rFonts w:ascii="Segoe UI" w:hAnsi="Segoe UI" w:eastAsia="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Segoe UI" w:hAnsi="Segoe U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CFDME-2025-041 - Checklist item 4: LES resolution basis - note rev A</dc:title>
  <dc:subject>Phase 1 report rev B - peer-review checklist item 4</dc:subject>
  <dc:creator/>
  <cp:keywords/>
  <dc:description>Prepared from records on the file server only; no new runs.</dc:description>
  <cp:lastModifiedBy/>
  <cp:revision>1</cp:revision>
  <cp:category/>
</cp:coreProperties>
</file>