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8"/>
        </w:rPr>
        <w:t>ALLENIOM UTILITIES — DER PROGRAM OFFICE</w:t>
      </w:r>
    </w:p>
    <w:p>
      <w:pPr>
        <w:pBdr>
          <w:bottom w:val="single" w:sz="12" w:space="1" w:color="1F3A5F"/>
        </w:pBdr>
        <w:spacing w:after="160"/>
      </w:pPr>
      <w:r>
        <w:rPr>
          <w:color w:val="555555"/>
          <w:sz w:val="18"/>
        </w:rPr>
        <w:t>4200 Veldmere Boulevard, Halston, Alleron 01HA · (612) 555-0100 · alleniom.com</w:t>
      </w:r>
    </w:p>
    <w:p>
      <w:pPr>
        <w:spacing w:after="80" w:before="80"/>
      </w:pPr>
      <w:r>
        <w:rPr>
          <w:b/>
          <w:color w:val="1F3A5F"/>
          <w:sz w:val="24"/>
        </w:rPr>
        <w:t>INTERNAL MEMORANDUM</w:t>
      </w:r>
    </w:p>
    <w:tbl>
      <w:tblPr>
        <w:tblStyle w:val="TableGrid"/>
        <w:tblW w:type="auto" w:w="0"/>
        <w:jc w:val="left"/>
        <w:tblLayout w:type="fixed"/>
        <w:tblCellMar>
          <w:top w:w="30" w:type="dxa"/>
          <w:left w:w="80" w:type="dxa"/>
          <w:bottom w:w="30" w:type="dxa"/>
          <w:right w:w="80" w:type="dxa"/>
        </w:tblCellMar>
        <w:tblLook w:firstColumn="1" w:firstRow="1" w:lastColumn="0" w:lastRow="0" w:noHBand="0" w:noVBand="1" w:val="04A0"/>
      </w:tblPr>
      <w:tblGrid>
        <w:gridCol w:w="1440"/>
        <w:gridCol w:w="4608"/>
      </w:tblGrid>
      <w:tr>
        <w:tc>
          <w:tcPr>
            <w:tcW w:type="dxa" w:w="1440"/>
            <w:shd w:val="clear" w:color="auto" w:fill="E8EDF3"/>
            <w:vAlign w:val="top"/>
          </w:tcPr>
          <w:p>
            <w:pPr>
              <w:spacing w:after="0" w:line="240" w:lineRule="auto"/>
            </w:pPr>
            <w:r/>
            <w:r>
              <w:rPr>
                <w:b/>
                <w:sz w:val="18"/>
              </w:rPr>
              <w:t>Doc no.</w:t>
            </w:r>
          </w:p>
        </w:tc>
        <w:tc>
          <w:tcPr>
            <w:tcW w:type="dxa" w:w="4608"/>
            <w:vAlign w:val="top"/>
          </w:tcPr>
          <w:p>
            <w:pPr>
              <w:spacing w:after="0" w:line="240" w:lineRule="auto"/>
            </w:pPr>
            <w:r/>
            <w:r>
              <w:rPr>
                <w:sz w:val="18"/>
              </w:rPr>
              <w:t>DPO-PTO-0629-01</w:t>
            </w:r>
          </w:p>
        </w:tc>
      </w:tr>
      <w:tr>
        <w:tc>
          <w:tcPr>
            <w:tcW w:type="dxa" w:w="1440"/>
            <w:shd w:val="clear" w:color="auto" w:fill="E8EDF3"/>
            <w:vAlign w:val="top"/>
          </w:tcPr>
          <w:p>
            <w:pPr>
              <w:spacing w:after="0" w:line="240" w:lineRule="auto"/>
            </w:pPr>
            <w:r/>
            <w:r>
              <w:rPr>
                <w:b/>
                <w:sz w:val="18"/>
              </w:rPr>
              <w:t>Rev</w:t>
            </w:r>
          </w:p>
        </w:tc>
        <w:tc>
          <w:tcPr>
            <w:tcW w:type="dxa" w:w="4608"/>
            <w:vAlign w:val="top"/>
          </w:tcPr>
          <w:p>
            <w:pPr>
              <w:spacing w:after="0" w:line="240" w:lineRule="auto"/>
            </w:pPr>
            <w:r/>
            <w:r>
              <w:rPr>
                <w:sz w:val="18"/>
              </w:rPr>
              <w:t>0</w:t>
            </w:r>
          </w:p>
        </w:tc>
      </w:tr>
      <w:tr>
        <w:tc>
          <w:tcPr>
            <w:tcW w:type="dxa" w:w="1440"/>
            <w:shd w:val="clear" w:color="auto" w:fill="E8EDF3"/>
            <w:vAlign w:val="top"/>
          </w:tcPr>
          <w:p>
            <w:pPr>
              <w:spacing w:after="0" w:line="240" w:lineRule="auto"/>
            </w:pPr>
            <w:r/>
            <w:r>
              <w:rPr>
                <w:b/>
                <w:sz w:val="18"/>
              </w:rPr>
              <w:t>Date</w:t>
            </w:r>
          </w:p>
        </w:tc>
        <w:tc>
          <w:tcPr>
            <w:tcW w:type="dxa" w:w="4608"/>
            <w:vAlign w:val="top"/>
          </w:tcPr>
          <w:p>
            <w:pPr>
              <w:spacing w:after="0" w:line="240" w:lineRule="auto"/>
            </w:pPr>
            <w:r/>
            <w:r>
              <w:rPr>
                <w:sz w:val="18"/>
              </w:rPr>
              <w:t>07/14/2025</w:t>
            </w:r>
          </w:p>
        </w:tc>
      </w:tr>
      <w:tr>
        <w:tc>
          <w:tcPr>
            <w:tcW w:type="dxa" w:w="1440"/>
            <w:shd w:val="clear" w:color="auto" w:fill="E8EDF3"/>
            <w:vAlign w:val="top"/>
          </w:tcPr>
          <w:p>
            <w:pPr>
              <w:spacing w:after="0" w:line="240" w:lineRule="auto"/>
            </w:pPr>
            <w:r/>
            <w:r>
              <w:rPr>
                <w:b/>
                <w:sz w:val="18"/>
              </w:rPr>
              <w:t>Owner</w:t>
            </w:r>
          </w:p>
        </w:tc>
        <w:tc>
          <w:tcPr>
            <w:tcW w:type="dxa" w:w="4608"/>
            <w:vAlign w:val="top"/>
          </w:tcPr>
          <w:p>
            <w:pPr>
              <w:spacing w:after="0" w:line="240" w:lineRule="auto"/>
            </w:pPr>
            <w:r/>
            <w:r>
              <w:rPr>
                <w:sz w:val="18"/>
              </w:rPr>
              <w:t>DER Program Office — Engineering Review</w:t>
            </w:r>
          </w:p>
        </w:tc>
      </w:tr>
    </w:tbl>
    <w:p>
      <w:pPr>
        <w:spacing w:after="40"/>
      </w:pPr>
      <w:r/>
    </w:p>
    <w:tbl>
      <w:tblPr>
        <w:tblW w:type="auto" w:w="0"/>
        <w:tblBorders>
          <w:top w:val="nil"/>
          <w:left w:val="nil"/>
          <w:bottom w:val="nil"/>
          <w:right w:val="nil"/>
          <w:insideH w:val="nil"/>
          <w:insideV w:val="nil"/>
        </w:tblBorders>
        <w:tblLayout w:type="fixed"/>
        <w:tblCellMar>
          <w:top w:w="20" w:type="dxa"/>
          <w:left w:w="0" w:type="dxa"/>
          <w:bottom w:w="20" w:type="dxa"/>
          <w:right w:w="60" w:type="dxa"/>
        </w:tblCellMar>
        <w:tblLook w:firstColumn="1" w:firstRow="1" w:lastColumn="0" w:lastRow="0" w:noHBand="0" w:noVBand="1" w:val="04A0"/>
      </w:tblPr>
      <w:tblGrid>
        <w:gridCol w:w="1368"/>
        <w:gridCol w:w="7992"/>
      </w:tblGrid>
      <w:tr>
        <w:tc>
          <w:tcPr>
            <w:tcW w:type="dxa" w:w="1368"/>
            <w:vAlign w:val="top"/>
          </w:tcPr>
          <w:p>
            <w:pPr>
              <w:spacing w:after="0" w:line="240" w:lineRule="auto"/>
            </w:pPr>
            <w:r/>
            <w:r>
              <w:rPr>
                <w:b/>
                <w:sz w:val="20"/>
              </w:rPr>
              <w:t>TO:</w:t>
            </w:r>
          </w:p>
        </w:tc>
        <w:tc>
          <w:tcPr>
            <w:tcW w:type="dxa" w:w="7992"/>
            <w:vAlign w:val="top"/>
          </w:tcPr>
          <w:p>
            <w:pPr>
              <w:spacing w:after="0" w:line="240" w:lineRule="auto"/>
            </w:pPr>
            <w:r/>
            <w:r>
              <w:rPr>
                <w:sz w:val="20"/>
              </w:rPr>
              <w:t>Lena Kovalchuk, SOC Shift Supervisor, System Operations Center</w:t>
            </w:r>
          </w:p>
        </w:tc>
      </w:tr>
      <w:tr>
        <w:tc>
          <w:tcPr>
            <w:tcW w:type="dxa" w:w="1368"/>
            <w:vAlign w:val="top"/>
          </w:tcPr>
          <w:p>
            <w:pPr>
              <w:spacing w:after="0" w:line="240" w:lineRule="auto"/>
            </w:pPr>
            <w:r/>
            <w:r>
              <w:rPr>
                <w:b/>
                <w:sz w:val="20"/>
              </w:rPr>
              <w:t>CC:</w:t>
            </w:r>
          </w:p>
        </w:tc>
        <w:tc>
          <w:tcPr>
            <w:tcW w:type="dxa" w:w="7992"/>
            <w:vAlign w:val="top"/>
          </w:tcPr>
          <w:p>
            <w:pPr>
              <w:spacing w:after="0" w:line="240" w:lineRule="auto"/>
            </w:pPr>
            <w:r/>
            <w:r>
              <w:rPr>
                <w:sz w:val="20"/>
              </w:rPr>
              <w:t>S. Rennick, Commissioning, DER Program Office · Marcus Deele, SCADA/EMS Engineering · DER Program Office — Contracts · Distribution Operations · DER Program Manager</w:t>
            </w:r>
          </w:p>
        </w:tc>
      </w:tr>
      <w:tr>
        <w:tc>
          <w:tcPr>
            <w:tcW w:type="dxa" w:w="1368"/>
            <w:vAlign w:val="top"/>
          </w:tcPr>
          <w:p>
            <w:pPr>
              <w:spacing w:after="0" w:line="240" w:lineRule="auto"/>
            </w:pPr>
            <w:r/>
            <w:r>
              <w:rPr>
                <w:b/>
                <w:sz w:val="20"/>
              </w:rPr>
              <w:t>FROM:</w:t>
            </w:r>
          </w:p>
        </w:tc>
        <w:tc>
          <w:tcPr>
            <w:tcW w:type="dxa" w:w="7992"/>
            <w:vAlign w:val="top"/>
          </w:tcPr>
          <w:p>
            <w:pPr>
              <w:spacing w:after="0" w:line="240" w:lineRule="auto"/>
            </w:pPr>
            <w:r/>
            <w:r>
              <w:rPr>
                <w:sz w:val="20"/>
              </w:rPr>
              <w:t>Reviewing Engineer, P.E., DER Program Office</w:t>
            </w:r>
          </w:p>
        </w:tc>
      </w:tr>
      <w:tr>
        <w:tc>
          <w:tcPr>
            <w:tcW w:type="dxa" w:w="1368"/>
            <w:vAlign w:val="top"/>
          </w:tcPr>
          <w:p>
            <w:pPr>
              <w:spacing w:after="0" w:line="240" w:lineRule="auto"/>
            </w:pPr>
            <w:r/>
            <w:r>
              <w:rPr>
                <w:b/>
                <w:sz w:val="20"/>
              </w:rPr>
              <w:t>DATE:</w:t>
            </w:r>
          </w:p>
        </w:tc>
        <w:tc>
          <w:tcPr>
            <w:tcW w:type="dxa" w:w="7992"/>
            <w:vAlign w:val="top"/>
          </w:tcPr>
          <w:p>
            <w:pPr>
              <w:spacing w:after="0" w:line="240" w:lineRule="auto"/>
            </w:pPr>
            <w:r/>
            <w:r>
              <w:rPr>
                <w:sz w:val="20"/>
              </w:rPr>
              <w:t>07/14/2025</w:t>
            </w:r>
          </w:p>
        </w:tc>
      </w:tr>
      <w:tr>
        <w:tc>
          <w:tcPr>
            <w:tcW w:type="dxa" w:w="1368"/>
            <w:vAlign w:val="top"/>
          </w:tcPr>
          <w:p>
            <w:pPr>
              <w:spacing w:after="0" w:line="240" w:lineRule="auto"/>
            </w:pPr>
            <w:r/>
            <w:r>
              <w:rPr>
                <w:b/>
                <w:sz w:val="20"/>
              </w:rPr>
              <w:t>SUBJECT:</w:t>
            </w:r>
          </w:p>
        </w:tc>
        <w:tc>
          <w:tcPr>
            <w:tcW w:type="dxa" w:w="7992"/>
            <w:vAlign w:val="top"/>
          </w:tcPr>
          <w:p>
            <w:pPr>
              <w:spacing w:after="0" w:line="240" w:lineRule="auto"/>
            </w:pPr>
            <w:r/>
            <w:r>
              <w:rPr>
                <w:b/>
                <w:sz w:val="20"/>
              </w:rPr>
              <w:t>Corwyn Office Complex PV (PXA-2023-0629), feeder ALN-072: Permission to Operate requested by Corwyn Realty Partners for 08/04/2025</w:t>
            </w:r>
          </w:p>
        </w:tc>
      </w:tr>
    </w:tbl>
    <w:p>
      <w:pPr>
        <w:pBdr>
          <w:bottom w:val="single" w:sz="8" w:space="1" w:color="1F3A5F"/>
        </w:pBdr>
        <w:spacing w:after="120"/>
      </w:pPr>
      <w:r/>
    </w:p>
    <w:p>
      <w:pPr>
        <w:pStyle w:val="Heading1"/>
      </w:pPr>
      <w:r>
        <w:t>1. Answer</w:t>
      </w:r>
    </w:p>
    <w:p>
      <w:pPr>
        <w:spacing w:after="120"/>
      </w:pPr>
      <w:r>
        <w:rPr>
          <w:b/>
          <w:sz w:val="22"/>
        </w:rPr>
        <w:t>Permission to Operate cannot issue on 08/04/2025. Please hold it.</w:t>
      </w:r>
    </w:p>
    <w:p>
      <w:r>
        <w:t>The site cannot meet the telemetry condition for Permission to Operate (TCS-02 §5; ISA §6.2 and §7.2) as it is built and as its ISA stands. At this site, the RTU’s station supply and the per-inverter data it must present are both energized only through the POI recloser. The RTU’s station supply is taken from Corwyn’s PV switchboard, and the five inverters draw their control power from their own ac output. The ISA keeps the recloser open at all times before Permission to Operate except for the witness test (ISA §6.1), and the recloser has been open since 15:35 on 07/08/2025. While it is open, the RTU has only its UPS and the inverters cannot answer at all. So there is no moment before Permission to Operate at which the SOC could find every required point valid, as TCS-02 §5(c) requires. The SOC confirmation entered on the commissioning checklist for 07/08/2025 was given on the witness-test day, when the RTU had power only because the recloser had been closed for the test. It cannot be carried forward.</w:t>
      </w:r>
    </w:p>
    <w:p>
      <w:r>
        <w:t>Clearing this needs two things: new construction by Corwyn Realty Partners under a new City of Wrenford permit, and a written amendment to the ISA signed by both parties. Nothing on the record shows either begun, or that Corwyn has been told. The Office does not expect them to be complete by 08/04/2025 and cannot give you a substitute date; the earliest date is set by item 1 below. There is no interim or conditional route: TCS-02 §5 has none.</w:t>
      </w:r>
    </w:p>
    <w:p>
      <w:r>
        <w:t>Leaving aside the four matters under separate review (section 4), nothing else on the record stands in the way. The witness test, the City’s final approval, the revenue meter and the equipment listing are in order. When the steps in section 5 are complete, the Office will tell you in writing. Permission to Operate then issues only on the TCS-02 §5 confirmation of the SOC Shift Supervisor on shift, given at the moment of issue.</w:t>
      </w:r>
    </w:p>
    <w:p>
      <w:pPr>
        <w:pStyle w:val="Heading1"/>
      </w:pPr>
      <w:r>
        <w:t>2. What stands in the way: summary</w:t>
      </w:r>
    </w:p>
    <w:tbl>
      <w:tblPr>
        <w:tblStyle w:val="TableGrid"/>
        <w:tblW w:type="auto" w:w="0"/>
        <w:tblLayout w:type="fixed"/>
        <w:tblCellMar>
          <w:top w:w="50" w:type="dxa"/>
          <w:left w:w="70" w:type="dxa"/>
          <w:bottom w:w="50" w:type="dxa"/>
          <w:right w:w="70" w:type="dxa"/>
        </w:tblCellMar>
        <w:tblLook w:firstColumn="1" w:firstRow="1" w:lastColumn="0" w:lastRow="0" w:noHBand="0" w:noVBand="1" w:val="04A0"/>
      </w:tblPr>
      <w:tblGrid>
        <w:gridCol w:w="432"/>
        <w:gridCol w:w="2951"/>
        <w:gridCol w:w="1944"/>
        <w:gridCol w:w="2520"/>
        <w:gridCol w:w="1512"/>
      </w:tblGrid>
      <w:tr>
        <w:trPr>
          <w:tblHeader w:val="true"/>
        </w:trPr>
        <w:tc>
          <w:tcPr>
            <w:tcW w:type="dxa" w:w="432"/>
            <w:shd w:val="clear" w:color="auto" w:fill="1F3A5F"/>
            <w:vAlign w:val="top"/>
          </w:tcPr>
          <w:p>
            <w:pPr>
              <w:spacing w:after="0" w:line="240" w:lineRule="auto"/>
            </w:pPr>
            <w:r>
              <w:rPr>
                <w:color w:val="FFFFFF"/>
              </w:rPr>
            </w:r>
            <w:r>
              <w:rPr>
                <w:b/>
                <w:color w:val="FFFFFF"/>
                <w:sz w:val="18"/>
              </w:rPr>
              <w:t>#</w:t>
            </w:r>
          </w:p>
        </w:tc>
        <w:tc>
          <w:tcPr>
            <w:tcW w:type="dxa" w:w="2952"/>
            <w:shd w:val="clear" w:color="auto" w:fill="1F3A5F"/>
            <w:vAlign w:val="top"/>
          </w:tcPr>
          <w:p>
            <w:pPr>
              <w:spacing w:after="0" w:line="240" w:lineRule="auto"/>
            </w:pPr>
            <w:r>
              <w:rPr>
                <w:color w:val="FFFFFF"/>
              </w:rPr>
            </w:r>
            <w:r>
              <w:rPr>
                <w:b/>
                <w:color w:val="FFFFFF"/>
                <w:sz w:val="18"/>
              </w:rPr>
              <w:t>What stands in the way</w:t>
            </w:r>
          </w:p>
        </w:tc>
        <w:tc>
          <w:tcPr>
            <w:tcW w:type="dxa" w:w="1944"/>
            <w:shd w:val="clear" w:color="auto" w:fill="1F3A5F"/>
            <w:vAlign w:val="top"/>
          </w:tcPr>
          <w:p>
            <w:pPr>
              <w:spacing w:after="0" w:line="240" w:lineRule="auto"/>
            </w:pPr>
            <w:r>
              <w:rPr>
                <w:color w:val="FFFFFF"/>
              </w:rPr>
            </w:r>
            <w:r>
              <w:rPr>
                <w:b/>
                <w:color w:val="FFFFFF"/>
                <w:sz w:val="18"/>
              </w:rPr>
              <w:t>Rests on</w:t>
            </w:r>
          </w:p>
        </w:tc>
        <w:tc>
          <w:tcPr>
            <w:tcW w:type="dxa" w:w="2520"/>
            <w:shd w:val="clear" w:color="auto" w:fill="1F3A5F"/>
            <w:vAlign w:val="top"/>
          </w:tcPr>
          <w:p>
            <w:pPr>
              <w:spacing w:after="0" w:line="240" w:lineRule="auto"/>
            </w:pPr>
            <w:r>
              <w:rPr>
                <w:color w:val="FFFFFF"/>
              </w:rPr>
            </w:r>
            <w:r>
              <w:rPr>
                <w:b/>
                <w:color w:val="FFFFFF"/>
                <w:sz w:val="18"/>
              </w:rPr>
              <w:t>Who has to act</w:t>
            </w:r>
          </w:p>
        </w:tc>
        <w:tc>
          <w:tcPr>
            <w:tcW w:type="dxa" w:w="1512"/>
            <w:shd w:val="clear" w:color="auto" w:fill="1F3A5F"/>
            <w:vAlign w:val="top"/>
          </w:tcPr>
          <w:p>
            <w:pPr>
              <w:spacing w:after="0" w:line="240" w:lineRule="auto"/>
            </w:pPr>
            <w:r>
              <w:rPr>
                <w:color w:val="FFFFFF"/>
              </w:rPr>
            </w:r>
            <w:r>
              <w:rPr>
                <w:b/>
                <w:color w:val="FFFFFF"/>
                <w:sz w:val="18"/>
              </w:rPr>
              <w:t>Before 08/04/2025?</w:t>
            </w:r>
          </w:p>
        </w:tc>
      </w:tr>
      <w:tr>
        <w:trPr>
          <w:cantSplit w:val="true"/>
        </w:trPr>
        <w:tc>
          <w:tcPr>
            <w:tcW w:type="dxa" w:w="432"/>
            <w:vAlign w:val="top"/>
          </w:tcPr>
          <w:p>
            <w:pPr>
              <w:spacing w:after="0" w:line="240" w:lineRule="auto"/>
            </w:pPr>
            <w:r/>
            <w:r>
              <w:rPr>
                <w:b/>
                <w:sz w:val="18"/>
              </w:rPr>
              <w:t>1</w:t>
            </w:r>
          </w:p>
        </w:tc>
        <w:tc>
          <w:tcPr>
            <w:tcW w:type="dxa" w:w="2952"/>
            <w:vAlign w:val="top"/>
          </w:tcPr>
          <w:p>
            <w:pPr>
              <w:spacing w:after="0" w:line="240" w:lineRule="auto"/>
            </w:pPr>
            <w:r/>
            <w:r>
              <w:rPr>
                <w:sz w:val="18"/>
              </w:rPr>
              <w:t>The RTU’s station supply is taken from the Facility side of the POI recloser, so the RTU is dark whenever the recloser is open. The stated UPS endurance is also unproven.</w:t>
            </w:r>
          </w:p>
        </w:tc>
        <w:tc>
          <w:tcPr>
            <w:tcW w:type="dxa" w:w="1944"/>
            <w:vAlign w:val="top"/>
          </w:tcPr>
          <w:p>
            <w:pPr>
              <w:spacing w:after="0" w:line="240" w:lineRule="auto"/>
            </w:pPr>
            <w:r/>
            <w:r>
              <w:rPr>
                <w:sz w:val="18"/>
              </w:rPr>
              <w:t>TCS-02 §3.1, §3.4, §4.3, §5; DIS-01 §6; ISA §4.1, §5.2, §6.2, §7.2, §8.3–§8.4</w:t>
            </w:r>
          </w:p>
        </w:tc>
        <w:tc>
          <w:tcPr>
            <w:tcW w:type="dxa" w:w="2520"/>
            <w:vAlign w:val="top"/>
          </w:tcPr>
          <w:p>
            <w:pPr>
              <w:spacing w:after="0" w:line="240" w:lineRule="auto"/>
            </w:pPr>
            <w:r/>
            <w:r>
              <w:rPr>
                <w:sz w:val="18"/>
              </w:rPr>
              <w:t>Corwyn Realty Partners (through Brantley Electric): new supply, UPS, City permit and final approval. SCADA/EMS Engineering: supply point, enclosure load, confirmation.</w:t>
            </w:r>
          </w:p>
        </w:tc>
        <w:tc>
          <w:tcPr>
            <w:tcW w:type="dxa" w:w="1512"/>
            <w:vAlign w:val="top"/>
          </w:tcPr>
          <w:p>
            <w:pPr>
              <w:spacing w:after="0" w:line="240" w:lineRule="auto"/>
            </w:pPr>
            <w:r/>
            <w:r>
              <w:rPr>
                <w:b/>
                <w:sz w:val="18"/>
              </w:rPr>
              <w:t>No.</w:t>
            </w:r>
          </w:p>
        </w:tc>
      </w:tr>
      <w:tr>
        <w:trPr>
          <w:cantSplit w:val="true"/>
        </w:trPr>
        <w:tc>
          <w:tcPr>
            <w:tcW w:type="dxa" w:w="432"/>
            <w:vAlign w:val="top"/>
          </w:tcPr>
          <w:p>
            <w:pPr>
              <w:spacing w:after="0" w:line="240" w:lineRule="auto"/>
            </w:pPr>
            <w:r/>
            <w:r>
              <w:rPr>
                <w:b/>
                <w:sz w:val="18"/>
              </w:rPr>
              <w:t>2</w:t>
            </w:r>
          </w:p>
        </w:tc>
        <w:tc>
          <w:tcPr>
            <w:tcW w:type="dxa" w:w="2952"/>
            <w:vAlign w:val="top"/>
          </w:tcPr>
          <w:p>
            <w:pPr>
              <w:spacing w:after="0" w:line="240" w:lineRule="auto"/>
            </w:pPr>
            <w:r/>
            <w:r>
              <w:rPr>
                <w:sz w:val="18"/>
              </w:rPr>
              <w:t>The ISA gives no way to energize the Facility before Permission to Operate, so the per-inverter points cannot be valid at the moment of issue.</w:t>
            </w:r>
          </w:p>
        </w:tc>
        <w:tc>
          <w:tcPr>
            <w:tcW w:type="dxa" w:w="1944"/>
            <w:vAlign w:val="top"/>
          </w:tcPr>
          <w:p>
            <w:pPr>
              <w:spacing w:after="0" w:line="240" w:lineRule="auto"/>
            </w:pPr>
            <w:r/>
            <w:r>
              <w:rPr>
                <w:sz w:val="18"/>
              </w:rPr>
              <w:t>TCS-02 §5(c), §6.1, §6.3; ISA §6.1, §12.1</w:t>
            </w:r>
          </w:p>
        </w:tc>
        <w:tc>
          <w:tcPr>
            <w:tcW w:type="dxa" w:w="2520"/>
            <w:vAlign w:val="top"/>
          </w:tcPr>
          <w:p>
            <w:pPr>
              <w:spacing w:after="0" w:line="240" w:lineRule="auto"/>
            </w:pPr>
            <w:r/>
            <w:r>
              <w:rPr>
                <w:sz w:val="18"/>
              </w:rPr>
              <w:t>DER Program Office — Contracts and Corwyn Realty Partners: ISA amendment. Distribution Operations: switching.</w:t>
            </w:r>
          </w:p>
        </w:tc>
        <w:tc>
          <w:tcPr>
            <w:tcW w:type="dxa" w:w="1512"/>
            <w:vAlign w:val="top"/>
          </w:tcPr>
          <w:p>
            <w:pPr>
              <w:spacing w:after="0" w:line="240" w:lineRule="auto"/>
            </w:pPr>
            <w:r/>
            <w:r>
              <w:rPr>
                <w:b/>
                <w:sz w:val="18"/>
              </w:rPr>
              <w:t>The amendment could be signed in time, but Permission to Operate still waits on item 1.</w:t>
            </w:r>
          </w:p>
        </w:tc>
      </w:tr>
      <w:tr>
        <w:trPr>
          <w:cantSplit w:val="true"/>
        </w:trPr>
        <w:tc>
          <w:tcPr>
            <w:tcW w:type="dxa" w:w="432"/>
            <w:vAlign w:val="top"/>
          </w:tcPr>
          <w:p>
            <w:pPr>
              <w:spacing w:after="0" w:line="240" w:lineRule="auto"/>
            </w:pPr>
            <w:r/>
            <w:r>
              <w:rPr>
                <w:b/>
                <w:sz w:val="18"/>
              </w:rPr>
              <w:t>3</w:t>
            </w:r>
          </w:p>
        </w:tc>
        <w:tc>
          <w:tcPr>
            <w:tcW w:type="dxa" w:w="2952"/>
            <w:vAlign w:val="top"/>
          </w:tcPr>
          <w:p>
            <w:pPr>
              <w:spacing w:after="0" w:line="240" w:lineRule="auto"/>
            </w:pPr>
            <w:r/>
            <w:r>
              <w:rPr>
                <w:sz w:val="18"/>
              </w:rPr>
              <w:t>The SOC confirmation recorded on the commissioning checklist (07/08/2025) is not a TCS-02 §5 confirmation.</w:t>
            </w:r>
          </w:p>
        </w:tc>
        <w:tc>
          <w:tcPr>
            <w:tcW w:type="dxa" w:w="1944"/>
            <w:vAlign w:val="top"/>
          </w:tcPr>
          <w:p>
            <w:pPr>
              <w:spacing w:after="0" w:line="240" w:lineRule="auto"/>
            </w:pPr>
            <w:r/>
            <w:r>
              <w:rPr>
                <w:sz w:val="18"/>
              </w:rPr>
              <w:t>TCS-02 §5</w:t>
            </w:r>
          </w:p>
        </w:tc>
        <w:tc>
          <w:tcPr>
            <w:tcW w:type="dxa" w:w="2520"/>
            <w:vAlign w:val="top"/>
          </w:tcPr>
          <w:p>
            <w:pPr>
              <w:spacing w:after="0" w:line="240" w:lineRule="auto"/>
            </w:pPr>
            <w:r/>
            <w:r>
              <w:rPr>
                <w:sz w:val="18"/>
              </w:rPr>
              <w:t>Commissioning: correct CX-CW-01. SOC Shift Supervisor: confirm at the moment of issue.</w:t>
            </w:r>
          </w:p>
        </w:tc>
        <w:tc>
          <w:tcPr>
            <w:tcW w:type="dxa" w:w="1512"/>
            <w:vAlign w:val="top"/>
          </w:tcPr>
          <w:p>
            <w:pPr>
              <w:spacing w:after="0" w:line="240" w:lineRule="auto"/>
            </w:pPr>
            <w:r/>
            <w:r>
              <w:rPr>
                <w:b/>
                <w:sz w:val="18"/>
              </w:rPr>
              <w:t>Correction now; the confirmation can only be given at issue.</w:t>
            </w:r>
          </w:p>
        </w:tc>
      </w:tr>
    </w:tbl>
    <w:p>
      <w:pPr>
        <w:pStyle w:val="Heading1"/>
      </w:pPr>
      <w:r>
        <w:t>3. The items in detail</w:t>
      </w:r>
    </w:p>
    <w:p>
      <w:pPr>
        <w:pStyle w:val="Heading2"/>
      </w:pPr>
      <w:r>
        <w:t>3.1 Item 1: the RTU’s station supply is taken from the Facility side of the POI recloser</w:t>
      </w:r>
    </w:p>
    <w:p>
      <w:r>
        <w:rPr>
          <w:b/>
        </w:rPr>
        <w:t xml:space="preserve">What it is. </w:t>
      </w:r>
      <w:r>
        <w:t>Corwyn’s contractor supplies the RTU enclosure on the POI pole from auxiliary panel PP-1, circuit 1. This is a dedicated 20 A circuit through a 1.5 kVA online UPS in the enclosure, stated as “5.5 h at the RTU load”. PP-1 is fed by auxiliary transformer TX-1, and TX-1 by a 40 A breaker in the PV switchboard SWBD-PV. SWBD-PV in turn is fed from the POI recloser through its own main breaker, step-up transformer T-1 and primary switch PSW-1 (Equipment Schedule, drawing E-101 Rev C; ISA Exhibit A). The RTU therefore has a mains supply only while the recloser, PSW-1, the SWBD-PV main and the TX-1 breaker are all closed. In every other state it runs on its UPS and then goes dark. Those states include the whole period before Permission to Operate (ISA §6.1), any trip to lockout (DPS-07 §5.1(b)), any time the Company keeps the Facility off (ISA §8.3) and any clearance that opens PSW-1 or the SWBD-PV main (ISA §8.5). On the record, the RTU has had no mains supply since the recloser was opened at 15:35 on 07/08/2025 (witness test record WT-0629-01). On the contractor’s own 5.5-hour figure, it would have gone dark at about 21:05 that evening. The SCADA display should be showing the Corwyn points as communications-lost; please check.</w:t>
      </w:r>
    </w:p>
    <w:p>
      <w:r>
        <w:t>A supply that does not depend on the recloser is available on site. Corwyn’s own monitoring cabinet DAS-1, which is not part of the Company’s telemetry (ISA Exhibit B.3), is fed from office-building panel LP-2, circuit 14 (Monitoring and Communications Schedule, drawing E-401 Rev C). Of the two, the Company’s RTU has the less secure supply.</w:t>
      </w:r>
    </w:p>
    <w:p>
      <w:r>
        <w:t>The stated UPS endurance is also unproven. If the unit is the Corvane OL-1500R, the 1.5 kVA online unit whose data sheet is on file, 5.5 h on its published runtime table corresponds to a load of only about 25 W. SCADA/EMS Engineering’s own figures for its standard enclosure kit at another site are a YOT-8963 RTU at 38 W and a cellular modem at 12 W (SCADA-PC-RTU-DWG-01). At that load the same table gives 3.9 h on a new battery at 25 °C. After the data sheet’s 20% derating for end of battery life and for temperatures below 10 °C, it gives about 3.1 h. This site will see those temperatures: its design low is −24 °C (drawing E-301 Rev C). TCS-02 §3.4 requires at least 4 hours.</w:t>
      </w:r>
    </w:p>
    <w:p>
      <w:r>
        <w:rPr>
          <w:b/>
        </w:rPr>
        <w:t xml:space="preserve">What it rests on. </w:t>
      </w:r>
      <w:r>
        <w:t>TCS-02 §3.1: the customer provides the station AC service specified in the utility’s site-specific RTU installation drawing. TCS-02 §3.4: a dedicated branch circuit backed by an uninterruptible supply of at least 4 hours, “sufficient to maintain telemetry through short-duration station outages”. That wording assumes a supply that is normally present, with the UPS bridging short interruptions. This supply is absent for as long as the recloser is open. TCS-02 §4.3: the telemetry path is designed for 99.5% monthly availability, and persistent loss of telemetry is a departure from the interconnection basis. TCS-02 §5 and DIS-01 §6: live telemetry is a condition of Permission to Operate. ISA §4.1: the Facility conforms to TCS-02. ISA §5.2 and §7.2: Corwyn provides, at its cost, the station service and the other provisions for the RTU. ISA §8.3 and §8.4: the Company may keep the Facility off on loss of telemetry, and reconnection is only on the SOC’s release. As built, the RTU is dark in exactly the condition in which the SOC most needs it: recloser open, waiting to see the source restored and to release reconnection.</w:t>
      </w:r>
    </w:p>
    <w:p>
      <w:pPr>
        <w:keepNext/>
        <w:spacing w:after="40"/>
      </w:pPr>
      <w:r>
        <w:rPr>
          <w:b/>
        </w:rPr>
        <w:t>What has to be done, and by whom.</w:t>
      </w:r>
    </w:p>
    <w:p>
      <w:pPr>
        <w:pStyle w:val="ListBullet"/>
      </w:pPr>
      <w:r>
        <w:rPr>
          <w:b/>
        </w:rPr>
        <w:t xml:space="preserve">Corwyn Realty Partners, through Brantley Electric Company: </w:t>
      </w:r>
      <w:r>
        <w:t>supply the RTU enclosure from a source that is live whenever the feeder is live and does not depend on the POI recloser or the Facility. One example is a dedicated 120 V branch circuit from the office complex’s own building distribution, which is how DAS-1 is already fed. The supply must pass through a UPS that has been shown, from the manufacturer’s runtime data at the enclosure’s actual load and after the manufacturer’s derating, to carry the enclosure for at least 4 hours. PP-1 circuit 1 is then disconnected from the enclosure. This is new electrical work. It needs a City of Wrenford permit, and the City’s final approval before it is energized (permit WEP-25-0317 condition; ISA §6.2).</w:t>
      </w:r>
    </w:p>
    <w:p>
      <w:pPr>
        <w:pStyle w:val="ListBullet"/>
      </w:pPr>
      <w:r>
        <w:rPr>
          <w:b/>
        </w:rPr>
        <w:t xml:space="preserve">SCADA/EMS Engineering (Marcus Deele): </w:t>
      </w:r>
      <w:r>
        <w:t>specify the new supply point in the site-specific RTU installation drawing. That drawing is what TCS-02 §3.1 and ISA §5.2 require Corwyn to build to. Also state the enclosure load the UPS must carry, and confirm that the RTU runs from the new supply with the recloser open.</w:t>
      </w:r>
    </w:p>
    <w:p>
      <w:pPr>
        <w:pStyle w:val="ListBullet"/>
      </w:pPr>
      <w:r>
        <w:rPr>
          <w:b/>
        </w:rPr>
        <w:t xml:space="preserve">Commissioning (S. Rennick): </w:t>
      </w:r>
      <w:r>
        <w:t>add a TCS-02 §3.4 station-service line to the commissioning checklist, as CX-PC-01 has. Close it only on the City’s approval and the UPS demonstration.</w:t>
      </w:r>
    </w:p>
    <w:p>
      <w:pPr>
        <w:spacing w:before="60"/>
      </w:pPr>
      <w:r>
        <w:rPr>
          <w:b/>
        </w:rPr>
        <w:t xml:space="preserve">Can it be done before 08/04/2025? </w:t>
      </w:r>
      <w:r>
        <w:t>No. The work needs a design, a revised SCADA/EMS drawing, a new City permit, a new run to the POI pole in the north lot, City inspection and final approval, and SCADA/EMS confirmation. All of that would have to fit into the 15 business days from 07/15/2025 to 08/04/2025, and nothing on the record shows Corwyn has been told. The Office does not expect it by 08/04/2025, and you should not plan on that date.</w:t>
      </w:r>
    </w:p>
    <w:p>
      <w:pPr>
        <w:pStyle w:val="Heading2"/>
      </w:pPr>
      <w:r>
        <w:t>3.2 Item 2: no way to energize the Facility before Permission to Operate, so the per-inverter points cannot be valid at the moment of issue</w:t>
      </w:r>
    </w:p>
    <w:p>
      <w:r>
        <w:rPr>
          <w:b/>
        </w:rPr>
        <w:t xml:space="preserve">What it is. </w:t>
      </w:r>
      <w:r>
        <w:t>TCS-02 §6.1 requires gross generation and run/standby/fault status for each inverter block. TCS-02 §5(c) requires every required point to be valid (not stale, not forced, not flagged bad-quality) at the moment Permission to Operate is issued. At Corwyn those points come straight from the five inverters over one RS-485 link to the RTU (link COM-RTU, drawing E-401 Rev C). The inverters draw their control power from their own ac output terminals (drawing E-101 Rev C). With the Facility de-energized they cannot answer, and the RTU must flag their points as communications-lost (TCS-02 §6.3). Re-supplying the RTU under item 1 does not change that. The Facility can be energized before Permission to Operate only by closing the recloser. ISA §6.1 allows that solely for the witness test, which is complete. Unlike ISA-Halbray-Field-Site-3, the Corwyn ISA has no pre-PTO backfeed term. As the ISA stands, there is no moment at which the SOC could find all the points valid.</w:t>
      </w:r>
    </w:p>
    <w:p>
      <w:r>
        <w:rPr>
          <w:b/>
        </w:rPr>
        <w:t xml:space="preserve">What it rests on. </w:t>
      </w:r>
      <w:r>
        <w:t>TCS-02 §5(c), §6.1 and §6.3; ISA §6.1, §6.2, §7.2 and §12.1. Also the standing note on the SOC PTO-Hold Log: TCS-02 §5 has no interim provision.</w:t>
      </w:r>
    </w:p>
    <w:p>
      <w:pPr>
        <w:keepNext/>
        <w:spacing w:after="40"/>
      </w:pPr>
      <w:r>
        <w:rPr>
          <w:b/>
        </w:rPr>
        <w:t>What has to be done, and by whom.</w:t>
      </w:r>
    </w:p>
    <w:p>
      <w:pPr>
        <w:pStyle w:val="ListBullet"/>
      </w:pPr>
      <w:r>
        <w:rPr>
          <w:b/>
        </w:rPr>
        <w:t xml:space="preserve">DER Program Office — Contracts, with Corwyn Realty Partners: </w:t>
      </w:r>
      <w:r>
        <w:t>amend the ISA by an instrument in writing signed by authorized representatives of both parties (ISA §12.1). The amendment would let the Company, on Corwyn’s written request, energize the Facility from the feeder before Permission to Operate, with the inverters disabled and not in parallel. The executed Halbray ISA already provides for this. The amendment changes neither the capacity nor the Point of Interconnection. It is therefore an ordinary written change (DIS-01 §7, “other post-execution changes”; ISA §12.2), not a withdrawal and reapplication under Tariff §12.6. It is not parallel operation and relaxes nothing in TCS-02 §5. The only alternative would be a per-inverter data source that stays live and valid with the Facility dead, and the installed inverters cannot provide one.</w:t>
      </w:r>
    </w:p>
    <w:p>
      <w:pPr>
        <w:pStyle w:val="ListBullet"/>
      </w:pPr>
      <w:r>
        <w:rPr>
          <w:b/>
        </w:rPr>
        <w:t xml:space="preserve">Corwyn Realty Partners: </w:t>
      </w:r>
      <w:r>
        <w:t>sign the amendment and request the energization in writing.</w:t>
      </w:r>
    </w:p>
    <w:p>
      <w:pPr>
        <w:pStyle w:val="ListBullet"/>
      </w:pPr>
      <w:r>
        <w:rPr>
          <w:b/>
        </w:rPr>
        <w:t xml:space="preserve">Distribution Operations: </w:t>
      </w:r>
      <w:r>
        <w:t>perform the energization under its own switching order, once the amendment is executed and item 1 is closed.</w:t>
      </w:r>
    </w:p>
    <w:p>
      <w:pPr>
        <w:pStyle w:val="ListBullet"/>
      </w:pPr>
      <w:r>
        <w:rPr>
          <w:b/>
        </w:rPr>
        <w:t xml:space="preserve">SOC Shift Supervisor on shift: </w:t>
      </w:r>
      <w:r>
        <w:t>with the Facility energized in this way, confirm every TCS-02 §6 point valid at the moment of issue.</w:t>
      </w:r>
    </w:p>
    <w:p>
      <w:pPr>
        <w:spacing w:before="60"/>
      </w:pPr>
      <w:r>
        <w:rPr>
          <w:b/>
        </w:rPr>
        <w:t xml:space="preserve">Can it be done before 08/04/2025? </w:t>
      </w:r>
      <w:r>
        <w:t>The amendment could be drafted and signed in that time if both parties act promptly. Permission to Operate would still wait on item 1.</w:t>
      </w:r>
    </w:p>
    <w:p>
      <w:pPr>
        <w:pStyle w:val="Heading2"/>
      </w:pPr>
      <w:r>
        <w:t>3.3 Item 3: the SOC confirmation on the commissioning checklist is not a TCS-02 §5 confirmation</w:t>
      </w:r>
    </w:p>
    <w:p>
      <w:r>
        <w:rPr>
          <w:b/>
        </w:rPr>
        <w:t xml:space="preserve">What it is. </w:t>
      </w:r>
      <w:r>
        <w:t>Commissioning checklist CX-CW-01 Rev 2 (07/14/2025) records “Telemetry live at the SOC, confirmed by the SOC Shift Supervisor (L. Kovalchuk), 07/08/2025”. That was the witness-test day; the recloser was closed from 08:10 to 15:35 (WT-0629-01). TCS-02 §5 requires confirmation by the SOC Shift Supervisor on shift at the time Permission to Operate is requested, with all points valid at the moment it is issued. Corwyn requested Permission to Operate on 07/10/2025, after the recloser had been reopened. The other current checklists (CX-PC-01, CX-HB-03, CX-WB-01) correctly hold this item open until the PTO request. The Corwyn checklist also has no line for the RTU’s station service (TCS-02 §3.4), which is why item 1 was not picked up.</w:t>
      </w:r>
    </w:p>
    <w:p>
      <w:r>
        <w:rPr>
          <w:b/>
        </w:rPr>
        <w:t xml:space="preserve">What has to be done, and by whom. </w:t>
      </w:r>
      <w:r>
        <w:t>Commissioning (S. Rennick) revises CX-CW-01 to show the TCS-02 §5 confirmation as open, to be given at issue, and adds the station-service line from item 1. The SOC gives the §5 confirmation at issue, and only then.</w:t>
      </w:r>
    </w:p>
    <w:p>
      <w:r>
        <w:rPr>
          <w:b/>
        </w:rPr>
        <w:t xml:space="preserve">Can it be done before 08/04/2025? </w:t>
      </w:r>
      <w:r>
        <w:t>The correction can be made at once. The confirmation itself can only follow items 1 and 2.</w:t>
      </w:r>
    </w:p>
    <w:p>
      <w:pPr>
        <w:pStyle w:val="Heading1"/>
      </w:pPr>
      <w:r>
        <w:t>4. What is in order, and what this memo does not cover</w:t>
      </w:r>
    </w:p>
    <w:p>
      <w:pPr>
        <w:keepNext/>
        <w:spacing w:after="40"/>
      </w:pPr>
      <w:r>
        <w:t>The other conditions of ISA §6.2 are met on the record. None of them stands in the way.</w:t>
      </w:r>
    </w:p>
    <w:p>
      <w:pPr>
        <w:pStyle w:val="ListBullet"/>
      </w:pPr>
      <w:r>
        <w:rPr>
          <w:b/>
        </w:rPr>
        <w:t xml:space="preserve">Witness test complete: </w:t>
      </w:r>
      <w:r>
        <w:t>WT-0629-01, 07/08/2025, under switching order DO-2025-0677, signed by the witness engineer (M. Halbrook, P.E.). Every test point on INV-C1 to INV-C5 and on the facility passed, and the instruments were within calibration. A witness test was required because the SWBD-PV breakers are not carried on CEL-2025-Q2. The test and its record meet ENG-PRC-014 Rev 3 §4.1 to §4.3.</w:t>
      </w:r>
    </w:p>
    <w:p>
      <w:pPr>
        <w:pStyle w:val="ListBullet"/>
      </w:pPr>
      <w:r>
        <w:rPr>
          <w:b/>
        </w:rPr>
        <w:t xml:space="preserve">Authority having jurisdiction: </w:t>
      </w:r>
      <w:r>
        <w:t>City of Wrenford Certificate of Final Approval, permit WEP-25-0317, 07/02/2025. It covers the whole permitted scope, with no corrections.</w:t>
      </w:r>
    </w:p>
    <w:p>
      <w:pPr>
        <w:pStyle w:val="ListBullet"/>
      </w:pPr>
      <w:r>
        <w:rPr>
          <w:b/>
        </w:rPr>
        <w:t xml:space="preserve">Revenue meter RM-0629: </w:t>
      </w:r>
      <w:r>
        <w:t>set and tested by Alleniom Metering, 07/08/2025.</w:t>
      </w:r>
    </w:p>
    <w:p>
      <w:pPr>
        <w:pStyle w:val="ListBullet"/>
      </w:pPr>
      <w:r>
        <w:rPr>
          <w:b/>
        </w:rPr>
        <w:t xml:space="preserve">Equipment: </w:t>
      </w:r>
      <w:r>
        <w:t>five Vexlar VX-140C inverters, with serial numbers matching certificate of conformance VX-CC-25-0522 (UL 1741-SB; IEEE 1547-2018 Category III). The model is carried on CEL-2025-Q2 (Inverters tab, row 18). The witness test confirmed Category III default settings and constant power factor 1.00, as ISA Exhibit B.1 requires.</w:t>
      </w:r>
    </w:p>
    <w:p>
      <w:pPr>
        <w:pStyle w:val="ListBullet"/>
      </w:pPr>
      <w:r>
        <w:rPr>
          <w:b/>
        </w:rPr>
        <w:t xml:space="preserve">Agreement: </w:t>
      </w:r>
      <w:r>
        <w:t>ISA executed 09/12/2024 (Tariff §12.6).</w:t>
      </w:r>
    </w:p>
    <w:p>
      <w:pPr>
        <w:keepNext/>
        <w:spacing w:after="40" w:before="80"/>
      </w:pPr>
      <w:r>
        <w:rPr>
          <w:b/>
        </w:rPr>
        <w:t xml:space="preserve">Not covered. </w:t>
      </w:r>
      <w:r>
        <w:t>Four matters are under separate review and are not addressed here:</w:t>
      </w:r>
    </w:p>
    <w:p>
      <w:pPr>
        <w:pStyle w:val="ListBullet"/>
      </w:pPr>
      <w:r>
        <w:t>the installation, configuration and commissioning tests of the Company’s RTU and POI recloser at the site (SCADA/EMS Engineering; Distribution Protection Engineering);</w:t>
      </w:r>
    </w:p>
    <w:p>
      <w:pPr>
        <w:pStyle w:val="ListBullet"/>
      </w:pPr>
      <w:r>
        <w:t>the POI recloser’s settings and the protection coordination study behind them (Distribution Protection Engineering);</w:t>
      </w:r>
    </w:p>
    <w:p>
      <w:pPr>
        <w:pStyle w:val="ListBullet"/>
      </w:pPr>
      <w:r>
        <w:t>the site’s queue position (Meera Vellanki, weekly queue reports); and</w:t>
      </w:r>
    </w:p>
    <w:p>
      <w:pPr>
        <w:pStyle w:val="ListBullet"/>
      </w:pPr>
      <w:r>
        <w:t>the system impact study and its conditions (Ivo Grantham, DER Planning Group).</w:t>
      </w:r>
    </w:p>
    <w:p>
      <w:pPr>
        <w:spacing w:before="40"/>
      </w:pPr>
      <w:r>
        <w:t>Items 1 to 3 do not depend on any of these and do not question them. They concern Corwyn’s supply and data link to the RTU, the ISA’s pre-PTO terms and the commissioning record.</w:t>
      </w:r>
    </w:p>
    <w:p>
      <w:pPr>
        <w:pStyle w:val="Heading1"/>
      </w:pPr>
      <w:r>
        <w:t>5. Path to Permission to Operate</w:t>
      </w:r>
    </w:p>
    <w:tbl>
      <w:tblPr>
        <w:tblStyle w:val="TableGrid"/>
        <w:tblW w:type="auto" w:w="0"/>
        <w:tblLayout w:type="fixed"/>
        <w:tblCellMar>
          <w:top w:w="40" w:type="dxa"/>
          <w:left w:w="70" w:type="dxa"/>
          <w:bottom w:w="40" w:type="dxa"/>
          <w:right w:w="70" w:type="dxa"/>
        </w:tblCellMar>
        <w:tblLook w:firstColumn="1" w:firstRow="1" w:lastColumn="0" w:lastRow="0" w:noHBand="0" w:noVBand="1" w:val="04A0"/>
      </w:tblPr>
      <w:tblGrid>
        <w:gridCol w:w="648"/>
        <w:gridCol w:w="5976"/>
        <w:gridCol w:w="2736"/>
      </w:tblGrid>
      <w:tr>
        <w:trPr>
          <w:tblHeader w:val="true"/>
        </w:trPr>
        <w:tc>
          <w:tcPr>
            <w:tcW w:type="dxa" w:w="648"/>
            <w:shd w:val="clear" w:color="auto" w:fill="1F3A5F"/>
            <w:vAlign w:val="top"/>
          </w:tcPr>
          <w:p>
            <w:pPr>
              <w:spacing w:after="0" w:line="240" w:lineRule="auto"/>
            </w:pPr>
            <w:r>
              <w:rPr>
                <w:color w:val="FFFFFF"/>
              </w:rPr>
            </w:r>
            <w:r>
              <w:rPr>
                <w:b/>
                <w:color w:val="FFFFFF"/>
                <w:sz w:val="18"/>
              </w:rPr>
              <w:t>Step</w:t>
            </w:r>
          </w:p>
        </w:tc>
        <w:tc>
          <w:tcPr>
            <w:tcW w:type="dxa" w:w="5976"/>
            <w:shd w:val="clear" w:color="auto" w:fill="1F3A5F"/>
            <w:vAlign w:val="top"/>
          </w:tcPr>
          <w:p>
            <w:pPr>
              <w:spacing w:after="0" w:line="240" w:lineRule="auto"/>
            </w:pPr>
            <w:r>
              <w:rPr>
                <w:color w:val="FFFFFF"/>
              </w:rPr>
            </w:r>
            <w:r>
              <w:rPr>
                <w:b/>
                <w:color w:val="FFFFFF"/>
                <w:sz w:val="18"/>
              </w:rPr>
              <w:t>What</w:t>
            </w:r>
          </w:p>
        </w:tc>
        <w:tc>
          <w:tcPr>
            <w:tcW w:type="dxa" w:w="2736"/>
            <w:shd w:val="clear" w:color="auto" w:fill="1F3A5F"/>
            <w:vAlign w:val="top"/>
          </w:tcPr>
          <w:p>
            <w:pPr>
              <w:spacing w:after="0" w:line="240" w:lineRule="auto"/>
            </w:pPr>
            <w:r>
              <w:rPr>
                <w:color w:val="FFFFFF"/>
              </w:rPr>
            </w:r>
            <w:r>
              <w:rPr>
                <w:b/>
                <w:color w:val="FFFFFF"/>
                <w:sz w:val="18"/>
              </w:rPr>
              <w:t>By</w:t>
            </w:r>
          </w:p>
        </w:tc>
      </w:tr>
      <w:tr>
        <w:trPr>
          <w:cantSplit w:val="true"/>
        </w:trPr>
        <w:tc>
          <w:tcPr>
            <w:tcW w:type="dxa" w:w="648"/>
            <w:vAlign w:val="top"/>
          </w:tcPr>
          <w:p>
            <w:pPr>
              <w:spacing w:after="0" w:line="240" w:lineRule="auto"/>
              <w:jc w:val="center"/>
            </w:pPr>
            <w:r/>
            <w:r>
              <w:rPr>
                <w:sz w:val="18"/>
              </w:rPr>
              <w:t>1</w:t>
            </w:r>
          </w:p>
        </w:tc>
        <w:tc>
          <w:tcPr>
            <w:tcW w:type="dxa" w:w="5976"/>
            <w:vAlign w:val="top"/>
          </w:tcPr>
          <w:p>
            <w:pPr>
              <w:spacing w:after="0" w:line="240" w:lineRule="auto"/>
            </w:pPr>
            <w:r/>
            <w:r>
              <w:rPr>
                <w:sz w:val="18"/>
              </w:rPr>
              <w:t>Reply in writing to Corwyn’s 07/10/2025 request (ISA §13.3): 08/04/2025 is not confirmed; set out items 1 and 2.</w:t>
            </w:r>
          </w:p>
        </w:tc>
        <w:tc>
          <w:tcPr>
            <w:tcW w:type="dxa" w:w="2736"/>
            <w:vAlign w:val="top"/>
          </w:tcPr>
          <w:p>
            <w:pPr>
              <w:spacing w:after="0" w:line="240" w:lineRule="auto"/>
            </w:pPr>
            <w:r/>
            <w:r>
              <w:rPr>
                <w:sz w:val="18"/>
              </w:rPr>
              <w:t>DER Program Office (Commissioning)</w:t>
            </w:r>
          </w:p>
        </w:tc>
      </w:tr>
      <w:tr>
        <w:trPr>
          <w:cantSplit w:val="true"/>
        </w:trPr>
        <w:tc>
          <w:tcPr>
            <w:tcW w:type="dxa" w:w="648"/>
            <w:vAlign w:val="top"/>
          </w:tcPr>
          <w:p>
            <w:pPr>
              <w:spacing w:after="0" w:line="240" w:lineRule="auto"/>
              <w:jc w:val="center"/>
            </w:pPr>
            <w:r/>
            <w:r>
              <w:rPr>
                <w:sz w:val="18"/>
              </w:rPr>
              <w:t>2</w:t>
            </w:r>
          </w:p>
        </w:tc>
        <w:tc>
          <w:tcPr>
            <w:tcW w:type="dxa" w:w="5976"/>
            <w:vAlign w:val="top"/>
          </w:tcPr>
          <w:p>
            <w:pPr>
              <w:spacing w:after="0" w:line="240" w:lineRule="auto"/>
            </w:pPr>
            <w:r/>
            <w:r>
              <w:rPr>
                <w:sz w:val="18"/>
              </w:rPr>
              <w:t>Specify the new RTU supply point in the site-specific RTU installation drawing; state the enclosure load.</w:t>
            </w:r>
          </w:p>
        </w:tc>
        <w:tc>
          <w:tcPr>
            <w:tcW w:type="dxa" w:w="2736"/>
            <w:vAlign w:val="top"/>
          </w:tcPr>
          <w:p>
            <w:pPr>
              <w:spacing w:after="0" w:line="240" w:lineRule="auto"/>
            </w:pPr>
            <w:r/>
            <w:r>
              <w:rPr>
                <w:sz w:val="18"/>
              </w:rPr>
              <w:t>SCADA/EMS Engineering</w:t>
            </w:r>
          </w:p>
        </w:tc>
      </w:tr>
      <w:tr>
        <w:trPr>
          <w:cantSplit w:val="true"/>
        </w:trPr>
        <w:tc>
          <w:tcPr>
            <w:tcW w:type="dxa" w:w="648"/>
            <w:vAlign w:val="top"/>
          </w:tcPr>
          <w:p>
            <w:pPr>
              <w:spacing w:after="0" w:line="240" w:lineRule="auto"/>
              <w:jc w:val="center"/>
            </w:pPr>
            <w:r/>
            <w:r>
              <w:rPr>
                <w:sz w:val="18"/>
              </w:rPr>
              <w:t>3</w:t>
            </w:r>
          </w:p>
        </w:tc>
        <w:tc>
          <w:tcPr>
            <w:tcW w:type="dxa" w:w="5976"/>
            <w:vAlign w:val="top"/>
          </w:tcPr>
          <w:p>
            <w:pPr>
              <w:spacing w:after="0" w:line="240" w:lineRule="auto"/>
            </w:pPr>
            <w:r/>
            <w:r>
              <w:rPr>
                <w:sz w:val="18"/>
              </w:rPr>
              <w:t>Build the new RTU supply; show the UPS carries the enclosure for ≥ 4 h at that load after derating; obtain the City permit and final approval; disconnect PP-1 circuit 1.</w:t>
            </w:r>
          </w:p>
        </w:tc>
        <w:tc>
          <w:tcPr>
            <w:tcW w:type="dxa" w:w="2736"/>
            <w:vAlign w:val="top"/>
          </w:tcPr>
          <w:p>
            <w:pPr>
              <w:spacing w:after="0" w:line="240" w:lineRule="auto"/>
            </w:pPr>
            <w:r/>
            <w:r>
              <w:rPr>
                <w:sz w:val="18"/>
              </w:rPr>
              <w:t>Corwyn Realty Partners (Brantley Electric)</w:t>
            </w:r>
          </w:p>
        </w:tc>
      </w:tr>
      <w:tr>
        <w:trPr>
          <w:cantSplit w:val="true"/>
        </w:trPr>
        <w:tc>
          <w:tcPr>
            <w:tcW w:type="dxa" w:w="648"/>
            <w:vAlign w:val="top"/>
          </w:tcPr>
          <w:p>
            <w:pPr>
              <w:spacing w:after="0" w:line="240" w:lineRule="auto"/>
              <w:jc w:val="center"/>
            </w:pPr>
            <w:r/>
            <w:r>
              <w:rPr>
                <w:sz w:val="18"/>
              </w:rPr>
              <w:t>4</w:t>
            </w:r>
          </w:p>
        </w:tc>
        <w:tc>
          <w:tcPr>
            <w:tcW w:type="dxa" w:w="5976"/>
            <w:vAlign w:val="top"/>
          </w:tcPr>
          <w:p>
            <w:pPr>
              <w:spacing w:after="0" w:line="240" w:lineRule="auto"/>
            </w:pPr>
            <w:r/>
            <w:r>
              <w:rPr>
                <w:sz w:val="18"/>
              </w:rPr>
              <w:t>Confirm the RTU runs from the new supply with the recloser open.</w:t>
            </w:r>
          </w:p>
        </w:tc>
        <w:tc>
          <w:tcPr>
            <w:tcW w:type="dxa" w:w="2736"/>
            <w:vAlign w:val="top"/>
          </w:tcPr>
          <w:p>
            <w:pPr>
              <w:spacing w:after="0" w:line="240" w:lineRule="auto"/>
            </w:pPr>
            <w:r/>
            <w:r>
              <w:rPr>
                <w:sz w:val="18"/>
              </w:rPr>
              <w:t>SCADA/EMS Engineering</w:t>
            </w:r>
          </w:p>
        </w:tc>
      </w:tr>
      <w:tr>
        <w:trPr>
          <w:cantSplit w:val="true"/>
        </w:trPr>
        <w:tc>
          <w:tcPr>
            <w:tcW w:type="dxa" w:w="648"/>
            <w:vAlign w:val="top"/>
          </w:tcPr>
          <w:p>
            <w:pPr>
              <w:spacing w:after="0" w:line="240" w:lineRule="auto"/>
              <w:jc w:val="center"/>
            </w:pPr>
            <w:r/>
            <w:r>
              <w:rPr>
                <w:sz w:val="18"/>
              </w:rPr>
              <w:t>5</w:t>
            </w:r>
          </w:p>
        </w:tc>
        <w:tc>
          <w:tcPr>
            <w:tcW w:type="dxa" w:w="5976"/>
            <w:vAlign w:val="top"/>
          </w:tcPr>
          <w:p>
            <w:pPr>
              <w:spacing w:after="0" w:line="240" w:lineRule="auto"/>
            </w:pPr>
            <w:r/>
            <w:r>
              <w:rPr>
                <w:sz w:val="18"/>
              </w:rPr>
              <w:t>Execute the ISA amendment for pre-PTO energization with the inverters disabled.</w:t>
            </w:r>
          </w:p>
        </w:tc>
        <w:tc>
          <w:tcPr>
            <w:tcW w:type="dxa" w:w="2736"/>
            <w:vAlign w:val="top"/>
          </w:tcPr>
          <w:p>
            <w:pPr>
              <w:spacing w:after="0" w:line="240" w:lineRule="auto"/>
            </w:pPr>
            <w:r/>
            <w:r>
              <w:rPr>
                <w:sz w:val="18"/>
              </w:rPr>
              <w:t>DER Program Office (Contracts); Corwyn Realty Partners</w:t>
            </w:r>
          </w:p>
        </w:tc>
      </w:tr>
      <w:tr>
        <w:trPr>
          <w:cantSplit w:val="true"/>
        </w:trPr>
        <w:tc>
          <w:tcPr>
            <w:tcW w:type="dxa" w:w="648"/>
            <w:vAlign w:val="top"/>
          </w:tcPr>
          <w:p>
            <w:pPr>
              <w:spacing w:after="0" w:line="240" w:lineRule="auto"/>
              <w:jc w:val="center"/>
            </w:pPr>
            <w:r/>
            <w:r>
              <w:rPr>
                <w:sz w:val="18"/>
              </w:rPr>
              <w:t>6</w:t>
            </w:r>
          </w:p>
        </w:tc>
        <w:tc>
          <w:tcPr>
            <w:tcW w:type="dxa" w:w="5976"/>
            <w:vAlign w:val="top"/>
          </w:tcPr>
          <w:p>
            <w:pPr>
              <w:spacing w:after="0" w:line="240" w:lineRule="auto"/>
            </w:pPr>
            <w:r/>
            <w:r>
              <w:rPr>
                <w:sz w:val="18"/>
              </w:rPr>
              <w:t>Revise CX-CW-01 (station-service line; §5 confirmation open). File the City approval and UPS demonstration. Recheck the VX-140C against the CEL edition in force at issue (CEL-2025-Q3 is planned for 07/31/2025).</w:t>
            </w:r>
          </w:p>
        </w:tc>
        <w:tc>
          <w:tcPr>
            <w:tcW w:type="dxa" w:w="2736"/>
            <w:vAlign w:val="top"/>
          </w:tcPr>
          <w:p>
            <w:pPr>
              <w:spacing w:after="0" w:line="240" w:lineRule="auto"/>
            </w:pPr>
            <w:r/>
            <w:r>
              <w:rPr>
                <w:sz w:val="18"/>
              </w:rPr>
              <w:t>Commissioning (S. Rennick)</w:t>
            </w:r>
          </w:p>
        </w:tc>
      </w:tr>
      <w:tr>
        <w:trPr>
          <w:cantSplit w:val="true"/>
        </w:trPr>
        <w:tc>
          <w:tcPr>
            <w:tcW w:type="dxa" w:w="648"/>
            <w:vAlign w:val="top"/>
          </w:tcPr>
          <w:p>
            <w:pPr>
              <w:spacing w:after="0" w:line="240" w:lineRule="auto"/>
              <w:jc w:val="center"/>
            </w:pPr>
            <w:r/>
            <w:r>
              <w:rPr>
                <w:sz w:val="18"/>
              </w:rPr>
              <w:t>7</w:t>
            </w:r>
          </w:p>
        </w:tc>
        <w:tc>
          <w:tcPr>
            <w:tcW w:type="dxa" w:w="5976"/>
            <w:vAlign w:val="top"/>
          </w:tcPr>
          <w:p>
            <w:pPr>
              <w:spacing w:after="0" w:line="240" w:lineRule="auto"/>
            </w:pPr>
            <w:r/>
            <w:r>
              <w:rPr>
                <w:sz w:val="18"/>
              </w:rPr>
              <w:t>Notify the SOC in writing that steps 1 to 6 are complete.</w:t>
            </w:r>
          </w:p>
        </w:tc>
        <w:tc>
          <w:tcPr>
            <w:tcW w:type="dxa" w:w="2736"/>
            <w:vAlign w:val="top"/>
          </w:tcPr>
          <w:p>
            <w:pPr>
              <w:spacing w:after="0" w:line="240" w:lineRule="auto"/>
            </w:pPr>
            <w:r/>
            <w:r>
              <w:rPr>
                <w:sz w:val="18"/>
              </w:rPr>
              <w:t>DER Program Office</w:t>
            </w:r>
          </w:p>
        </w:tc>
      </w:tr>
      <w:tr>
        <w:trPr>
          <w:cantSplit w:val="true"/>
        </w:trPr>
        <w:tc>
          <w:tcPr>
            <w:tcW w:type="dxa" w:w="648"/>
            <w:vAlign w:val="top"/>
          </w:tcPr>
          <w:p>
            <w:pPr>
              <w:spacing w:after="0" w:line="240" w:lineRule="auto"/>
              <w:jc w:val="center"/>
            </w:pPr>
            <w:r/>
            <w:r>
              <w:rPr>
                <w:sz w:val="18"/>
              </w:rPr>
              <w:t>8</w:t>
            </w:r>
          </w:p>
        </w:tc>
        <w:tc>
          <w:tcPr>
            <w:tcW w:type="dxa" w:w="5976"/>
            <w:vAlign w:val="top"/>
          </w:tcPr>
          <w:p>
            <w:pPr>
              <w:spacing w:after="0" w:line="240" w:lineRule="auto"/>
            </w:pPr>
            <w:r/>
            <w:r>
              <w:rPr>
                <w:sz w:val="18"/>
              </w:rPr>
              <w:t>Energize the Facility from the feeder, inverters disabled, under a switching order, on Corwyn’s written request.</w:t>
            </w:r>
          </w:p>
        </w:tc>
        <w:tc>
          <w:tcPr>
            <w:tcW w:type="dxa" w:w="2736"/>
            <w:vAlign w:val="top"/>
          </w:tcPr>
          <w:p>
            <w:pPr>
              <w:spacing w:after="0" w:line="240" w:lineRule="auto"/>
            </w:pPr>
            <w:r/>
            <w:r>
              <w:rPr>
                <w:sz w:val="18"/>
              </w:rPr>
              <w:t>Distribution Operations</w:t>
            </w:r>
          </w:p>
        </w:tc>
      </w:tr>
      <w:tr>
        <w:trPr>
          <w:cantSplit w:val="true"/>
        </w:trPr>
        <w:tc>
          <w:tcPr>
            <w:tcW w:type="dxa" w:w="648"/>
            <w:vAlign w:val="top"/>
          </w:tcPr>
          <w:p>
            <w:pPr>
              <w:spacing w:after="0" w:line="240" w:lineRule="auto"/>
              <w:jc w:val="center"/>
            </w:pPr>
            <w:r/>
            <w:r>
              <w:rPr>
                <w:sz w:val="18"/>
              </w:rPr>
              <w:t>9</w:t>
            </w:r>
          </w:p>
        </w:tc>
        <w:tc>
          <w:tcPr>
            <w:tcW w:type="dxa" w:w="5976"/>
            <w:vAlign w:val="top"/>
          </w:tcPr>
          <w:p>
            <w:pPr>
              <w:spacing w:after="0" w:line="240" w:lineRule="auto"/>
            </w:pPr>
            <w:r/>
            <w:r>
              <w:rPr>
                <w:sz w:val="18"/>
              </w:rPr>
              <w:t>Confirm TCS-02 §5 at the moment of issue; issue Permission to Operate; observe the first parallel operation with the recloser under SCADA supervision (ISA §6.3; DPS-07 §6.3).</w:t>
            </w:r>
          </w:p>
        </w:tc>
        <w:tc>
          <w:tcPr>
            <w:tcW w:type="dxa" w:w="2736"/>
            <w:vAlign w:val="top"/>
          </w:tcPr>
          <w:p>
            <w:pPr>
              <w:spacing w:after="0" w:line="240" w:lineRule="auto"/>
            </w:pPr>
            <w:r/>
            <w:r>
              <w:rPr>
                <w:sz w:val="18"/>
              </w:rPr>
              <w:t>SOC Shift Supervisor on shift</w:t>
            </w:r>
          </w:p>
        </w:tc>
      </w:tr>
    </w:tbl>
    <w:p>
      <w:pPr>
        <w:pStyle w:val="Heading1"/>
      </w:pPr>
      <w:r>
        <w:t>6. For the SOC now</w:t>
      </w:r>
    </w:p>
    <w:p>
      <w:pPr>
        <w:pStyle w:val="ListBullet"/>
      </w:pPr>
      <w:r>
        <w:t>Do not issue Permission to Operate on 08/04/2025.</w:t>
      </w:r>
    </w:p>
    <w:p>
      <w:pPr>
        <w:pStyle w:val="ListBullet"/>
      </w:pPr>
      <w:r>
        <w:t>Record the refusal on the SOC PTO-Hold Log (TCS-02 §5). Suggested reason: “Telemetry not live. RTU station supply is taken from the Facility side of the POI recloser; per-inverter points are unavailable with the Facility de-energized.”</w:t>
      </w:r>
    </w:p>
    <w:p>
      <w:pPr>
        <w:pStyle w:val="ListBullet"/>
      </w:pPr>
      <w:r>
        <w:t>Do not close the POI recloser to bring the RTU up. Before Permission to Operate, ISA §6.1 allows the Facility in parallel only for the witness test, and the ISA does not provide for a backfeed.</w:t>
      </w:r>
    </w:p>
    <w:p>
      <w:pPr>
        <w:pStyle w:val="ListBullet"/>
      </w:pPr>
      <w:r>
        <w:t>Treat the 07/08/2025 confirmation as a witness-day observation, not a TCS-02 §5 confirmation.</w:t>
      </w:r>
    </w:p>
    <w:p>
      <w:pPr>
        <w:keepNext/>
        <w:pBdr>
          <w:bottom w:val="single" w:sz="4" w:space="1" w:color="999999"/>
        </w:pBdr>
        <w:spacing w:after="40" w:before="120"/>
      </w:pPr>
      <w:r>
        <w:rPr>
          <w:b/>
          <w:color w:val="1F3A5F"/>
        </w:rPr>
        <w:t>Reviewed and approved for issue</w:t>
      </w:r>
    </w:p>
    <w:tbl>
      <w:tblPr>
        <w:tblW w:type="auto" w:w="0"/>
        <w:tblBorders>
          <w:top w:val="nil"/>
          <w:left w:val="nil"/>
          <w:bottom w:val="nil"/>
          <w:right w:val="nil"/>
          <w:insideH w:val="nil"/>
          <w:insideV w:val="nil"/>
        </w:tblBorders>
        <w:tblLayout w:type="fixed"/>
        <w:tblCellMar>
          <w:top w:w="60" w:type="dxa"/>
          <w:left w:w="0" w:type="dxa"/>
          <w:bottom w:w="60" w:type="dxa"/>
          <w:right w:w="60" w:type="dxa"/>
        </w:tblCellMar>
        <w:tblLook w:firstColumn="1" w:firstRow="1" w:lastColumn="0" w:lastRow="0" w:noHBand="0" w:noVBand="1" w:val="04A0"/>
      </w:tblPr>
      <w:tblGrid>
        <w:gridCol w:w="4896"/>
        <w:gridCol w:w="4464"/>
      </w:tblGrid>
      <w:tr>
        <w:trPr>
          <w:trHeight w:val="461"/>
          <w:cantSplit w:val="true"/>
        </w:trPr>
        <w:tc>
          <w:tcPr>
            <w:tcW w:type="dxa" w:w="4896"/>
            <w:vAlign w:val="top"/>
          </w:tcPr>
          <w:p>
            <w:pPr>
              <w:spacing w:after="0" w:line="240" w:lineRule="auto"/>
            </w:pPr>
            <w:r/>
            <w:r>
              <w:rPr>
                <w:b/>
                <w:sz w:val="20"/>
              </w:rPr>
              <w:t>Reviewing Engineer, P.E., DER Program Office</w:t>
            </w:r>
          </w:p>
        </w:tc>
        <w:tc>
          <w:tcPr>
            <w:tcW w:type="dxa" w:w="4464"/>
            <w:vAlign w:val="top"/>
          </w:tcPr>
          <w:p>
            <w:pPr>
              <w:spacing w:after="0" w:line="240" w:lineRule="auto"/>
            </w:pPr>
            <w:r/>
            <w:r>
              <w:rPr>
                <w:sz w:val="20"/>
              </w:rPr>
            </w:r>
          </w:p>
        </w:tc>
      </w:tr>
      <w:tr>
        <w:trPr>
          <w:trHeight w:val="461"/>
          <w:cantSplit w:val="true"/>
        </w:trPr>
        <w:tc>
          <w:tcPr>
            <w:tcW w:type="dxa" w:w="4896"/>
            <w:vAlign w:val="top"/>
          </w:tcPr>
          <w:p>
            <w:pPr>
              <w:spacing w:after="0" w:line="240" w:lineRule="auto"/>
            </w:pPr>
            <w:r/>
            <w:r>
              <w:rPr>
                <w:sz w:val="20"/>
              </w:rPr>
              <w:t>Name: ______________________________</w:t>
            </w:r>
          </w:p>
        </w:tc>
        <w:tc>
          <w:tcPr>
            <w:tcW w:type="dxa" w:w="4464"/>
            <w:vAlign w:val="top"/>
          </w:tcPr>
          <w:p>
            <w:pPr>
              <w:spacing w:after="0" w:line="240" w:lineRule="auto"/>
            </w:pPr>
            <w:r/>
            <w:r>
              <w:rPr>
                <w:sz w:val="20"/>
              </w:rPr>
              <w:t>P.E. license no.: ____________________</w:t>
            </w:r>
          </w:p>
        </w:tc>
      </w:tr>
      <w:tr>
        <w:trPr>
          <w:trHeight w:val="461"/>
          <w:cantSplit w:val="true"/>
        </w:trPr>
        <w:tc>
          <w:tcPr>
            <w:tcW w:type="dxa" w:w="4896"/>
            <w:vAlign w:val="top"/>
          </w:tcPr>
          <w:p>
            <w:pPr>
              <w:spacing w:after="0" w:line="240" w:lineRule="auto"/>
            </w:pPr>
            <w:r/>
            <w:r>
              <w:rPr>
                <w:sz w:val="20"/>
              </w:rPr>
              <w:t>Signature: ___________________________</w:t>
            </w:r>
          </w:p>
        </w:tc>
        <w:tc>
          <w:tcPr>
            <w:tcW w:type="dxa" w:w="4464"/>
            <w:vAlign w:val="top"/>
          </w:tcPr>
          <w:p>
            <w:pPr>
              <w:spacing w:after="0" w:line="240" w:lineRule="auto"/>
            </w:pPr>
            <w:r/>
            <w:r>
              <w:rPr>
                <w:sz w:val="20"/>
              </w:rPr>
              <w:t>Date: ____________________</w:t>
            </w:r>
          </w:p>
        </w:tc>
      </w:tr>
    </w:tbl>
    <w:p>
      <w:pPr>
        <w:pStyle w:val="Heading2"/>
      </w:pPr>
      <w:r>
        <w:t>Record relied on (as at 07/14/2025)</w:t>
      </w:r>
    </w:p>
    <w:p>
      <w:pPr>
        <w:pStyle w:val="ListBullet"/>
        <w:spacing w:after="20"/>
      </w:pPr>
      <w:r>
        <w:rPr>
          <w:sz w:val="18"/>
        </w:rPr>
        <w:t>Corwyn Realty Partners, request for permission to operate, 07/10/2025.</w:t>
      </w:r>
    </w:p>
    <w:p>
      <w:pPr>
        <w:pStyle w:val="ListBullet"/>
        <w:spacing w:after="20"/>
      </w:pPr>
      <w:r>
        <w:rPr>
          <w:sz w:val="18"/>
        </w:rPr>
        <w:t>ISA-Corwyn-Office-Complex, Interconnection Service Agreement, executed 09/12/2024 (Articles 1, 4 to 8, 12 and 13; Exhibits A and B), and its Executed Summary.</w:t>
      </w:r>
    </w:p>
    <w:p>
      <w:pPr>
        <w:pStyle w:val="ListBullet"/>
        <w:spacing w:after="20"/>
      </w:pPr>
      <w:r>
        <w:rPr>
          <w:sz w:val="18"/>
        </w:rPr>
        <w:t>Commissioning checklist CX-CW-01 Rev 2, 07/14/2025; witness test record WT-0629-01 Rev 0, 07/08/2025; Vexlar certificate of conformance VX-CC-25-0522, 05/22/2025.</w:t>
      </w:r>
    </w:p>
    <w:p>
      <w:pPr>
        <w:pStyle w:val="ListBullet"/>
        <w:spacing w:after="20"/>
      </w:pPr>
      <w:r>
        <w:rPr>
          <w:sz w:val="18"/>
        </w:rPr>
        <w:t>Brantley Electric Company schedules, 06/24/2025: Equipment (E-101 Rev C), Canopy Cable (E-201 Rev C), Canopy String and Combiner (E-301 Rev C), Monitoring and Communications (E-401 Rev C).</w:t>
      </w:r>
    </w:p>
    <w:p>
      <w:pPr>
        <w:pStyle w:val="ListBullet"/>
        <w:spacing w:after="20"/>
      </w:pPr>
      <w:r>
        <w:rPr>
          <w:sz w:val="18"/>
        </w:rPr>
        <w:t>City of Wrenford electrical permit WEP-25-0317, 05/27/2025, and Certificate of Final Approval, 07/02/2025.</w:t>
      </w:r>
    </w:p>
    <w:p>
      <w:pPr>
        <w:pStyle w:val="ListBullet"/>
        <w:spacing w:after="20"/>
      </w:pPr>
      <w:r>
        <w:rPr>
          <w:sz w:val="18"/>
        </w:rPr>
        <w:t>TCS-02 Rev 1; DIS-01 Rev 4; DPS-07 Rev 2; ENG-PRC-014 Rev 3; CEL-2025-Q2; APUC-filed tariff §12; SOC PTO-Hold Log DER-EQP-SOC-PTOH, 07/14/2025.</w:t>
      </w:r>
    </w:p>
    <w:p>
      <w:pPr>
        <w:pStyle w:val="ListBullet"/>
        <w:spacing w:after="20"/>
      </w:pPr>
      <w:r>
        <w:rPr>
          <w:sz w:val="18"/>
        </w:rPr>
        <w:t>For comparison: ISA-Halbray-Field-Site-3 Executed Summary (pre-PTO backfeed term); SCADA/EMS drawing SCADA-PC-RTU-DWG-01 Rev 0; checklists CX-PC-01, CX-HB-03 and CX-WB-01; Corvane OL-1500R data sheet OL1500R-DS Rev 4.</w:t>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DPO-PTO-0629-01 · Rev 0 · 07/14/2025 · Alleniom Utilities — DER Program Office · Internal · Page </w:t>
    </w:r>
    <w:r>
      <w:rPr>
        <w:color w:val="555555"/>
        <w:sz w:val="16"/>
      </w:rPr>
      <w:fldChar w:fldCharType="begin"/>
    </w:r>
    <w:r>
      <w:rPr>
        <w:color w:val="555555"/>
        <w:sz w:val="16"/>
      </w:rPr>
      <w:instrText xml:space="preserve"> PAGE </w:instrText>
    </w:r>
    <w:r>
      <w:rPr>
        <w:color w:val="555555"/>
        <w:sz w:val="16"/>
      </w:rPr>
      <w:fldChar w:fldCharType="separate"/>
    </w:r>
    <w:r>
      <w:rPr>
        <w:color w:val="555555"/>
        <w:sz w:val="16"/>
      </w:rPr>
      <w:t>1</w:t>
    </w:r>
    <w:r>
      <w:rPr>
        <w:color w:val="555555"/>
        <w:sz w:val="16"/>
      </w:rPr>
      <w:fldChar w:fldCharType="end"/>
    </w:r>
    <w:r>
      <w:rPr>
        <w:color w:val="555555"/>
        <w:sz w:val="16"/>
      </w:rPr>
      <w:t xml:space="preserve"> of </w:t>
    </w:r>
    <w:r>
      <w:rPr>
        <w:color w:val="555555"/>
        <w:sz w:val="16"/>
      </w:rPr>
      <w:fldChar w:fldCharType="begin"/>
    </w:r>
    <w:r>
      <w:rPr>
        <w:color w:val="555555"/>
        <w:sz w:val="16"/>
      </w:rPr>
      <w:instrText xml:space="preserve"> NUMPAGES </w:instrText>
    </w:r>
    <w:r>
      <w:rPr>
        <w:color w:val="555555"/>
        <w:sz w:val="16"/>
      </w:rPr>
      <w:fldChar w:fldCharType="separate"/>
    </w:r>
    <w:r>
      <w:rPr>
        <w:color w:val="555555"/>
        <w:sz w:val="16"/>
      </w:rPr>
      <w:t>1</w:t>
    </w:r>
    <w:r>
      <w:rPr>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Arial" w:hAnsi="Arial" w:eastAsia="Arial"/>
      <w:b/>
      <w:bCs/>
      <w:i w:val="0"/>
      <w:color w:val="1F3A5F"/>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eastAsia="Arial"/>
      <w:b/>
      <w:bCs/>
      <w:i w:val="0"/>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Corwyn Office Complex PV (PXA-2023-0629): Permission to Operate requested for 08/04/2025</dc:title>
  <dc:subject>PTO determination memo to the System Operations Center</dc:subject>
  <dc:creator>Alleniom Utilities — DER Program Office</dc:creator>
  <cp:keywords>PXA-2023-0629; Corwyn; PTO; TCS-02 §5; ALN-072</cp:keywords>
  <dc:description>Prepared for signature by the DER Program Office reviewing engineer (P.E.).</dc:description>
  <cp:lastModifiedBy/>
  <cp:revision>1</cp:revision>
  <dcterms:created xsi:type="dcterms:W3CDTF">2013-12-23T23:15:00Z</dcterms:created>
  <dcterms:modified xsi:type="dcterms:W3CDTF">2013-12-23T23:15:00Z</dcterms:modified>
  <cp:category/>
</cp:coreProperties>
</file>