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55F6B"/>
          <w:sz w:val="18"/>
        </w:rPr>
        <w:t>ALLENIOM UTILITIES — DER PROGRAM OFFICE</w:t>
      </w:r>
    </w:p>
    <w:p>
      <w:pPr>
        <w:spacing w:after="200"/>
      </w:pPr>
      <w:r>
        <w:rPr>
          <w:color w:val="555F6B"/>
          <w:sz w:val="17"/>
        </w:rPr>
        <w:t>4200 Veldmere Boulevard, Halston, Alleron 01HA  ·  (612) 555-0100  ·  der.program@alleniom.com</w:t>
      </w:r>
    </w:p>
    <w:p>
      <w:pPr>
        <w:spacing w:after="40"/>
      </w:pPr>
      <w:r>
        <w:rPr>
          <w:b/>
          <w:color w:val="142E52"/>
          <w:sz w:val="40"/>
        </w:rPr>
        <w:t>Feeder ALN-108 — Pre-Application Response</w:t>
      </w:r>
    </w:p>
    <w:p>
      <w:pPr>
        <w:spacing w:after="160"/>
      </w:pPr>
      <w:r>
        <w:rPr>
          <w:color w:val="555F6B"/>
          <w:sz w:val="20"/>
        </w:rPr>
        <w:t>Response to the Northline Renewables LLC pre-application request dated 07/02/2025 (3 MW pure generation, Elderpine substation, 13.2 kV), with the determinations, the basis relied on, and the case-tracking record</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2088"/>
        <w:gridCol w:w="7272"/>
      </w:tblGrid>
      <w:tr>
        <w:trPr>
          <w:tblHeader w:val="true"/>
          <w:cantSplit w:val="true"/>
        </w:trPr>
        <w:tc>
          <w:tcPr>
            <w:tcW w:type="dxa" w:w="2088"/>
            <w:vAlign w:val="top"/>
            <w:shd w:val="clear" w:color="auto" w:fill="142E52"/>
          </w:tcPr>
          <w:p>
            <w:pPr>
              <w:keepNext/>
              <w:spacing w:after="0"/>
            </w:pPr>
            <w:r>
              <w:rPr>
                <w:b/>
                <w:color w:val="FFFFFF"/>
                <w:sz w:val="18"/>
              </w:rPr>
              <w:t>Item</w:t>
            </w:r>
          </w:p>
        </w:tc>
        <w:tc>
          <w:tcPr>
            <w:tcW w:type="dxa" w:w="7272"/>
            <w:vAlign w:val="top"/>
            <w:shd w:val="clear" w:color="auto" w:fill="142E52"/>
          </w:tcPr>
          <w:p>
            <w:pPr>
              <w:keepNext/>
              <w:spacing w:after="0"/>
            </w:pPr>
            <w:r>
              <w:rPr>
                <w:b/>
                <w:color w:val="FFFFFF"/>
                <w:sz w:val="18"/>
              </w:rPr>
              <w:t>Detail</w:t>
            </w:r>
          </w:p>
        </w:tc>
      </w:tr>
      <w:tr>
        <w:trPr>
          <w:cantSplit w:val="true"/>
        </w:trPr>
        <w:tc>
          <w:tcPr>
            <w:tcW w:type="dxa" w:w="2088"/>
            <w:vAlign w:val="top"/>
          </w:tcPr>
          <w:p>
            <w:pPr>
              <w:keepNext/>
              <w:spacing w:after="0"/>
            </w:pPr>
            <w:r>
              <w:rPr>
                <w:b/>
                <w:sz w:val="18"/>
              </w:rPr>
              <w:t>Case</w:t>
            </w:r>
          </w:p>
        </w:tc>
        <w:tc>
          <w:tcPr>
            <w:tcW w:type="dxa" w:w="7272"/>
            <w:vAlign w:val="top"/>
          </w:tcPr>
          <w:p>
            <w:pPr>
              <w:keepNext/>
              <w:spacing w:after="0"/>
            </w:pPr>
            <w:r>
              <w:rPr>
                <w:sz w:val="18"/>
              </w:rPr>
              <w:t>DER Program Backlog Review (case tracking), work package #44 — “Respond to the Feeder ALN-108 pre-application request” (opened 07/02/2025; due 08/15/2025)</w:t>
            </w:r>
          </w:p>
        </w:tc>
      </w:tr>
      <w:tr>
        <w:trPr>
          <w:cantSplit w:val="true"/>
        </w:trPr>
        <w:tc>
          <w:tcPr>
            <w:tcW w:type="dxa" w:w="2088"/>
            <w:vAlign w:val="top"/>
            <w:shd w:val="clear" w:color="auto" w:fill="F3F5F8"/>
          </w:tcPr>
          <w:p>
            <w:pPr>
              <w:keepNext/>
              <w:spacing w:after="0"/>
            </w:pPr>
            <w:r>
              <w:rPr>
                <w:b/>
                <w:sz w:val="18"/>
              </w:rPr>
              <w:t>Request</w:t>
            </w:r>
          </w:p>
        </w:tc>
        <w:tc>
          <w:tcPr>
            <w:tcW w:type="dxa" w:w="7272"/>
            <w:vAlign w:val="top"/>
            <w:shd w:val="clear" w:color="auto" w:fill="F3F5F8"/>
          </w:tcPr>
          <w:p>
            <w:pPr>
              <w:keepNext/>
              <w:spacing w:after="0"/>
            </w:pPr>
            <w:r>
              <w:rPr>
                <w:sz w:val="18"/>
              </w:rPr>
              <w:t>Northline Renewables LLC (Peter Ashford, Director of Project Development), Pre-Application Request — Feeder Capacity Confirmation, dated 07/02/2025</w:t>
            </w:r>
          </w:p>
        </w:tc>
      </w:tr>
      <w:tr>
        <w:trPr>
          <w:cantSplit w:val="true"/>
        </w:trPr>
        <w:tc>
          <w:tcPr>
            <w:tcW w:type="dxa" w:w="2088"/>
            <w:vAlign w:val="top"/>
          </w:tcPr>
          <w:p>
            <w:pPr>
              <w:keepNext/>
              <w:spacing w:after="0"/>
            </w:pPr>
            <w:r>
              <w:rPr>
                <w:b/>
                <w:sz w:val="18"/>
              </w:rPr>
              <w:t>Records relied on</w:t>
            </w:r>
          </w:p>
        </w:tc>
        <w:tc>
          <w:tcPr>
            <w:tcW w:type="dxa" w:w="7272"/>
            <w:vAlign w:val="top"/>
          </w:tcPr>
          <w:p>
            <w:pPr>
              <w:keepNext/>
              <w:spacing w:after="0"/>
            </w:pPr>
            <w:r>
              <w:rPr>
                <w:sz w:val="18"/>
              </w:rPr>
              <w:t>DER Program records as they stand at 07/14/2025, including the 2025-07-14 Active Queue Report and the case tracking (full list in Annex B)</w:t>
            </w:r>
          </w:p>
        </w:tc>
      </w:tr>
      <w:tr>
        <w:trPr>
          <w:cantSplit w:val="true"/>
        </w:trPr>
        <w:tc>
          <w:tcPr>
            <w:tcW w:type="dxa" w:w="2088"/>
            <w:vAlign w:val="top"/>
            <w:shd w:val="clear" w:color="auto" w:fill="F3F5F8"/>
          </w:tcPr>
          <w:p>
            <w:pPr>
              <w:keepNext/>
              <w:spacing w:after="0"/>
            </w:pPr>
            <w:r>
              <w:rPr>
                <w:b/>
                <w:sz w:val="18"/>
              </w:rPr>
              <w:t>Response date</w:t>
            </w:r>
          </w:p>
        </w:tc>
        <w:tc>
          <w:tcPr>
            <w:tcW w:type="dxa" w:w="7272"/>
            <w:vAlign w:val="top"/>
            <w:shd w:val="clear" w:color="auto" w:fill="F3F5F8"/>
          </w:tcPr>
          <w:p>
            <w:pPr>
              <w:keepNext/>
              <w:spacing w:after="0"/>
            </w:pPr>
            <w:r>
              <w:rPr>
                <w:sz w:val="18"/>
              </w:rPr>
              <w:t>07/14/2025</w:t>
            </w:r>
          </w:p>
        </w:tc>
      </w:tr>
      <w:tr>
        <w:trPr>
          <w:cantSplit w:val="true"/>
        </w:trPr>
        <w:tc>
          <w:tcPr>
            <w:tcW w:type="dxa" w:w="2088"/>
            <w:vAlign w:val="top"/>
          </w:tcPr>
          <w:p>
            <w:pPr>
              <w:keepNext/>
              <w:spacing w:after="0"/>
            </w:pPr>
            <w:r>
              <w:rPr>
                <w:b/>
                <w:sz w:val="18"/>
              </w:rPr>
              <w:t>Prepared by</w:t>
            </w:r>
          </w:p>
        </w:tc>
        <w:tc>
          <w:tcPr>
            <w:tcW w:type="dxa" w:w="7272"/>
            <w:vAlign w:val="top"/>
          </w:tcPr>
          <w:p>
            <w:pPr>
              <w:keepNext/>
              <w:spacing w:after="0"/>
            </w:pPr>
            <w:r>
              <w:rPr>
                <w:sz w:val="18"/>
              </w:rPr>
              <w:t>DER Program Office</w:t>
            </w:r>
          </w:p>
        </w:tc>
      </w:tr>
      <w:tr>
        <w:trPr>
          <w:cantSplit w:val="true"/>
        </w:trPr>
        <w:tc>
          <w:tcPr>
            <w:tcW w:type="dxa" w:w="2088"/>
            <w:vAlign w:val="top"/>
            <w:shd w:val="clear" w:color="auto" w:fill="F3F5F8"/>
          </w:tcPr>
          <w:p>
            <w:pPr>
              <w:keepNext/>
              <w:spacing w:after="0"/>
            </w:pPr>
            <w:r>
              <w:rPr>
                <w:b/>
                <w:sz w:val="18"/>
              </w:rPr>
              <w:t>Filed</w:t>
            </w:r>
          </w:p>
        </w:tc>
        <w:tc>
          <w:tcPr>
            <w:tcW w:type="dxa" w:w="7272"/>
            <w:vAlign w:val="top"/>
            <w:shd w:val="clear" w:color="auto" w:fill="F3F5F8"/>
          </w:tcPr>
          <w:p>
            <w:pPr>
              <w:keepNext/>
              <w:spacing w:after="0"/>
            </w:pPr>
            <w:r>
              <w:rPr>
                <w:sz w:val="18"/>
              </w:rPr>
              <w:t>Document store: /DER_Program/Correspondence/ALN-108_PreApplication_Response.docx</w:t>
            </w:r>
          </w:p>
        </w:tc>
      </w:tr>
      <w:tr>
        <w:trPr>
          <w:cantSplit w:val="true"/>
        </w:trPr>
        <w:tc>
          <w:tcPr>
            <w:tcW w:type="dxa" w:w="2088"/>
            <w:vAlign w:val="top"/>
          </w:tcPr>
          <w:p>
            <w:pPr>
              <w:spacing w:after="0"/>
            </w:pPr>
            <w:r>
              <w:rPr>
                <w:b/>
                <w:sz w:val="18"/>
              </w:rPr>
              <w:t>Case status</w:t>
            </w:r>
          </w:p>
        </w:tc>
        <w:tc>
          <w:tcPr>
            <w:tcW w:type="dxa" w:w="7272"/>
            <w:vAlign w:val="top"/>
          </w:tcPr>
          <w:p>
            <w:pPr>
              <w:spacing w:after="0"/>
            </w:pPr>
            <w:r>
              <w:rPr>
                <w:sz w:val="18"/>
              </w:rPr>
              <w:t>Call recorded on #44; follow-ups #47, #48 and #49 logged and linked; #44 closed on issue of this response</w:t>
            </w:r>
          </w:p>
        </w:tc>
      </w:tr>
    </w:tbl>
    <w:p>
      <w:pPr>
        <w:spacing w:after="0" w:before="0" w:line="240" w:lineRule="auto"/>
      </w:pPr>
      <w:r>
        <w:rPr>
          <w:sz w:val="8"/>
        </w:rPr>
        <w:t xml:space="preserve"> </w:t>
      </w:r>
    </w:p>
    <w:p>
      <w:pPr>
        <w:keepNext/>
        <w:spacing w:after="60"/>
      </w:pPr>
      <w:r>
        <w:rPr>
          <w:b/>
          <w:color w:val="142E52"/>
          <w:sz w:val="24"/>
        </w:rPr>
        <w:t>The call</w:t>
      </w:r>
    </w:p>
    <w:tbl>
      <w:tblPr>
        <w:tblW w:type="auto" w:w="0"/>
        <w:jc w:val="center"/>
        <w:tblLook w:firstColumn="1" w:firstRow="1" w:lastColumn="0" w:lastRow="0" w:noHBand="0" w:noVBand="1" w:val="04A0"/>
        <w:tblBorders>
          <w:top w:val="single" w:sz="12" w:space="0" w:color="142E52"/>
          <w:left w:val="single" w:sz="12" w:space="0" w:color="142E52"/>
          <w:bottom w:val="single" w:sz="12" w:space="0" w:color="142E52"/>
          <w:right w:val="single" w:sz="12" w:space="0" w:color="142E52"/>
        </w:tblBorders>
        <w:tblLayout w:type="fixed"/>
        <w:tblCellMar>
          <w:top w:w="120" w:type="dxa"/>
          <w:left w:w="160" w:type="dxa"/>
          <w:bottom w:w="120" w:type="dxa"/>
          <w:right w:w="160" w:type="dxa"/>
        </w:tblCellMar>
        <w:tblLayout w:type="fixed"/>
      </w:tblPr>
      <w:tblGrid>
        <w:gridCol w:w="9360"/>
      </w:tblGrid>
      <w:tr>
        <w:tc>
          <w:tcPr>
            <w:tcW w:type="dxa" w:w="9360"/>
            <w:shd w:val="clear" w:color="auto" w:fill="EAF0F8"/>
          </w:tcPr>
          <w:p>
            <w:pPr>
              <w:spacing w:after="80"/>
            </w:pPr>
            <w:r>
              <w:rPr>
                <w:b/>
                <w:color w:val="9B1C1C"/>
              </w:rPr>
              <w:t xml:space="preserve">NOT CONFIRMED. </w:t>
            </w:r>
            <w:r>
              <w:rPr>
                <w:b/>
              </w:rPr>
              <w:t>The DER Program Office does not confirm the 3.0 MW shown for Feeder ALN-108 on the Hosting Capacity Map published 05/15/2024. That figure is not current.</w:t>
            </w:r>
          </w:p>
          <w:p>
            <w:pPr>
              <w:spacing w:after="80"/>
            </w:pPr>
            <w:r>
              <w:t xml:space="preserve">The response carries </w:t>
            </w:r>
            <w:r>
              <w:rPr>
                <w:b/>
              </w:rPr>
              <w:t>0.8 MW</w:t>
            </w:r>
            <w:r>
              <w:t xml:space="preserve"> as the indicative available capacity on ALN-108 as of 07/14/2025: the 3.0 MW published value, less the 1.2 MW and 1.0 MW applications queued on the feeder since publication.</w:t>
            </w:r>
          </w:p>
          <w:p>
            <w:pPr>
              <w:spacing w:after="80"/>
            </w:pPr>
            <w:r>
              <w:t xml:space="preserve">The 3 MW project as scoped exceeds that figure by </w:t>
            </w:r>
            <w:r>
              <w:rPr>
                <w:b/>
              </w:rPr>
              <w:t>2.2 MW</w:t>
            </w:r>
            <w:r>
              <w:t>, so capacity for it cannot be confirmed. The 10/15/2024 interim figure of 1.8 MW is also out of date and is not quoted as current.</w:t>
            </w:r>
          </w:p>
          <w:p>
            <w:pPr>
              <w:spacing w:after="80"/>
            </w:pPr>
            <w:r>
              <w:t>The response is issued now, labelled indicative and non-binding (no capacity reservation, no queue position). A priority refresh of ALN-108 has been requested from Distribution Planning, and the map maintenance the request exposes has been logged.</w:t>
            </w:r>
          </w:p>
        </w:tc>
      </w:tr>
    </w:tbl>
    <w:p>
      <w:pPr>
        <w:spacing w:after="0" w:before="0" w:line="240" w:lineRule="auto"/>
      </w:pPr>
      <w:r>
        <w:rPr>
          <w:sz w:val="8"/>
        </w:rPr>
        <w:t xml:space="preserve"> </w:t>
      </w:r>
    </w:p>
    <w:p>
      <w:pPr>
        <w:keepNext/>
        <w:spacing w:after="40"/>
      </w:pPr>
      <w:r>
        <w:rPr>
          <w:b/>
          <w:color w:val="142E52"/>
          <w:sz w:val="22"/>
        </w:rPr>
        <w:t>Contents</w:t>
      </w:r>
    </w:p>
    <w:p>
      <w:pPr>
        <w:pStyle w:val="ListBullet"/>
      </w:pPr>
      <w:r>
        <w:t>Part A — Response letter, for issue to the requester</w:t>
      </w:r>
    </w:p>
    <w:p>
      <w:pPr>
        <w:pStyle w:val="ListBullet"/>
      </w:pPr>
      <w:r>
        <w:t>Part B — Determinations and the basis relied on (D1–D8, and the call)</w:t>
      </w:r>
    </w:p>
    <w:p>
      <w:pPr>
        <w:pStyle w:val="ListBullet"/>
      </w:pPr>
      <w:r>
        <w:t>Part C — Case-tracking record (call recorded, follow-ups logged, case closed)</w:t>
      </w:r>
    </w:p>
    <w:p>
      <w:pPr>
        <w:pStyle w:val="ListBullet"/>
      </w:pPr>
      <w:r>
        <w:t>Annex A — ALN-108 queue entries and the netting calculation</w:t>
      </w:r>
    </w:p>
    <w:p>
      <w:pPr>
        <w:pStyle w:val="ListBullet"/>
      </w:pPr>
      <w:r>
        <w:t>Annex B — Records reviewed</w:t>
      </w:r>
    </w:p>
    <w:p>
      <w:pPr>
        <w:pStyle w:val="Heading1"/>
        <w:pageBreakBefore/>
      </w:pPr>
      <w:r>
        <w:t>Part A — Response letter (for issue)</w:t>
      </w:r>
    </w:p>
    <w:p>
      <w:pPr>
        <w:spacing w:after="0"/>
      </w:pPr>
      <w:r>
        <w:rPr>
          <w:b/>
          <w:color w:val="142E52"/>
          <w:sz w:val="26"/>
        </w:rPr>
        <w:t>ALLENIOM UTILITIES</w:t>
      </w:r>
    </w:p>
    <w:p>
      <w:pPr>
        <w:spacing w:after="0"/>
      </w:pPr>
      <w:r>
        <w:rPr>
          <w:b/>
          <w:color w:val="142E52"/>
          <w:sz w:val="21"/>
        </w:rPr>
        <w:t>DER Program Office</w:t>
      </w:r>
    </w:p>
    <w:p>
      <w:pPr>
        <w:spacing w:after="160"/>
      </w:pPr>
      <w:r>
        <w:rPr>
          <w:color w:val="555F6B"/>
          <w:sz w:val="17"/>
        </w:rPr>
        <w:t>4200 Veldmere Boulevard, Halston, Alleron 01HA  ·  (612) 555-0100  ·  der.program@alleniom.com</w:t>
      </w:r>
    </w:p>
    <w:p>
      <w:pPr>
        <w:spacing w:after="120"/>
      </w:pPr>
      <w:r>
        <w:t>July 14, 2025</w:t>
      </w:r>
    </w:p>
    <w:p>
      <w:pPr>
        <w:spacing w:after="80"/>
      </w:pPr>
      <w:r>
        <w:rPr>
          <w:i/>
          <w:color w:val="555F6B"/>
          <w:sz w:val="19"/>
        </w:rPr>
        <w:t xml:space="preserve">By email: </w:t>
      </w:r>
      <w:r>
        <w:rPr>
          <w:i/>
          <w:color w:val="555F6B"/>
          <w:sz w:val="19"/>
        </w:rPr>
        <w:t>peter.ashford@northlinerenewables.com</w:t>
      </w:r>
    </w:p>
    <w:p>
      <w:pPr>
        <w:spacing w:after="0"/>
      </w:pPr>
      <w:r>
        <w:t>Mr. Peter Ashford</w:t>
      </w:r>
    </w:p>
    <w:p>
      <w:pPr>
        <w:spacing w:after="0"/>
      </w:pPr>
      <w:r>
        <w:t>Director of Project Development</w:t>
      </w:r>
    </w:p>
    <w:p>
      <w:pPr>
        <w:spacing w:after="0"/>
      </w:pPr>
      <w:r>
        <w:t>Northline Renewables LLC</w:t>
      </w:r>
    </w:p>
    <w:p>
      <w:pPr>
        <w:spacing w:after="0"/>
      </w:pPr>
      <w:r>
        <w:t>1840 Ferngate Parkway, Suite 210</w:t>
      </w:r>
    </w:p>
    <w:p>
      <w:pPr>
        <w:spacing w:after="120"/>
      </w:pPr>
      <w:r>
        <w:t>Halston, Alleron 02HA</w:t>
      </w:r>
    </w:p>
    <w:p>
      <w:pPr>
        <w:spacing w:after="120"/>
      </w:pPr>
      <w:r>
        <w:rPr>
          <w:b/>
        </w:rPr>
        <w:t xml:space="preserve">Re: </w:t>
      </w:r>
      <w:r>
        <w:rPr>
          <w:b/>
        </w:rPr>
        <w:t>Pre-Application Request dated July 2, 2025 — 3 MW pure-generation project (Elderpine Solar I) on Feeder ALN-108, Elderpine substation, 13.2 kV</w:t>
      </w:r>
    </w:p>
    <w:p>
      <w:r>
        <w:t>Dear Mr. Ashford:</w:t>
      </w:r>
    </w:p>
    <w:p>
      <w:r>
        <w:t>Thank you for your pre-application request of July 2, 2025. This letter responds to the three items listed under “Requested Response” in your request. It reflects the Company’s records as of July 14, 2025.</w:t>
      </w:r>
    </w:p>
    <w:p>
      <w:pPr>
        <w:pStyle w:val="Heading3"/>
      </w:pPr>
      <w:r>
        <w:t>1.  Available capacity on Feeder ALN-108</w:t>
      </w:r>
    </w:p>
    <w:p>
      <w:r>
        <w:t>We are not able to confirm that the 3.0 MW shown for Feeder ALN-108 on the Feeder Hosting Capacity Map published May 15, 2024 remains current. That figure is the published value as of the map’s publication date. As the map’s applicability note states, published values do not reflect interconnection queue activity recorded after publication, and a pre-application capacity response is prepared against the published value as adjusted for queue entries added since publication.</w:t>
      </w:r>
    </w:p>
    <w:p>
      <w:pPr>
        <w:keepNext/>
      </w:pPr>
      <w:r>
        <w:t>Since May 15, 2024, two interconnection applications totalling 2.2 MW have entered the queue on Feeder ALN-108:</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2160"/>
        <w:gridCol w:w="3168"/>
        <w:gridCol w:w="3311"/>
      </w:tblGrid>
      <w:tr>
        <w:trPr>
          <w:tblHeader w:val="true"/>
          <w:cantSplit w:val="true"/>
        </w:trPr>
        <w:tc>
          <w:tcPr>
            <w:tcW w:type="dxa" w:w="2160"/>
            <w:vAlign w:val="top"/>
            <w:shd w:val="clear" w:color="auto" w:fill="142E52"/>
          </w:tcPr>
          <w:p>
            <w:pPr>
              <w:keepNext/>
              <w:spacing w:after="0"/>
            </w:pPr>
            <w:r>
              <w:rPr>
                <w:b/>
                <w:color w:val="FFFFFF"/>
                <w:sz w:val="19"/>
              </w:rPr>
              <w:t>Queue date</w:t>
            </w:r>
          </w:p>
        </w:tc>
        <w:tc>
          <w:tcPr>
            <w:tcW w:type="dxa" w:w="3168"/>
            <w:vAlign w:val="top"/>
            <w:shd w:val="clear" w:color="auto" w:fill="142E52"/>
          </w:tcPr>
          <w:p>
            <w:pPr>
              <w:keepNext/>
              <w:spacing w:after="0"/>
            </w:pPr>
            <w:r>
              <w:rPr>
                <w:b/>
                <w:color w:val="FFFFFF"/>
                <w:sz w:val="19"/>
              </w:rPr>
              <w:t>Nameplate</w:t>
            </w:r>
          </w:p>
        </w:tc>
        <w:tc>
          <w:tcPr>
            <w:tcW w:type="dxa" w:w="3312"/>
            <w:vAlign w:val="top"/>
            <w:shd w:val="clear" w:color="auto" w:fill="142E52"/>
          </w:tcPr>
          <w:p>
            <w:pPr>
              <w:keepNext/>
              <w:spacing w:after="0"/>
            </w:pPr>
            <w:r>
              <w:rPr>
                <w:b/>
                <w:color w:val="FFFFFF"/>
                <w:sz w:val="19"/>
              </w:rPr>
              <w:t>Stage at 07/14/2025</w:t>
            </w:r>
          </w:p>
        </w:tc>
      </w:tr>
      <w:tr>
        <w:trPr>
          <w:cantSplit w:val="true"/>
        </w:trPr>
        <w:tc>
          <w:tcPr>
            <w:tcW w:type="dxa" w:w="2160"/>
            <w:vAlign w:val="top"/>
          </w:tcPr>
          <w:p>
            <w:pPr>
              <w:keepNext/>
              <w:spacing w:after="0"/>
            </w:pPr>
            <w:r>
              <w:rPr>
                <w:sz w:val="19"/>
              </w:rPr>
              <w:t>09/18/2024</w:t>
            </w:r>
          </w:p>
        </w:tc>
        <w:tc>
          <w:tcPr>
            <w:tcW w:type="dxa" w:w="3168"/>
            <w:vAlign w:val="top"/>
          </w:tcPr>
          <w:p>
            <w:pPr>
              <w:keepNext/>
              <w:spacing w:after="0"/>
            </w:pPr>
            <w:r>
              <w:rPr>
                <w:sz w:val="19"/>
              </w:rPr>
              <w:t>1.2 MW (pure generation)</w:t>
            </w:r>
          </w:p>
        </w:tc>
        <w:tc>
          <w:tcPr>
            <w:tcW w:type="dxa" w:w="3312"/>
            <w:vAlign w:val="top"/>
          </w:tcPr>
          <w:p>
            <w:pPr>
              <w:keepNext/>
              <w:spacing w:after="0"/>
            </w:pPr>
            <w:r>
              <w:rPr>
                <w:sz w:val="19"/>
              </w:rPr>
              <w:t>System impact study</w:t>
            </w:r>
          </w:p>
        </w:tc>
      </w:tr>
      <w:tr>
        <w:trPr>
          <w:cantSplit w:val="true"/>
        </w:trPr>
        <w:tc>
          <w:tcPr>
            <w:tcW w:type="dxa" w:w="2160"/>
            <w:vAlign w:val="top"/>
            <w:shd w:val="clear" w:color="auto" w:fill="F3F5F8"/>
          </w:tcPr>
          <w:p>
            <w:pPr>
              <w:keepNext/>
              <w:spacing w:after="0"/>
            </w:pPr>
            <w:r>
              <w:rPr>
                <w:sz w:val="19"/>
              </w:rPr>
              <w:t>02/06/2025</w:t>
            </w:r>
          </w:p>
        </w:tc>
        <w:tc>
          <w:tcPr>
            <w:tcW w:type="dxa" w:w="3168"/>
            <w:vAlign w:val="top"/>
            <w:shd w:val="clear" w:color="auto" w:fill="F3F5F8"/>
          </w:tcPr>
          <w:p>
            <w:pPr>
              <w:keepNext/>
              <w:spacing w:after="0"/>
            </w:pPr>
            <w:r>
              <w:rPr>
                <w:sz w:val="19"/>
              </w:rPr>
              <w:t>1.0 MW</w:t>
            </w:r>
          </w:p>
        </w:tc>
        <w:tc>
          <w:tcPr>
            <w:tcW w:type="dxa" w:w="3312"/>
            <w:vAlign w:val="top"/>
            <w:shd w:val="clear" w:color="auto" w:fill="F3F5F8"/>
          </w:tcPr>
          <w:p>
            <w:pPr>
              <w:keepNext/>
              <w:spacing w:after="0"/>
            </w:pPr>
            <w:r>
              <w:rPr>
                <w:sz w:val="19"/>
              </w:rPr>
              <w:t>Technical screening</w:t>
            </w:r>
          </w:p>
        </w:tc>
      </w:tr>
      <w:tr>
        <w:trPr>
          <w:cantSplit w:val="true"/>
        </w:trPr>
        <w:tc>
          <w:tcPr>
            <w:tcW w:type="dxa" w:w="2160"/>
            <w:vAlign w:val="top"/>
          </w:tcPr>
          <w:p>
            <w:pPr>
              <w:spacing w:after="0"/>
            </w:pPr>
            <w:r>
              <w:rPr>
                <w:b/>
                <w:sz w:val="19"/>
              </w:rPr>
              <w:t>Total</w:t>
            </w:r>
          </w:p>
        </w:tc>
        <w:tc>
          <w:tcPr>
            <w:tcW w:type="dxa" w:w="3168"/>
            <w:vAlign w:val="top"/>
          </w:tcPr>
          <w:p>
            <w:pPr>
              <w:spacing w:after="0"/>
            </w:pPr>
            <w:r>
              <w:rPr>
                <w:b/>
                <w:sz w:val="19"/>
              </w:rPr>
              <w:t>2.2 MW</w:t>
            </w:r>
          </w:p>
        </w:tc>
        <w:tc>
          <w:tcPr>
            <w:tcW w:type="dxa" w:w="3312"/>
            <w:vAlign w:val="top"/>
          </w:tcPr>
          <w:p>
            <w:pPr>
              <w:spacing w:after="0"/>
            </w:pPr>
            <w:r>
              <w:rPr>
                <w:b/>
                <w:sz w:val="19"/>
              </w:rPr>
            </w:r>
          </w:p>
        </w:tc>
      </w:tr>
    </w:tbl>
    <w:p>
      <w:pPr>
        <w:spacing w:after="0" w:before="0" w:line="240" w:lineRule="auto"/>
      </w:pPr>
      <w:r>
        <w:rPr>
          <w:sz w:val="8"/>
        </w:rPr>
        <w:t xml:space="preserve"> </w:t>
      </w:r>
    </w:p>
    <w:p>
      <w:r>
        <w:t>Distribution Planning issued an interim update for ALN-108 on October 15, 2024 that adjusted for the first of these applications and showed 1.8 MW. That update predates the second application and is no longer current.</w:t>
      </w:r>
    </w:p>
    <w:tbl>
      <w:tblPr>
        <w:tblW w:type="auto" w:w="0"/>
        <w:jc w:val="center"/>
        <w:tblLook w:firstColumn="1" w:firstRow="1" w:lastColumn="0" w:lastRow="0" w:noHBand="0" w:noVBand="1" w:val="04A0"/>
        <w:tblBorders>
          <w:top w:val="single" w:sz="12" w:space="0" w:color="142E52"/>
          <w:left w:val="single" w:sz="12" w:space="0" w:color="142E52"/>
          <w:bottom w:val="single" w:sz="12" w:space="0" w:color="142E52"/>
          <w:right w:val="single" w:sz="12" w:space="0" w:color="142E52"/>
        </w:tblBorders>
        <w:tblLayout w:type="fixed"/>
        <w:tblCellMar>
          <w:top w:w="120" w:type="dxa"/>
          <w:left w:w="160" w:type="dxa"/>
          <w:bottom w:w="120" w:type="dxa"/>
          <w:right w:w="160" w:type="dxa"/>
        </w:tblCellMar>
        <w:tblLayout w:type="fixed"/>
      </w:tblPr>
      <w:tblGrid>
        <w:gridCol w:w="8640"/>
      </w:tblGrid>
      <w:tr>
        <w:tc>
          <w:tcPr>
            <w:tcW w:type="dxa" w:w="8640"/>
            <w:shd w:val="clear" w:color="auto" w:fill="EAF0F8"/>
          </w:tcPr>
          <w:p>
            <w:pPr>
              <w:spacing w:after="80"/>
            </w:pPr>
            <w:r>
              <w:rPr>
                <w:b/>
                <w:sz w:val="23"/>
              </w:rPr>
              <w:t>Indicative available capacity, Feeder ALN-108, as of July 14, 2025:  0.8 MW</w:t>
            </w:r>
          </w:p>
          <w:p>
            <w:pPr>
              <w:spacing w:after="80"/>
            </w:pPr>
            <w:r>
              <w:rPr>
                <w:color w:val="555F6B"/>
              </w:rPr>
              <w:t>3.0 MW published  −  1.2 MW  −  1.0 MW  =  0.8 MW</w:t>
            </w:r>
          </w:p>
        </w:tc>
      </w:tr>
    </w:tbl>
    <w:p>
      <w:pPr>
        <w:spacing w:after="0" w:before="0" w:line="240" w:lineRule="auto"/>
      </w:pPr>
      <w:r>
        <w:rPr>
          <w:sz w:val="8"/>
        </w:rPr>
        <w:t xml:space="preserve"> </w:t>
      </w:r>
    </w:p>
    <w:p>
      <w:r>
        <w:t xml:space="preserve">Your proposed 3 MW-AC facility exceeds this indicative figure by 2.2 MW. </w:t>
      </w:r>
      <w:r>
        <w:rPr>
          <w:b/>
        </w:rPr>
        <w:t>We therefore cannot confirm available capacity on Feeder ALN-108 for a 3 MW pure-generation interconnection.</w:t>
      </w:r>
    </w:p>
    <w:p>
      <w:pPr>
        <w:keepNext/>
      </w:pPr>
      <w:r>
        <w:t>Please note the following about this figure:</w:t>
      </w:r>
    </w:p>
    <w:p>
      <w:pPr>
        <w:pStyle w:val="ListBullet"/>
      </w:pPr>
      <w:r>
        <w:rPr>
          <w:b/>
        </w:rPr>
        <w:t xml:space="preserve">It is indicative and non-binding. </w:t>
      </w:r>
      <w:r>
        <w:t>It is a straight-line nameplate adjustment of the published value, not the result of a new feeder study.</w:t>
      </w:r>
    </w:p>
    <w:p>
      <w:pPr>
        <w:pStyle w:val="ListBullet"/>
      </w:pPr>
      <w:r>
        <w:rPr>
          <w:b/>
        </w:rPr>
        <w:t xml:space="preserve">It does not reserve capacity or establish a queue position. </w:t>
      </w:r>
      <w:r>
        <w:t>Queue position is established only by a complete interconnection application, as of the date the Company determines it complete (Tariff §12.3), and applications are processed in queue order (Tariff §12.7). The applications already in queue on ALN-108 precede any application you file.</w:t>
      </w:r>
    </w:p>
    <w:p>
      <w:pPr>
        <w:pStyle w:val="ListBullet"/>
      </w:pPr>
      <w:r>
        <w:rPr>
          <w:b/>
        </w:rPr>
        <w:t xml:space="preserve">It moves with queue activity. </w:t>
      </w:r>
      <w:r>
        <w:t>Further applications entering the queue ahead of yours would reduce it; withdrawals of queued applications would increase it.</w:t>
      </w:r>
    </w:p>
    <w:p>
      <w:pPr>
        <w:pStyle w:val="ListBullet"/>
      </w:pPr>
      <w:r>
        <w:rPr>
          <w:b/>
        </w:rPr>
        <w:t xml:space="preserve">A refreshed feeder study may produce a different value, </w:t>
      </w:r>
      <w:r>
        <w:t>higher or lower, once current load data, the accounting of existing and queued DER, and the thermal, voltage and protection screens are re-run.</w:t>
      </w:r>
    </w:p>
    <w:p>
      <w:pPr>
        <w:pStyle w:val="Heading3"/>
      </w:pPr>
      <w:r>
        <w:t>2.  Known conditions, restrictions and upgrade indications</w:t>
      </w:r>
    </w:p>
    <w:p>
      <w:r>
        <w:t>Feeder ALN-108 has not been re-studied since April 2024, and no upgrade scope has been identified on record for a project of this size; any upgrades would be identified through the study process for an application. Under the Company’s current standards, a 3 MW project at this location would be subject to the following:</w:t>
      </w:r>
    </w:p>
    <w:p>
      <w:pPr>
        <w:pStyle w:val="ListBullet"/>
      </w:pPr>
      <w:r>
        <w:rPr>
          <w:b/>
        </w:rPr>
        <w:t xml:space="preserve">Review path. </w:t>
      </w:r>
      <w:r>
        <w:t>A 3 MW facility is medium-scale DER (1–5 MW) under Tariff §12.2(b) and DIS-01 Table 3-1, and proceeds through initial screening and a system impact study. That study (and a facility study where required) would assess the requested capacity against the feeder and identify any upgrades needed.</w:t>
      </w:r>
    </w:p>
    <w:p>
      <w:pPr>
        <w:pStyle w:val="ListBullet"/>
      </w:pPr>
      <w:r>
        <w:rPr>
          <w:b/>
        </w:rPr>
        <w:t xml:space="preserve">Protective equipment </w:t>
      </w:r>
      <w:r>
        <w:t>(DIS-01 Table 5-1, Category 3; DPS-07 §4.2): a customer-owned, lockable visible-break disconnect; a dedicated interconnection protection relay; a utility-owned point-of-interconnection (POI) recloser; a dedicated anti-islanding relay scheme, with direct transfer trip where the system impact study requires it; and bidirectional revenue metering.</w:t>
      </w:r>
    </w:p>
    <w:p>
      <w:pPr>
        <w:pStyle w:val="ListBullet"/>
      </w:pPr>
      <w:r>
        <w:rPr>
          <w:b/>
        </w:rPr>
        <w:t xml:space="preserve">Telemetry. </w:t>
      </w:r>
      <w:r>
        <w:t>A utility-owned RTU with SCADA telemetry is required, and permission to operate is not issued without live telemetry (TCS-02 §5; DIS-01 §6).</w:t>
      </w:r>
    </w:p>
    <w:p>
      <w:pPr>
        <w:pStyle w:val="ListBullet"/>
      </w:pPr>
      <w:r>
        <w:rPr>
          <w:b/>
        </w:rPr>
        <w:t xml:space="preserve">Equipment lead time. </w:t>
      </w:r>
      <w:r>
        <w:t>Utility-owned RTUs and POI reclosers currently carry a supplier lead time of approximately eight months. Please allow for this when planning against your Q4 2026 target.</w:t>
      </w:r>
    </w:p>
    <w:p>
      <w:pPr>
        <w:pStyle w:val="ListBullet"/>
      </w:pPr>
      <w:r>
        <w:rPr>
          <w:b/>
        </w:rPr>
        <w:t xml:space="preserve">Feeder category. </w:t>
      </w:r>
      <w:r>
        <w:t>Your project (pure generation, front-of-the-meter, export-only) is consistent with the pure-generation designation of ALN-108.</w:t>
      </w:r>
    </w:p>
    <w:p>
      <w:pPr>
        <w:keepNext/>
        <w:spacing w:before="80"/>
      </w:pPr>
      <w:r>
        <w:t>If you wish to size the project to the capacity currently indicated, the options include:</w:t>
      </w:r>
    </w:p>
    <w:p>
      <w:pPr>
        <w:ind w:left="360"/>
      </w:pPr>
      <w:r>
        <w:rPr>
          <w:b/>
        </w:rPr>
        <w:t xml:space="preserve">(a)  </w:t>
      </w:r>
      <w:r>
        <w:t>a facility at or below the indicative figure. A facility between 500 kW and 1 MW is commercial small-scale DER, reviewed through initial screening and, where required, supplemental review under SRP-3 (DIS-01 Table 3-1). Facilities below 500 kW fall under the separate Simplified Small-Systems Process (Tariff §12.2);</w:t>
      </w:r>
    </w:p>
    <w:p>
      <w:pPr>
        <w:ind w:left="360"/>
      </w:pPr>
      <w:r>
        <w:rPr>
          <w:b/>
        </w:rPr>
        <w:t xml:space="preserve">(b)  </w:t>
      </w:r>
      <w:r>
        <w:t>a controlled operating limit below nameplate. The Company recognizes such a limit only on submission of both a valid UL 1741 / UL 3141 Power Control System certification and an approved Control Narrative (DIS-01 §3.6). On a pure-generation site the POI recloser’s directional-power (ANSI 32) element is set to the recognized limit. Without both submissions, nameplate governs; or</w:t>
      </w:r>
    </w:p>
    <w:p>
      <w:pPr>
        <w:ind w:left="360"/>
      </w:pPr>
      <w:r>
        <w:rPr>
          <w:b/>
        </w:rPr>
        <w:t xml:space="preserve">(c)  </w:t>
      </w:r>
      <w:r>
        <w:t>deferring your final sizing decision until the refreshed figure described below is available.</w:t>
      </w:r>
    </w:p>
    <w:p>
      <w:pPr>
        <w:pStyle w:val="Heading3"/>
      </w:pPr>
      <w:r>
        <w:t>3.  Refreshed figure and pre-application meeting</w:t>
      </w:r>
    </w:p>
    <w:p>
      <w:r>
        <w:t>We have requested a priority refresh of Feeder ALN-108 from Distribution Planning under the map’s published refresh-prioritization criteria, and we will write to you with the refreshed figure when it is issued.</w:t>
      </w:r>
    </w:p>
    <w:p>
      <w:r>
        <w:t>We would welcome a pre-application meeting with you, Distribution Planning and the DER Program Office. We will contact you by July 28, 2025 to schedule it. You are welcome to propose dates in the meantime by reply to der.program@alleniom.com.</w:t>
      </w:r>
    </w:p>
    <w:p>
      <w:pPr>
        <w:keepNext/>
      </w:pPr>
      <w:r>
        <w:t>Questions may be directed to the DER Program Office at der.program@alleniom.com or (612) 555-0100, or to June Halloway, Distribution Planning Engineer, at june.halloway@alleniom.com or (612) 555-0105.</w:t>
      </w:r>
    </w:p>
    <w:p>
      <w:pPr>
        <w:keepNext/>
        <w:spacing w:after="360" w:before="80"/>
      </w:pPr>
      <w:r>
        <w:t>Sincerely,</w:t>
      </w:r>
    </w:p>
    <w:p>
      <w:pPr>
        <w:keepNext/>
        <w:spacing w:after="0"/>
      </w:pPr>
      <w:r>
        <w:rPr>
          <w:b/>
        </w:rPr>
        <w:t>DER Program Office</w:t>
      </w:r>
    </w:p>
    <w:p>
      <w:pPr>
        <w:keepNext/>
        <w:spacing w:after="160"/>
      </w:pPr>
      <w:r>
        <w:t>Alleniom Utilities</w:t>
      </w:r>
    </w:p>
    <w:p>
      <w:pPr>
        <w:keepNext/>
        <w:spacing w:after="0"/>
      </w:pPr>
      <w:r>
        <w:rPr>
          <w:b/>
          <w:sz w:val="18"/>
        </w:rPr>
        <w:t xml:space="preserve">cc: </w:t>
      </w:r>
      <w:r>
        <w:rPr>
          <w:sz w:val="18"/>
        </w:rPr>
        <w:t>June Halloway, Distribution Planning Engineer</w:t>
      </w:r>
    </w:p>
    <w:p>
      <w:r>
        <w:rPr>
          <w:b/>
          <w:sz w:val="18"/>
        </w:rPr>
        <w:t xml:space="preserve">Ref: </w:t>
      </w:r>
      <w:r>
        <w:rPr>
          <w:sz w:val="18"/>
        </w:rPr>
        <w:t>DER Program case #44</w:t>
      </w:r>
    </w:p>
    <w:p>
      <w:pPr>
        <w:pStyle w:val="Heading1"/>
        <w:pageBreakBefore/>
      </w:pPr>
      <w:r>
        <w:t>Part B — Determinations and basis</w:t>
      </w:r>
    </w:p>
    <w:p>
      <w:r>
        <w:t>Each determination states the call made and the record it rests on. Queue entries are identified by queue date, nameplate and processing stage, the same presentation Distribution Planning used in its 10/15/2024 interim update. Applicant identities are not disclosed in this document.</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648"/>
        <w:gridCol w:w="3744"/>
        <w:gridCol w:w="4968"/>
      </w:tblGrid>
      <w:tr>
        <w:trPr>
          <w:tblHeader w:val="true"/>
          <w:cantSplit w:val="true"/>
        </w:trPr>
        <w:tc>
          <w:tcPr>
            <w:tcW w:type="dxa" w:w="648"/>
            <w:vAlign w:val="top"/>
            <w:shd w:val="clear" w:color="auto" w:fill="142E52"/>
          </w:tcPr>
          <w:p>
            <w:pPr>
              <w:keepNext/>
              <w:spacing w:after="0"/>
            </w:pPr>
            <w:r>
              <w:rPr>
                <w:b/>
                <w:color w:val="FFFFFF"/>
                <w:sz w:val="18"/>
              </w:rPr>
              <w:t>#</w:t>
            </w:r>
          </w:p>
        </w:tc>
        <w:tc>
          <w:tcPr>
            <w:tcW w:type="dxa" w:w="3744"/>
            <w:vAlign w:val="top"/>
            <w:shd w:val="clear" w:color="auto" w:fill="142E52"/>
          </w:tcPr>
          <w:p>
            <w:pPr>
              <w:keepNext/>
              <w:spacing w:after="0"/>
            </w:pPr>
            <w:r>
              <w:rPr>
                <w:b/>
                <w:color w:val="FFFFFF"/>
                <w:sz w:val="18"/>
              </w:rPr>
              <w:t>Question</w:t>
            </w:r>
          </w:p>
        </w:tc>
        <w:tc>
          <w:tcPr>
            <w:tcW w:type="dxa" w:w="4968"/>
            <w:vAlign w:val="top"/>
            <w:shd w:val="clear" w:color="auto" w:fill="142E52"/>
          </w:tcPr>
          <w:p>
            <w:pPr>
              <w:keepNext/>
              <w:spacing w:after="0"/>
            </w:pPr>
            <w:r>
              <w:rPr>
                <w:b/>
                <w:color w:val="FFFFFF"/>
                <w:sz w:val="18"/>
              </w:rPr>
              <w:t>Determination</w:t>
            </w:r>
          </w:p>
        </w:tc>
      </w:tr>
      <w:tr>
        <w:trPr>
          <w:cantSplit w:val="true"/>
        </w:trPr>
        <w:tc>
          <w:tcPr>
            <w:tcW w:type="dxa" w:w="648"/>
            <w:vAlign w:val="top"/>
          </w:tcPr>
          <w:p>
            <w:pPr>
              <w:keepNext/>
              <w:spacing w:after="0"/>
            </w:pPr>
            <w:r>
              <w:rPr>
                <w:sz w:val="18"/>
              </w:rPr>
              <w:t>D1</w:t>
            </w:r>
          </w:p>
        </w:tc>
        <w:tc>
          <w:tcPr>
            <w:tcW w:type="dxa" w:w="3744"/>
            <w:vAlign w:val="top"/>
          </w:tcPr>
          <w:p>
            <w:pPr>
              <w:keepNext/>
              <w:spacing w:after="0"/>
            </w:pPr>
            <w:r>
              <w:rPr>
                <w:sz w:val="18"/>
              </w:rPr>
              <w:t>Is the published 3.0 MW current?</w:t>
            </w:r>
          </w:p>
        </w:tc>
        <w:tc>
          <w:tcPr>
            <w:tcW w:type="dxa" w:w="4968"/>
            <w:vAlign w:val="top"/>
          </w:tcPr>
          <w:p>
            <w:pPr>
              <w:keepNext/>
              <w:spacing w:after="0"/>
            </w:pPr>
            <w:r>
              <w:rPr>
                <w:b/>
                <w:sz w:val="18"/>
              </w:rPr>
              <w:t>No — not confirmed</w:t>
            </w:r>
          </w:p>
        </w:tc>
      </w:tr>
      <w:tr>
        <w:trPr>
          <w:cantSplit w:val="true"/>
        </w:trPr>
        <w:tc>
          <w:tcPr>
            <w:tcW w:type="dxa" w:w="648"/>
            <w:vAlign w:val="top"/>
            <w:shd w:val="clear" w:color="auto" w:fill="F3F5F8"/>
          </w:tcPr>
          <w:p>
            <w:pPr>
              <w:keepNext/>
              <w:spacing w:after="0"/>
            </w:pPr>
            <w:r>
              <w:rPr>
                <w:sz w:val="18"/>
              </w:rPr>
              <w:t>D2</w:t>
            </w:r>
          </w:p>
        </w:tc>
        <w:tc>
          <w:tcPr>
            <w:tcW w:type="dxa" w:w="3744"/>
            <w:vAlign w:val="top"/>
            <w:shd w:val="clear" w:color="auto" w:fill="F3F5F8"/>
          </w:tcPr>
          <w:p>
            <w:pPr>
              <w:keepNext/>
              <w:spacing w:after="0"/>
            </w:pPr>
            <w:r>
              <w:rPr>
                <w:sz w:val="18"/>
              </w:rPr>
              <w:t>What figure does the response carry?</w:t>
            </w:r>
          </w:p>
        </w:tc>
        <w:tc>
          <w:tcPr>
            <w:tcW w:type="dxa" w:w="4968"/>
            <w:vAlign w:val="top"/>
            <w:shd w:val="clear" w:color="auto" w:fill="F3F5F8"/>
          </w:tcPr>
          <w:p>
            <w:pPr>
              <w:keepNext/>
              <w:spacing w:after="0"/>
            </w:pPr>
            <w:r>
              <w:rPr>
                <w:b/>
                <w:sz w:val="18"/>
              </w:rPr>
              <w:t>0.8 MW</w:t>
            </w:r>
            <w:r>
              <w:rPr>
                <w:sz w:val="18"/>
              </w:rPr>
              <w:t xml:space="preserve"> indicative, as of 07/14/2025</w:t>
            </w:r>
          </w:p>
        </w:tc>
      </w:tr>
      <w:tr>
        <w:trPr>
          <w:cantSplit w:val="true"/>
        </w:trPr>
        <w:tc>
          <w:tcPr>
            <w:tcW w:type="dxa" w:w="648"/>
            <w:vAlign w:val="top"/>
          </w:tcPr>
          <w:p>
            <w:pPr>
              <w:keepNext/>
              <w:spacing w:after="0"/>
            </w:pPr>
            <w:r>
              <w:rPr>
                <w:sz w:val="18"/>
              </w:rPr>
              <w:t>D3</w:t>
            </w:r>
          </w:p>
        </w:tc>
        <w:tc>
          <w:tcPr>
            <w:tcW w:type="dxa" w:w="3744"/>
            <w:vAlign w:val="top"/>
          </w:tcPr>
          <w:p>
            <w:pPr>
              <w:keepNext/>
              <w:spacing w:after="0"/>
            </w:pPr>
            <w:r>
              <w:rPr>
                <w:sz w:val="18"/>
              </w:rPr>
              <w:t>Can the 10/15/2024 interim figure (1.8 MW) be quoted?</w:t>
            </w:r>
          </w:p>
        </w:tc>
        <w:tc>
          <w:tcPr>
            <w:tcW w:type="dxa" w:w="4968"/>
            <w:vAlign w:val="top"/>
          </w:tcPr>
          <w:p>
            <w:pPr>
              <w:keepNext/>
              <w:spacing w:after="0"/>
            </w:pPr>
            <w:r>
              <w:rPr>
                <w:sz w:val="18"/>
              </w:rPr>
              <w:t>No — superseded by later queue activity</w:t>
            </w:r>
          </w:p>
        </w:tc>
      </w:tr>
      <w:tr>
        <w:trPr>
          <w:cantSplit w:val="true"/>
        </w:trPr>
        <w:tc>
          <w:tcPr>
            <w:tcW w:type="dxa" w:w="648"/>
            <w:vAlign w:val="top"/>
            <w:shd w:val="clear" w:color="auto" w:fill="F3F5F8"/>
          </w:tcPr>
          <w:p>
            <w:pPr>
              <w:keepNext/>
              <w:spacing w:after="0"/>
            </w:pPr>
            <w:r>
              <w:rPr>
                <w:sz w:val="18"/>
              </w:rPr>
              <w:t>D4</w:t>
            </w:r>
          </w:p>
        </w:tc>
        <w:tc>
          <w:tcPr>
            <w:tcW w:type="dxa" w:w="3744"/>
            <w:vAlign w:val="top"/>
            <w:shd w:val="clear" w:color="auto" w:fill="F3F5F8"/>
          </w:tcPr>
          <w:p>
            <w:pPr>
              <w:keepNext/>
              <w:spacing w:after="0"/>
            </w:pPr>
            <w:r>
              <w:rPr>
                <w:sz w:val="18"/>
              </w:rPr>
              <w:t>Can capacity be confirmed for a 3 MW project?</w:t>
            </w:r>
          </w:p>
        </w:tc>
        <w:tc>
          <w:tcPr>
            <w:tcW w:type="dxa" w:w="4968"/>
            <w:vAlign w:val="top"/>
            <w:shd w:val="clear" w:color="auto" w:fill="F3F5F8"/>
          </w:tcPr>
          <w:p>
            <w:pPr>
              <w:keepNext/>
              <w:spacing w:after="0"/>
            </w:pPr>
            <w:r>
              <w:rPr>
                <w:sz w:val="18"/>
              </w:rPr>
              <w:t>No — exceeds the indicative figure by 2.2 MW; options set out</w:t>
            </w:r>
          </w:p>
        </w:tc>
      </w:tr>
      <w:tr>
        <w:trPr>
          <w:cantSplit w:val="true"/>
        </w:trPr>
        <w:tc>
          <w:tcPr>
            <w:tcW w:type="dxa" w:w="648"/>
            <w:vAlign w:val="top"/>
          </w:tcPr>
          <w:p>
            <w:pPr>
              <w:keepNext/>
              <w:spacing w:after="0"/>
            </w:pPr>
            <w:r>
              <w:rPr>
                <w:sz w:val="18"/>
              </w:rPr>
              <w:t>D5</w:t>
            </w:r>
          </w:p>
        </w:tc>
        <w:tc>
          <w:tcPr>
            <w:tcW w:type="dxa" w:w="3744"/>
            <w:vAlign w:val="top"/>
          </w:tcPr>
          <w:p>
            <w:pPr>
              <w:keepNext/>
              <w:spacing w:after="0"/>
            </w:pPr>
            <w:r>
              <w:rPr>
                <w:sz w:val="18"/>
              </w:rPr>
              <w:t>What standing does the response have?</w:t>
            </w:r>
          </w:p>
        </w:tc>
        <w:tc>
          <w:tcPr>
            <w:tcW w:type="dxa" w:w="4968"/>
            <w:vAlign w:val="top"/>
          </w:tcPr>
          <w:p>
            <w:pPr>
              <w:keepNext/>
              <w:spacing w:after="0"/>
            </w:pPr>
            <w:r>
              <w:rPr>
                <w:sz w:val="18"/>
              </w:rPr>
              <w:t>Indicative and non-binding; no reservation, no queue position</w:t>
            </w:r>
          </w:p>
        </w:tc>
      </w:tr>
      <w:tr>
        <w:trPr>
          <w:cantSplit w:val="true"/>
        </w:trPr>
        <w:tc>
          <w:tcPr>
            <w:tcW w:type="dxa" w:w="648"/>
            <w:vAlign w:val="top"/>
            <w:shd w:val="clear" w:color="auto" w:fill="F3F5F8"/>
          </w:tcPr>
          <w:p>
            <w:pPr>
              <w:keepNext/>
              <w:spacing w:after="0"/>
            </w:pPr>
            <w:r>
              <w:rPr>
                <w:sz w:val="18"/>
              </w:rPr>
              <w:t>D6</w:t>
            </w:r>
          </w:p>
        </w:tc>
        <w:tc>
          <w:tcPr>
            <w:tcW w:type="dxa" w:w="3744"/>
            <w:vAlign w:val="top"/>
            <w:shd w:val="clear" w:color="auto" w:fill="F3F5F8"/>
          </w:tcPr>
          <w:p>
            <w:pPr>
              <w:keepNext/>
              <w:spacing w:after="0"/>
            </w:pPr>
            <w:r>
              <w:rPr>
                <w:sz w:val="18"/>
              </w:rPr>
              <w:t>What conditions are disclosed for 3 MW?</w:t>
            </w:r>
          </w:p>
        </w:tc>
        <w:tc>
          <w:tcPr>
            <w:tcW w:type="dxa" w:w="4968"/>
            <w:vAlign w:val="top"/>
            <w:shd w:val="clear" w:color="auto" w:fill="F3F5F8"/>
          </w:tcPr>
          <w:p>
            <w:pPr>
              <w:keepNext/>
              <w:spacing w:after="0"/>
            </w:pPr>
            <w:r>
              <w:rPr>
                <w:sz w:val="18"/>
              </w:rPr>
              <w:t>Medium-scale study path; Category 3 equipment; RTU and telemetry; lead time; no upgrade scope on record</w:t>
            </w:r>
          </w:p>
        </w:tc>
      </w:tr>
      <w:tr>
        <w:trPr>
          <w:cantSplit w:val="true"/>
        </w:trPr>
        <w:tc>
          <w:tcPr>
            <w:tcW w:type="dxa" w:w="648"/>
            <w:vAlign w:val="top"/>
          </w:tcPr>
          <w:p>
            <w:pPr>
              <w:keepNext/>
              <w:spacing w:after="0"/>
            </w:pPr>
            <w:r>
              <w:rPr>
                <w:sz w:val="18"/>
              </w:rPr>
              <w:t>D7</w:t>
            </w:r>
          </w:p>
        </w:tc>
        <w:tc>
          <w:tcPr>
            <w:tcW w:type="dxa" w:w="3744"/>
            <w:vAlign w:val="top"/>
          </w:tcPr>
          <w:p>
            <w:pPr>
              <w:keepNext/>
              <w:spacing w:after="0"/>
            </w:pPr>
            <w:r>
              <w:rPr>
                <w:sz w:val="18"/>
              </w:rPr>
              <w:t>Issue now, or hold for the re-study?</w:t>
            </w:r>
          </w:p>
        </w:tc>
        <w:tc>
          <w:tcPr>
            <w:tcW w:type="dxa" w:w="4968"/>
            <w:vAlign w:val="top"/>
          </w:tcPr>
          <w:p>
            <w:pPr>
              <w:keepNext/>
              <w:spacing w:after="0"/>
            </w:pPr>
            <w:r>
              <w:rPr>
                <w:sz w:val="18"/>
              </w:rPr>
              <w:t>Issue now with the adjusted figure; priority refresh requested</w:t>
            </w:r>
          </w:p>
        </w:tc>
      </w:tr>
      <w:tr>
        <w:trPr>
          <w:cantSplit w:val="true"/>
        </w:trPr>
        <w:tc>
          <w:tcPr>
            <w:tcW w:type="dxa" w:w="648"/>
            <w:vAlign w:val="top"/>
            <w:shd w:val="clear" w:color="auto" w:fill="F3F5F8"/>
          </w:tcPr>
          <w:p>
            <w:pPr>
              <w:spacing w:after="0"/>
            </w:pPr>
            <w:r>
              <w:rPr>
                <w:sz w:val="18"/>
              </w:rPr>
              <w:t>D8</w:t>
            </w:r>
          </w:p>
        </w:tc>
        <w:tc>
          <w:tcPr>
            <w:tcW w:type="dxa" w:w="3744"/>
            <w:vAlign w:val="top"/>
            <w:shd w:val="clear" w:color="auto" w:fill="F3F5F8"/>
          </w:tcPr>
          <w:p>
            <w:pPr>
              <w:spacing w:after="0"/>
            </w:pPr>
            <w:r>
              <w:rPr>
                <w:sz w:val="18"/>
              </w:rPr>
              <w:t>What map maintenance does the request imply?</w:t>
            </w:r>
          </w:p>
        </w:tc>
        <w:tc>
          <w:tcPr>
            <w:tcW w:type="dxa" w:w="4968"/>
            <w:vAlign w:val="top"/>
            <w:shd w:val="clear" w:color="auto" w:fill="F3F5F8"/>
          </w:tcPr>
          <w:p>
            <w:pPr>
              <w:spacing w:after="0"/>
            </w:pPr>
            <w:r>
              <w:rPr>
                <w:sz w:val="18"/>
              </w:rPr>
              <w:t>Priority refresh of ALN-108; supersede the interim update; republish the map</w:t>
            </w:r>
          </w:p>
        </w:tc>
      </w:tr>
    </w:tbl>
    <w:p>
      <w:pPr>
        <w:spacing w:after="0" w:before="0" w:line="240" w:lineRule="auto"/>
      </w:pPr>
      <w:r>
        <w:rPr>
          <w:sz w:val="8"/>
        </w:rPr>
        <w:t xml:space="preserve"> </w:t>
      </w:r>
    </w:p>
    <w:p>
      <w:pPr>
        <w:pStyle w:val="Heading2"/>
      </w:pPr>
      <w:r>
        <w:t>D1.  The published 3.0 MW figure is not confirmed as current</w:t>
      </w:r>
    </w:p>
    <w:p>
      <w:pPr>
        <w:spacing w:after="80"/>
      </w:pPr>
      <w:r>
        <w:rPr>
          <w:b/>
          <w:color w:val="142E52"/>
        </w:rPr>
        <w:t xml:space="preserve">Determination. </w:t>
      </w:r>
      <w:r>
        <w:t>The DER Program Office does not confirm that the 3.0 MW shown for ALN-108 remains current, and the response says so expressly.</w:t>
      </w:r>
    </w:p>
    <w:p>
      <w:pPr>
        <w:spacing w:after="40"/>
      </w:pPr>
      <w:r>
        <w:rPr>
          <w:b/>
          <w:color w:val="142E52"/>
        </w:rPr>
        <w:t>Basis.</w:t>
      </w:r>
      <w:r/>
    </w:p>
    <w:p>
      <w:pPr>
        <w:pStyle w:val="ListBullet"/>
      </w:pPr>
      <w:r>
        <w:t>HCM-2024-Q2 (Rev 1, published 05/15/2024), Feeder Capacity tab: ALN-108, Elderpine, 13.2 kV, published available capacity 3.0 MW, Pure Generation, last study 04/2024. This is the figure the request quotes.</w:t>
      </w:r>
    </w:p>
    <w:p>
      <w:pPr>
        <w:pStyle w:val="ListBullet"/>
      </w:pPr>
      <w:r>
        <w:t>HCM-2024-Q2, Title Block, “Applicability”: values are as of the publication date and “do not reflect interconnection queue activity recorded after the publication date”; the DER Program Office’s active-queue register is the record of that activity; requesters are to consult Distribution Planning before finalizing project sizing.</w:t>
      </w:r>
    </w:p>
    <w:p>
      <w:pPr>
        <w:pStyle w:val="ListBullet"/>
      </w:pPr>
      <w:r>
        <w:t>2025-07-14 Active Queue Report: 2.2 MW of applications have been queued on ALN-108 since 05/15/2024 (Annex A).</w:t>
      </w:r>
    </w:p>
    <w:p>
      <w:pPr>
        <w:pStyle w:val="ListBullet"/>
      </w:pPr>
      <w:r>
        <w:t>Tasking memo RA-2025-07-01 §3.7: before any capacity figure from the published hosting-capacity map is communicated externally, confirm that it reflects the current state of the affected feeder. The 3.0 MW figure does not.</w:t>
      </w:r>
    </w:p>
    <w:p>
      <w:pPr>
        <w:pStyle w:val="Heading2"/>
      </w:pPr>
      <w:r>
        <w:t>D2.  The response carries 0.8 MW as the indicative available capacity</w:t>
      </w:r>
    </w:p>
    <w:p>
      <w:pPr>
        <w:spacing w:after="80"/>
      </w:pPr>
      <w:r>
        <w:rPr>
          <w:b/>
          <w:color w:val="142E52"/>
        </w:rPr>
        <w:t xml:space="preserve">Determination. </w:t>
      </w:r>
      <w:r>
        <w:t xml:space="preserve">3.0 MW − 1.2 MW − 1.0 MW = </w:t>
      </w:r>
      <w:r>
        <w:rPr>
          <w:b/>
        </w:rPr>
        <w:t>0.8 MW</w:t>
      </w:r>
      <w:r>
        <w:t>, as of 07/14/2025.</w:t>
      </w:r>
    </w:p>
    <w:p>
      <w:pPr>
        <w:spacing w:after="40"/>
      </w:pPr>
      <w:r>
        <w:rPr>
          <w:b/>
          <w:color w:val="142E52"/>
        </w:rPr>
        <w:t>Basis.</w:t>
      </w:r>
      <w:r/>
    </w:p>
    <w:p>
      <w:pPr>
        <w:pStyle w:val="ListBullet"/>
      </w:pPr>
      <w:r>
        <w:t>Method: HCM-2024-Q2 “Applicability” — “A pre-application capacity response is prepared against the published value as adjusted for queue entries added since publication.” Distribution Planning applied the same straight-line nameplate netting in PLN-ALN-108-2024-10 §4.</w:t>
      </w:r>
    </w:p>
    <w:p>
      <w:pPr>
        <w:pStyle w:val="ListBullet"/>
      </w:pPr>
      <w:r>
        <w:t>Inputs: 2025-07-14 Active Queue Report, Active Queue tab, Feeder = ALN-108 (four rows). The two entries queued after 05/15/2024 are netted: 09/18/2024, 1.2 MW, system impact study; and 02/06/2025, 1.0 MW, technical screening. The two queued before publication (11/20/2023, 1.1 MW, ISA executed; 04/03/2024, 0.69 MW, construction) are treated as reflected in the published value, as in PLN-ALN-108-2024-10 §3.</w:t>
      </w:r>
    </w:p>
    <w:p>
      <w:pPr>
        <w:pStyle w:val="ListBullet"/>
      </w:pPr>
      <w:r>
        <w:t>The queue export does not record a DER category for the 02/06/2025 entry. It is netted at full nameplate, which is the conservative treatment.</w:t>
      </w:r>
    </w:p>
    <w:p>
      <w:pPr>
        <w:pStyle w:val="ListBullet"/>
      </w:pPr>
      <w:r>
        <w:t>Cross-checks: the Withdrawal Notice Log (as of 07/14/2025) records no notice against any ALN-108 application, so no withdrawal has released capacity. The 2025-07-14 On-Hold Queue Report carries no feeder field; none of its applications could be traced to ALN-108 through the other records on file. Confirmation is part of follow-up #47.</w:t>
      </w:r>
    </w:p>
    <w:p>
      <w:pPr>
        <w:pStyle w:val="ListBullet"/>
      </w:pPr>
      <w:r>
        <w:t>The document-store and wiki copies of the map, the interim update, the request and the queue report were compared with the file set and carry the same figures.</w:t>
      </w:r>
    </w:p>
    <w:p>
      <w:pPr>
        <w:pStyle w:val="ListBullet"/>
      </w:pPr>
      <w:r>
        <w:t>Limits carried into the response: the figure is indicative, not a study result; it moves with queue activity; and a re-study may change it.</w:t>
      </w:r>
    </w:p>
    <w:p>
      <w:pPr>
        <w:pStyle w:val="Heading2"/>
      </w:pPr>
      <w:r>
        <w:t>D3.  The 10/15/2024 interim figure of 1.8 MW is superseded</w:t>
      </w:r>
    </w:p>
    <w:p>
      <w:pPr>
        <w:spacing w:after="80"/>
      </w:pPr>
      <w:r>
        <w:rPr>
          <w:b/>
          <w:color w:val="142E52"/>
        </w:rPr>
        <w:t xml:space="preserve">Determination. </w:t>
      </w:r>
      <w:r>
        <w:t>1.8 MW is not quoted as current. Because the requester asked for any figures post-dating 05/15/2024, the response discloses that the interim update was issued and explains why it is no longer current.</w:t>
      </w:r>
    </w:p>
    <w:p>
      <w:pPr>
        <w:spacing w:after="40"/>
      </w:pPr>
      <w:r>
        <w:rPr>
          <w:b/>
          <w:color w:val="142E52"/>
        </w:rPr>
        <w:t>Basis.</w:t>
      </w:r>
      <w:r/>
    </w:p>
    <w:p>
      <w:pPr>
        <w:pStyle w:val="ListBullet"/>
      </w:pPr>
      <w:r>
        <w:t>PLN-ALN-108-2024-10 (Rev 1, 10/15/2024) §3–4: the 1.8 MW figure nets only the 09/18/2024 entry.</w:t>
      </w:r>
    </w:p>
    <w:p>
      <w:pPr>
        <w:pStyle w:val="ListBullet"/>
      </w:pPr>
      <w:r>
        <w:t>Same memo, §4, first stated limitation: the figure reflects the queue as of 10/15/2024 only; later queue additions require Distribution Planning to reassess it.</w:t>
      </w:r>
    </w:p>
    <w:p>
      <w:pPr>
        <w:pStyle w:val="ListBullet"/>
      </w:pPr>
      <w:r>
        <w:t>Same memo, §5, Recommendation 3: the memo is to be reissued or superseded if further queue activity arises before the next map refresh. The 02/06/2025 entry triggered that recommendation, and no reissue is on file.</w:t>
      </w:r>
    </w:p>
    <w:p>
      <w:pPr>
        <w:pStyle w:val="ListBullet"/>
      </w:pPr>
      <w:r>
        <w:t>Request, Statement of Request: asks to receive any updated feeder figures or study results that post-date the 05/15/2024 publication.</w:t>
      </w:r>
    </w:p>
    <w:p>
      <w:pPr>
        <w:pStyle w:val="Heading2"/>
      </w:pPr>
      <w:r>
        <w:t>D4.  Capacity cannot be confirmed for the 3 MW project; the gap and the options are set out</w:t>
      </w:r>
    </w:p>
    <w:p>
      <w:pPr>
        <w:spacing w:after="80"/>
      </w:pPr>
      <w:r>
        <w:rPr>
          <w:b/>
          <w:color w:val="142E52"/>
        </w:rPr>
        <w:t xml:space="preserve">Determination. </w:t>
      </w:r>
      <w:r>
        <w:t>The request (3 MW-AC, pure generation) exceeds 0.8 MW by 2.2 MW. The response declines confirmation and sets out the paths open to the requester: apply at 3 MW and be studied; resize; seek controlled-capacity recognition; or wait for the refreshed figure.</w:t>
      </w:r>
    </w:p>
    <w:p>
      <w:pPr>
        <w:spacing w:after="40"/>
      </w:pPr>
      <w:r>
        <w:rPr>
          <w:b/>
          <w:color w:val="142E52"/>
        </w:rPr>
        <w:t>Basis.</w:t>
      </w:r>
      <w:r/>
    </w:p>
    <w:p>
      <w:pPr>
        <w:pStyle w:val="ListBullet"/>
      </w:pPr>
      <w:r>
        <w:t>Request, Request Details and Additional Information: 3 MW requested capacity (3 MW-AC; approximately 3.9 MW-DC), pure generation, front-of-the-meter, export-only, 100% export.</w:t>
      </w:r>
    </w:p>
    <w:p>
      <w:pPr>
        <w:pStyle w:val="ListBullet"/>
      </w:pPr>
      <w:r>
        <w:t>Tariff §12.2 and DIS-01 §3, Table 3-1: 1–5 MW is medium-scale, reviewed by initial screening plus system impact study; 500 kW–1 MW is commercial small-scale, reviewed by initial screening plus supplemental review under SRP-3; below 500 kW is outside the DER Program (Simplified Small-Systems Process).</w:t>
      </w:r>
    </w:p>
    <w:p>
      <w:pPr>
        <w:pStyle w:val="ListBullet"/>
      </w:pPr>
      <w:r>
        <w:t>PLN-ALN-108-2024-10 §1: any project of consequential size on ALN-108 will require a full feeder-level planning study.</w:t>
      </w:r>
    </w:p>
    <w:p>
      <w:pPr>
        <w:pStyle w:val="ListBullet"/>
      </w:pPr>
      <w:r>
        <w:t>DIS-01 §3.6: a limit below nameplate is recognized only with a valid UL 1741 / UL 3141 PCS certification plus an approved Control Narrative. Recognition sets the capacity at which the facility is reviewed, classified and studied. On pure-generation sites with a utility POI recloser, the ANSI 32 element is set to the recognized limit. Otherwise nameplate governs.</w:t>
      </w:r>
    </w:p>
    <w:p>
      <w:pPr>
        <w:pStyle w:val="Heading2"/>
      </w:pPr>
      <w:r>
        <w:t>D5.  The response is indicative and non-binding</w:t>
      </w:r>
    </w:p>
    <w:p>
      <w:pPr>
        <w:spacing w:after="80"/>
      </w:pPr>
      <w:r>
        <w:rPr>
          <w:b/>
          <w:color w:val="142E52"/>
        </w:rPr>
        <w:t xml:space="preserve">Determination. </w:t>
      </w:r>
      <w:r>
        <w:t>The response states that it reserves no capacity and confers no queue position, and that the figure moves with the queue and with the re-study.</w:t>
      </w:r>
    </w:p>
    <w:p>
      <w:pPr>
        <w:spacing w:after="40"/>
      </w:pPr>
      <w:r>
        <w:rPr>
          <w:b/>
          <w:color w:val="142E52"/>
        </w:rPr>
        <w:t>Basis.</w:t>
      </w:r>
      <w:r/>
    </w:p>
    <w:p>
      <w:pPr>
        <w:pStyle w:val="ListBullet"/>
      </w:pPr>
      <w:r>
        <w:t>Tariff §12.3: a complete application establishes queue position as of the date the Company determines it complete.</w:t>
      </w:r>
    </w:p>
    <w:p>
      <w:pPr>
        <w:pStyle w:val="ListBullet"/>
      </w:pPr>
      <w:r>
        <w:t>Tariff §12.7: applications are processed in queue order on a nondiscriminatory basis. The four applications in queue on ALN-108 therefore precede any application the requester files.</w:t>
      </w:r>
    </w:p>
    <w:p>
      <w:pPr>
        <w:pStyle w:val="ListBullet"/>
      </w:pPr>
      <w:r>
        <w:t>HCM-2024-Q2 “Applicability” and PLN-ALN-108-2024-10 §4 limitations: published and interim values are planning references, and a full re-study may yield a different value.</w:t>
      </w:r>
    </w:p>
    <w:p>
      <w:pPr>
        <w:pStyle w:val="Heading2"/>
      </w:pPr>
      <w:r>
        <w:t>D6.  Conditions disclosed for a 3 MW project (request item 2)</w:t>
      </w:r>
    </w:p>
    <w:p>
      <w:pPr>
        <w:spacing w:after="80"/>
      </w:pPr>
      <w:r>
        <w:rPr>
          <w:b/>
          <w:color w:val="142E52"/>
        </w:rPr>
        <w:t xml:space="preserve">Determination. </w:t>
      </w:r>
      <w:r>
        <w:t>No upgrade scope is on record, because the feeder has not been re-studied since 04/2024. The response says so and lists the standards-based conditions that would apply.</w:t>
      </w:r>
    </w:p>
    <w:p>
      <w:pPr>
        <w:spacing w:after="40"/>
      </w:pPr>
      <w:r>
        <w:rPr>
          <w:b/>
          <w:color w:val="142E52"/>
        </w:rPr>
        <w:t>Basis.</w:t>
      </w:r>
      <w:r/>
    </w:p>
    <w:p>
      <w:pPr>
        <w:pStyle w:val="ListBullet"/>
      </w:pPr>
      <w:r>
        <w:t>HCM-2024-Q2: last study for ALN-108 was 04/2024. The only later record is the 10/15/2024 interim netting update, which re-ran no screens.</w:t>
      </w:r>
    </w:p>
    <w:p>
      <w:pPr>
        <w:pStyle w:val="ListBullet"/>
      </w:pPr>
      <w:r>
        <w:t>DIS-01 Table 5-1, Category 3 (1–5 MW export sites): customer-owned lockable visible-break disconnect; dedicated protection relay; utility-owned POI recloser required; dedicated anti-islanding relay scheme with transfer trip where required; bidirectional revenue meter; utility RTU and SCADA telemetry per TCS-02.</w:t>
      </w:r>
    </w:p>
    <w:p>
      <w:pPr>
        <w:pStyle w:val="ListBullet"/>
      </w:pPr>
      <w:r>
        <w:t>DPS-07 Rev 2 §4.2 (utility-owned POI recloser at every export-capable in-scope site) and §5.3 (direct transfer trip where the system impact study identifies the need).</w:t>
      </w:r>
    </w:p>
    <w:p>
      <w:pPr>
        <w:pStyle w:val="ListBullet"/>
      </w:pPr>
      <w:r>
        <w:t>TCS-02 §5 and DIS-01 §6: sites of 500 kW and above require a utility-owned RTU and SCADA telemetry; no permission to operate without live telemetry.</w:t>
      </w:r>
    </w:p>
    <w:p>
      <w:pPr>
        <w:pStyle w:val="ListBullet"/>
      </w:pPr>
      <w:r>
        <w:t>Supplier Lead-Time Report SCADA-EQP-2025-06 (06/30/2025): approximately eight-month supplier lead time for utility-owned RTUs and POI reclosers.</w:t>
      </w:r>
    </w:p>
    <w:p>
      <w:pPr>
        <w:pStyle w:val="ListBullet"/>
      </w:pPr>
      <w:r>
        <w:t>HCM-2024-Q2 DER Category: ALN-108 is a pure-generation feeder segment, consistent with the request.</w:t>
      </w:r>
    </w:p>
    <w:p>
      <w:pPr>
        <w:pStyle w:val="Heading2"/>
      </w:pPr>
      <w:r>
        <w:t>D7.  Issue the response now, with the adjusted figure, rather than hold it for the re-study</w:t>
      </w:r>
    </w:p>
    <w:p>
      <w:pPr>
        <w:spacing w:after="80"/>
      </w:pPr>
      <w:r>
        <w:rPr>
          <w:b/>
          <w:color w:val="142E52"/>
        </w:rPr>
        <w:t xml:space="preserve">Determination. </w:t>
      </w:r>
      <w:r>
        <w:t>Issue on 07/14/2025.</w:t>
      </w:r>
    </w:p>
    <w:p>
      <w:pPr>
        <w:spacing w:after="40"/>
      </w:pPr>
      <w:r>
        <w:rPr>
          <w:b/>
          <w:color w:val="142E52"/>
        </w:rPr>
        <w:t>Basis.</w:t>
      </w:r>
      <w:r/>
    </w:p>
    <w:p>
      <w:pPr>
        <w:pStyle w:val="ListBullet"/>
      </w:pPr>
      <w:r>
        <w:t>The map’s own “Applicability” note prescribes how a pre-application capacity response is prepared (published value adjusted for queue entries since publication). The response follows that method and labels the result indicative.</w:t>
      </w:r>
    </w:p>
    <w:p>
      <w:pPr>
        <w:pStyle w:val="ListBullet"/>
      </w:pPr>
      <w:r>
        <w:t>Tasking memo RA-2025-07-01 §3.7 is met: the published figure is not communicated as current, and a priority refresh has been requested from Distribution Planning (follow-up #47).</w:t>
      </w:r>
    </w:p>
    <w:p>
      <w:pPr>
        <w:pStyle w:val="ListBullet"/>
      </w:pPr>
      <w:r>
        <w:t>The requester asked for updated figures so that it can size the project. Holding the response would leave the out-of-date 3.0 MW uncorrected for a project already sized against it.</w:t>
      </w:r>
    </w:p>
    <w:p>
      <w:pPr>
        <w:pStyle w:val="ListBullet"/>
      </w:pPr>
      <w:r>
        <w:t>Case #44 was due 08/15/2025. Issuing now leaves room for the meeting (#49) and the refreshed figure (#47) to follow within that window.</w:t>
      </w:r>
    </w:p>
    <w:p>
      <w:pPr>
        <w:pStyle w:val="Heading2"/>
      </w:pPr>
      <w:r>
        <w:t>D8.  Map maintenance implied by the request (flagged as case #44 requires)</w:t>
      </w:r>
    </w:p>
    <w:p>
      <w:pPr>
        <w:spacing w:after="80"/>
      </w:pPr>
      <w:r>
        <w:rPr>
          <w:b/>
          <w:color w:val="142E52"/>
        </w:rPr>
        <w:t xml:space="preserve">Determination. </w:t>
      </w:r>
      <w:r>
        <w:t>Three maintenance items, each logged as a follow-up:</w:t>
      </w:r>
    </w:p>
    <w:p>
      <w:pPr>
        <w:ind w:left="360"/>
      </w:pPr>
      <w:r>
        <w:rPr>
          <w:b/>
        </w:rPr>
        <w:t xml:space="preserve">(a)  ALN-108 priority refresh (#47). </w:t>
      </w:r>
      <w:r>
        <w:t xml:space="preserve">The published value is overstated by 2.2 MW against the current queue. ALN-108 meets each published prioritization criterion: (1) a pending pre-application (07/02/2025) and pending applications the published value does not reflect (09/18/2024, 02/06/2025); (2) requested capacity equal to 100% of the published figure, with post-publication demand of 5.2 MW against 3.0 MW published; (3) pure-generation category, the most heavily weighted. </w:t>
      </w:r>
      <w:r>
        <w:rPr>
          <w:i/>
        </w:rPr>
        <w:t xml:space="preserve">Basis: </w:t>
      </w:r>
      <w:r>
        <w:rPr>
          <w:i/>
        </w:rPr>
        <w:t>RA-2025-07-01 §3.7; HCM-2024-Q2 “Refresh prioritization criteria”; PLN-ALN-108-2024-10 §5 Recommendation 2.</w:t>
      </w:r>
    </w:p>
    <w:p>
      <w:pPr>
        <w:ind w:left="360"/>
      </w:pPr>
      <w:r>
        <w:rPr>
          <w:b/>
        </w:rPr>
        <w:t xml:space="preserve">(b)  Supersede the interim update (#47). </w:t>
      </w:r>
      <w:r>
        <w:t xml:space="preserve">PLN-ALN-108-2024-10 is to be reissued at 0.8 MW pending the re-study. </w:t>
      </w:r>
      <w:r>
        <w:rPr>
          <w:i/>
        </w:rPr>
        <w:t xml:space="preserve">Basis: </w:t>
      </w:r>
      <w:r>
        <w:rPr>
          <w:i/>
        </w:rPr>
        <w:t>PLN-ALN-108-2024-10 §5 Recommendation 3.</w:t>
      </w:r>
    </w:p>
    <w:p>
      <w:pPr>
        <w:ind w:left="360"/>
      </w:pPr>
      <w:r>
        <w:rPr>
          <w:b/>
        </w:rPr>
        <w:t xml:space="preserve">(c)  Republish the map (#48). </w:t>
      </w:r>
      <w:r>
        <w:t xml:space="preserve">HCM-2024-Q2 has not been republished since 05/15/2024, despite the quarterly refresh commitment in its Title Block. No later edition is on file, and four quarterly cycles (Q3 2024 – Q2 2025) have passed, so every feeder’s published value is unadjusted for queue activity since then. The 05/15/2024 map is not to be edited in place; it is corrected by republication. Regulatory Affairs is a watcher because the item bears on the APUC information request. </w:t>
      </w:r>
      <w:r>
        <w:rPr>
          <w:i/>
        </w:rPr>
        <w:t xml:space="preserve">Basis: </w:t>
      </w:r>
      <w:r>
        <w:rPr>
          <w:i/>
        </w:rPr>
        <w:t>HCM-2024-Q2 “Refresh commitment”; PLN-ALN-108-2024-10 §5 Recommendation 1; APUC IR ERD-IR-2025-07-014, Item 2 (“sufficiency of hosting-capacity information made available to prospective applicants”).</w:t>
      </w:r>
    </w:p>
    <w:p>
      <w:pPr>
        <w:pStyle w:val="Heading2"/>
      </w:pPr>
      <w:r>
        <w:t>The call</w:t>
      </w:r>
    </w:p>
    <w:tbl>
      <w:tblPr>
        <w:tblW w:type="auto" w:w="0"/>
        <w:jc w:val="center"/>
        <w:tblLook w:firstColumn="1" w:firstRow="1" w:lastColumn="0" w:lastRow="0" w:noHBand="0" w:noVBand="1" w:val="04A0"/>
        <w:tblBorders>
          <w:top w:val="single" w:sz="12" w:space="0" w:color="142E52"/>
          <w:left w:val="single" w:sz="12" w:space="0" w:color="142E52"/>
          <w:bottom w:val="single" w:sz="12" w:space="0" w:color="142E52"/>
          <w:right w:val="single" w:sz="12" w:space="0" w:color="142E52"/>
        </w:tblBorders>
        <w:tblLayout w:type="fixed"/>
        <w:tblCellMar>
          <w:top w:w="120" w:type="dxa"/>
          <w:left w:w="160" w:type="dxa"/>
          <w:bottom w:w="120" w:type="dxa"/>
          <w:right w:w="160" w:type="dxa"/>
        </w:tblCellMar>
        <w:tblLayout w:type="fixed"/>
      </w:tblPr>
      <w:tblGrid>
        <w:gridCol w:w="9360"/>
      </w:tblGrid>
      <w:tr>
        <w:tc>
          <w:tcPr>
            <w:tcW w:type="dxa" w:w="9360"/>
            <w:shd w:val="clear" w:color="auto" w:fill="EAF0F8"/>
          </w:tcPr>
          <w:p>
            <w:pPr>
              <w:spacing w:after="80"/>
            </w:pPr>
            <w:r>
              <w:rPr>
                <w:b/>
                <w:color w:val="9B1C1C"/>
              </w:rPr>
              <w:t xml:space="preserve">Not confirmed. </w:t>
            </w:r>
            <w:r>
              <w:t xml:space="preserve">The 3.0 MW published figure for Feeder ALN-108 is not current and is not confirmed. The response to Northline Renewables LLC carries </w:t>
            </w:r>
            <w:r>
              <w:rPr>
                <w:b/>
              </w:rPr>
              <w:t>0.8 MW</w:t>
            </w:r>
            <w:r>
              <w:t xml:space="preserve"> as the indicative available capacity as of 07/14/2025, advises that the 3 MW project as scoped exceeds it by 2.2 MW, discloses the superseded 1.8 MW interim figure, sets out the conditions and sizing options, and offers the requested meeting. The call is recorded on case #44, follow-ups #47–#49 are logged, and the case is closed.</w:t>
            </w:r>
          </w:p>
        </w:tc>
      </w:tr>
    </w:tbl>
    <w:p>
      <w:pPr>
        <w:spacing w:after="0" w:before="0" w:line="240" w:lineRule="auto"/>
      </w:pPr>
      <w:r>
        <w:rPr>
          <w:sz w:val="8"/>
        </w:rPr>
        <w:t xml:space="preserve"> </w:t>
      </w:r>
    </w:p>
    <w:p>
      <w:pPr>
        <w:pStyle w:val="Heading1"/>
      </w:pPr>
      <w:r>
        <w:t>Part C — Case-tracking record</w:t>
      </w:r>
    </w:p>
    <w:p>
      <w:pPr>
        <w:spacing w:after="80"/>
      </w:pPr>
      <w:r>
        <w:rPr>
          <w:b/>
          <w:color w:val="142E52"/>
        </w:rPr>
        <w:t xml:space="preserve">Case. </w:t>
      </w:r>
      <w:r>
        <w:t>DER Program Backlog Review, work package #44 — “Respond to the Feeder ALN-108 pre-application request” (assignee June Halloway; opened 07/02/2025; due 08/15/2025). The case asked for the figure the response should carry, what the requester should be advised, and any map maintenance the request implies.</w:t>
      </w:r>
    </w:p>
    <w:p>
      <w:pPr>
        <w:spacing w:after="80"/>
      </w:pPr>
      <w:r>
        <w:rPr>
          <w:b/>
          <w:color w:val="142E52"/>
        </w:rPr>
        <w:t xml:space="preserve">Call recorded. </w:t>
      </w:r>
      <w:r>
        <w:t>A comment on #44 records the call (published 3.0 MW not confirmed; 0.8 MW indicative; 1.8 MW interim figure superseded; 3 MW exceeds the figure by 2.2 MW), the basis, and the location of this document.</w:t>
      </w:r>
    </w:p>
    <w:p>
      <w:pPr>
        <w:spacing w:after="60"/>
      </w:pPr>
      <w:r>
        <w:rPr>
          <w:b/>
          <w:color w:val="142E52"/>
        </w:rPr>
        <w:t xml:space="preserve">Follow-ups logged. </w:t>
      </w:r>
      <w:r>
        <w:t>Each follow-up is a separate work package, linked to #44 (“relates to”):</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648"/>
        <w:gridCol w:w="3311"/>
        <w:gridCol w:w="1224"/>
        <w:gridCol w:w="1080"/>
        <w:gridCol w:w="1440"/>
        <w:gridCol w:w="1655"/>
      </w:tblGrid>
      <w:tr>
        <w:trPr>
          <w:tblHeader w:val="true"/>
          <w:cantSplit w:val="true"/>
        </w:trPr>
        <w:tc>
          <w:tcPr>
            <w:tcW w:type="dxa" w:w="648"/>
            <w:vAlign w:val="top"/>
            <w:shd w:val="clear" w:color="auto" w:fill="142E52"/>
          </w:tcPr>
          <w:p>
            <w:pPr>
              <w:keepNext/>
              <w:spacing w:after="0"/>
            </w:pPr>
            <w:r>
              <w:rPr>
                <w:b/>
                <w:color w:val="FFFFFF"/>
                <w:sz w:val="17"/>
              </w:rPr>
              <w:t>WP</w:t>
            </w:r>
          </w:p>
        </w:tc>
        <w:tc>
          <w:tcPr>
            <w:tcW w:type="dxa" w:w="3312"/>
            <w:vAlign w:val="top"/>
            <w:shd w:val="clear" w:color="auto" w:fill="142E52"/>
          </w:tcPr>
          <w:p>
            <w:pPr>
              <w:keepNext/>
              <w:spacing w:after="0"/>
            </w:pPr>
            <w:r>
              <w:rPr>
                <w:b/>
                <w:color w:val="FFFFFF"/>
                <w:sz w:val="17"/>
              </w:rPr>
              <w:t>Follow-up</w:t>
            </w:r>
          </w:p>
        </w:tc>
        <w:tc>
          <w:tcPr>
            <w:tcW w:type="dxa" w:w="1224"/>
            <w:vAlign w:val="top"/>
            <w:shd w:val="clear" w:color="auto" w:fill="142E52"/>
          </w:tcPr>
          <w:p>
            <w:pPr>
              <w:keepNext/>
              <w:spacing w:after="0"/>
            </w:pPr>
            <w:r>
              <w:rPr>
                <w:b/>
                <w:color w:val="FFFFFF"/>
                <w:sz w:val="17"/>
              </w:rPr>
              <w:t>Assignee</w:t>
            </w:r>
          </w:p>
        </w:tc>
        <w:tc>
          <w:tcPr>
            <w:tcW w:type="dxa" w:w="1080"/>
            <w:vAlign w:val="top"/>
            <w:shd w:val="clear" w:color="auto" w:fill="142E52"/>
          </w:tcPr>
          <w:p>
            <w:pPr>
              <w:keepNext/>
              <w:spacing w:after="0"/>
            </w:pPr>
            <w:r>
              <w:rPr>
                <w:b/>
                <w:color w:val="FFFFFF"/>
                <w:sz w:val="17"/>
              </w:rPr>
              <w:t>Priority</w:t>
            </w:r>
          </w:p>
        </w:tc>
        <w:tc>
          <w:tcPr>
            <w:tcW w:type="dxa" w:w="1440"/>
            <w:vAlign w:val="top"/>
            <w:shd w:val="clear" w:color="auto" w:fill="142E52"/>
          </w:tcPr>
          <w:p>
            <w:pPr>
              <w:keepNext/>
              <w:spacing w:after="0"/>
            </w:pPr>
            <w:r>
              <w:rPr>
                <w:b/>
                <w:color w:val="FFFFFF"/>
                <w:sz w:val="17"/>
              </w:rPr>
              <w:t>Dates</w:t>
            </w:r>
          </w:p>
        </w:tc>
        <w:tc>
          <w:tcPr>
            <w:tcW w:type="dxa" w:w="1656"/>
            <w:vAlign w:val="top"/>
            <w:shd w:val="clear" w:color="auto" w:fill="142E52"/>
          </w:tcPr>
          <w:p>
            <w:pPr>
              <w:keepNext/>
              <w:spacing w:after="0"/>
            </w:pPr>
            <w:r>
              <w:rPr>
                <w:b/>
                <w:color w:val="FFFFFF"/>
                <w:sz w:val="17"/>
              </w:rPr>
              <w:t>Watcher / note</w:t>
            </w:r>
          </w:p>
        </w:tc>
      </w:tr>
      <w:tr>
        <w:trPr>
          <w:cantSplit w:val="true"/>
        </w:trPr>
        <w:tc>
          <w:tcPr>
            <w:tcW w:type="dxa" w:w="648"/>
            <w:vAlign w:val="top"/>
          </w:tcPr>
          <w:p>
            <w:pPr>
              <w:keepNext/>
              <w:spacing w:after="0"/>
            </w:pPr>
            <w:r>
              <w:rPr>
                <w:sz w:val="17"/>
              </w:rPr>
              <w:t>#47</w:t>
            </w:r>
          </w:p>
        </w:tc>
        <w:tc>
          <w:tcPr>
            <w:tcW w:type="dxa" w:w="3312"/>
            <w:vAlign w:val="top"/>
          </w:tcPr>
          <w:p>
            <w:pPr>
              <w:keepNext/>
              <w:spacing w:after="0"/>
            </w:pPr>
            <w:r>
              <w:rPr>
                <w:sz w:val="17"/>
              </w:rPr>
              <w:t>Priority hosting-capacity refresh — Feeder ALN-108: supersede the 10/15/2024 interim update at 0.8 MW; confirm no on-hold or past-timeline applications on ALN-108; feeder-level re-study; refreshed figure to the requester</w:t>
            </w:r>
          </w:p>
        </w:tc>
        <w:tc>
          <w:tcPr>
            <w:tcW w:type="dxa" w:w="1224"/>
            <w:vAlign w:val="top"/>
          </w:tcPr>
          <w:p>
            <w:pPr>
              <w:keepNext/>
              <w:spacing w:after="0"/>
            </w:pPr>
            <w:r>
              <w:rPr>
                <w:sz w:val="17"/>
              </w:rPr>
              <w:t>June Halloway</w:t>
            </w:r>
          </w:p>
        </w:tc>
        <w:tc>
          <w:tcPr>
            <w:tcW w:type="dxa" w:w="1080"/>
            <w:vAlign w:val="top"/>
          </w:tcPr>
          <w:p>
            <w:pPr>
              <w:keepNext/>
              <w:spacing w:after="0"/>
            </w:pPr>
            <w:r>
              <w:rPr>
                <w:sz w:val="17"/>
              </w:rPr>
              <w:t>High</w:t>
            </w:r>
          </w:p>
        </w:tc>
        <w:tc>
          <w:tcPr>
            <w:tcW w:type="dxa" w:w="1440"/>
            <w:vAlign w:val="top"/>
          </w:tcPr>
          <w:p>
            <w:pPr>
              <w:keepNext/>
              <w:spacing w:after="0"/>
            </w:pPr>
            <w:r>
              <w:rPr>
                <w:sz w:val="17"/>
              </w:rPr>
              <w:t>07/14/2025 – 08/15/2025</w:t>
            </w:r>
          </w:p>
        </w:tc>
        <w:tc>
          <w:tcPr>
            <w:tcW w:type="dxa" w:w="1656"/>
            <w:vAlign w:val="top"/>
          </w:tcPr>
          <w:p>
            <w:pPr>
              <w:keepNext/>
              <w:spacing w:after="0"/>
            </w:pPr>
            <w:r>
              <w:rPr>
                <w:sz w:val="17"/>
              </w:rPr>
              <w:t>Meera Vellanki (queue confirmation)</w:t>
            </w:r>
          </w:p>
        </w:tc>
      </w:tr>
      <w:tr>
        <w:trPr>
          <w:cantSplit w:val="true"/>
        </w:trPr>
        <w:tc>
          <w:tcPr>
            <w:tcW w:type="dxa" w:w="648"/>
            <w:vAlign w:val="top"/>
            <w:shd w:val="clear" w:color="auto" w:fill="F3F5F8"/>
          </w:tcPr>
          <w:p>
            <w:pPr>
              <w:keepNext/>
              <w:spacing w:after="0"/>
            </w:pPr>
            <w:r>
              <w:rPr>
                <w:sz w:val="17"/>
              </w:rPr>
              <w:t>#48</w:t>
            </w:r>
          </w:p>
        </w:tc>
        <w:tc>
          <w:tcPr>
            <w:tcW w:type="dxa" w:w="3312"/>
            <w:vAlign w:val="top"/>
            <w:shd w:val="clear" w:color="auto" w:fill="F3F5F8"/>
          </w:tcPr>
          <w:p>
            <w:pPr>
              <w:keepNext/>
              <w:spacing w:after="0"/>
            </w:pPr>
            <w:r>
              <w:rPr>
                <w:sz w:val="17"/>
              </w:rPr>
              <w:t>Republish the Feeder Hosting Capacity Map — quarterly refresh lapsed since 05/15/2024</w:t>
            </w:r>
          </w:p>
        </w:tc>
        <w:tc>
          <w:tcPr>
            <w:tcW w:type="dxa" w:w="1224"/>
            <w:vAlign w:val="top"/>
            <w:shd w:val="clear" w:color="auto" w:fill="F3F5F8"/>
          </w:tcPr>
          <w:p>
            <w:pPr>
              <w:keepNext/>
              <w:spacing w:after="0"/>
            </w:pPr>
            <w:r>
              <w:rPr>
                <w:sz w:val="17"/>
              </w:rPr>
              <w:t>June Halloway</w:t>
            </w:r>
          </w:p>
        </w:tc>
        <w:tc>
          <w:tcPr>
            <w:tcW w:type="dxa" w:w="1080"/>
            <w:vAlign w:val="top"/>
            <w:shd w:val="clear" w:color="auto" w:fill="F3F5F8"/>
          </w:tcPr>
          <w:p>
            <w:pPr>
              <w:keepNext/>
              <w:spacing w:after="0"/>
            </w:pPr>
            <w:r>
              <w:rPr>
                <w:sz w:val="17"/>
              </w:rPr>
              <w:t>High</w:t>
            </w:r>
          </w:p>
        </w:tc>
        <w:tc>
          <w:tcPr>
            <w:tcW w:type="dxa" w:w="1440"/>
            <w:vAlign w:val="top"/>
            <w:shd w:val="clear" w:color="auto" w:fill="F3F5F8"/>
          </w:tcPr>
          <w:p>
            <w:pPr>
              <w:keepNext/>
              <w:spacing w:after="0"/>
            </w:pPr>
            <w:r>
              <w:rPr>
                <w:sz w:val="17"/>
              </w:rPr>
              <w:t>07/14/2025 – 09/10/2025</w:t>
            </w:r>
          </w:p>
        </w:tc>
        <w:tc>
          <w:tcPr>
            <w:tcW w:type="dxa" w:w="1656"/>
            <w:vAlign w:val="top"/>
            <w:shd w:val="clear" w:color="auto" w:fill="F3F5F8"/>
          </w:tcPr>
          <w:p>
            <w:pPr>
              <w:keepNext/>
              <w:spacing w:after="0"/>
            </w:pPr>
            <w:r>
              <w:rPr>
                <w:sz w:val="17"/>
              </w:rPr>
              <w:t>Harriet Ngoyi (APUC IR Item 2; response due 08/22/2025)</w:t>
            </w:r>
          </w:p>
        </w:tc>
      </w:tr>
      <w:tr>
        <w:trPr>
          <w:cantSplit w:val="true"/>
        </w:trPr>
        <w:tc>
          <w:tcPr>
            <w:tcW w:type="dxa" w:w="648"/>
            <w:vAlign w:val="top"/>
          </w:tcPr>
          <w:p>
            <w:pPr>
              <w:spacing w:after="0"/>
            </w:pPr>
            <w:r>
              <w:rPr>
                <w:sz w:val="17"/>
              </w:rPr>
              <w:t>#49</w:t>
            </w:r>
          </w:p>
        </w:tc>
        <w:tc>
          <w:tcPr>
            <w:tcW w:type="dxa" w:w="3312"/>
            <w:vAlign w:val="top"/>
          </w:tcPr>
          <w:p>
            <w:pPr>
              <w:spacing w:after="0"/>
            </w:pPr>
            <w:r>
              <w:rPr>
                <w:sz w:val="17"/>
              </w:rPr>
              <w:t>Hold the ALN-108 pre-application meeting (request item 3)</w:t>
            </w:r>
          </w:p>
        </w:tc>
        <w:tc>
          <w:tcPr>
            <w:tcW w:type="dxa" w:w="1224"/>
            <w:vAlign w:val="top"/>
          </w:tcPr>
          <w:p>
            <w:pPr>
              <w:spacing w:after="0"/>
            </w:pPr>
            <w:r>
              <w:rPr>
                <w:sz w:val="17"/>
              </w:rPr>
              <w:t>June Halloway</w:t>
            </w:r>
          </w:p>
        </w:tc>
        <w:tc>
          <w:tcPr>
            <w:tcW w:type="dxa" w:w="1080"/>
            <w:vAlign w:val="top"/>
          </w:tcPr>
          <w:p>
            <w:pPr>
              <w:spacing w:after="0"/>
            </w:pPr>
            <w:r>
              <w:rPr>
                <w:sz w:val="17"/>
              </w:rPr>
              <w:t>Normal</w:t>
            </w:r>
          </w:p>
        </w:tc>
        <w:tc>
          <w:tcPr>
            <w:tcW w:type="dxa" w:w="1440"/>
            <w:vAlign w:val="top"/>
          </w:tcPr>
          <w:p>
            <w:pPr>
              <w:spacing w:after="0"/>
            </w:pPr>
            <w:r>
              <w:rPr>
                <w:sz w:val="17"/>
              </w:rPr>
              <w:t>Contact by 07/28/2025; hold by 08/15/2025</w:t>
            </w:r>
          </w:p>
        </w:tc>
        <w:tc>
          <w:tcPr>
            <w:tcW w:type="dxa" w:w="1656"/>
            <w:vAlign w:val="top"/>
          </w:tcPr>
          <w:p>
            <w:pPr>
              <w:spacing w:after="0"/>
            </w:pPr>
            <w:r>
              <w:rPr>
                <w:sz w:val="17"/>
              </w:rPr>
              <w:t>—</w:t>
            </w:r>
          </w:p>
        </w:tc>
      </w:tr>
    </w:tbl>
    <w:p>
      <w:pPr>
        <w:spacing w:after="0" w:before="0" w:line="240" w:lineRule="auto"/>
      </w:pPr>
      <w:r>
        <w:rPr>
          <w:sz w:val="8"/>
        </w:rPr>
        <w:t xml:space="preserve"> </w:t>
      </w:r>
    </w:p>
    <w:p>
      <w:pPr>
        <w:spacing w:after="80"/>
      </w:pPr>
      <w:r>
        <w:rPr>
          <w:b/>
          <w:color w:val="142E52"/>
        </w:rPr>
        <w:t xml:space="preserve">Closure. </w:t>
      </w:r>
      <w:r>
        <w:t>#44 was set to Closed (100% done) on issue of this response. Open work continues under #47, #48 and #49.</w:t>
      </w:r>
    </w:p>
    <w:p>
      <w:pPr>
        <w:pStyle w:val="Heading1"/>
        <w:pageBreakBefore/>
      </w:pPr>
      <w:r>
        <w:t>Annex A — ALN-108 queue entries and netting calculation</w:t>
      </w:r>
    </w:p>
    <w:p>
      <w:r>
        <w:rPr>
          <w:sz w:val="19"/>
        </w:rPr>
        <w:t>Source: 2025-07-14 Active Queue Report (ICQ export, as of 07/14/2025), Active Queue tab, Feeder = ALN-108. The map publication date is 05/15/2024 (HCM-2024-Q2).</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1368"/>
        <w:gridCol w:w="1944"/>
        <w:gridCol w:w="1872"/>
        <w:gridCol w:w="2304"/>
        <w:gridCol w:w="1872"/>
      </w:tblGrid>
      <w:tr>
        <w:trPr>
          <w:tblHeader w:val="true"/>
          <w:cantSplit w:val="true"/>
        </w:trPr>
        <w:tc>
          <w:tcPr>
            <w:tcW w:type="dxa" w:w="1368"/>
            <w:vAlign w:val="top"/>
            <w:shd w:val="clear" w:color="auto" w:fill="142E52"/>
          </w:tcPr>
          <w:p>
            <w:pPr>
              <w:keepNext/>
              <w:spacing w:after="0"/>
            </w:pPr>
            <w:r>
              <w:rPr>
                <w:b/>
                <w:color w:val="FFFFFF"/>
                <w:sz w:val="18"/>
              </w:rPr>
              <w:t>Queue date</w:t>
            </w:r>
          </w:p>
        </w:tc>
        <w:tc>
          <w:tcPr>
            <w:tcW w:type="dxa" w:w="1944"/>
            <w:vAlign w:val="top"/>
            <w:shd w:val="clear" w:color="auto" w:fill="142E52"/>
          </w:tcPr>
          <w:p>
            <w:pPr>
              <w:keepNext/>
              <w:spacing w:after="0"/>
            </w:pPr>
            <w:r>
              <w:rPr>
                <w:b/>
                <w:color w:val="FFFFFF"/>
                <w:sz w:val="18"/>
              </w:rPr>
              <w:t>Nameplate</w:t>
            </w:r>
          </w:p>
        </w:tc>
        <w:tc>
          <w:tcPr>
            <w:tcW w:type="dxa" w:w="1872"/>
            <w:vAlign w:val="top"/>
            <w:shd w:val="clear" w:color="auto" w:fill="142E52"/>
          </w:tcPr>
          <w:p>
            <w:pPr>
              <w:keepNext/>
              <w:spacing w:after="0"/>
            </w:pPr>
            <w:r>
              <w:rPr>
                <w:b/>
                <w:color w:val="FFFFFF"/>
                <w:sz w:val="18"/>
              </w:rPr>
              <w:t>Stage at 07/14/2025</w:t>
            </w:r>
          </w:p>
        </w:tc>
        <w:tc>
          <w:tcPr>
            <w:tcW w:type="dxa" w:w="2304"/>
            <w:vAlign w:val="top"/>
            <w:shd w:val="clear" w:color="auto" w:fill="142E52"/>
          </w:tcPr>
          <w:p>
            <w:pPr>
              <w:keepNext/>
              <w:spacing w:after="0"/>
            </w:pPr>
            <w:r>
              <w:rPr>
                <w:b/>
                <w:color w:val="FFFFFF"/>
                <w:sz w:val="18"/>
              </w:rPr>
              <w:t>Relative to map publication</w:t>
            </w:r>
          </w:p>
        </w:tc>
        <w:tc>
          <w:tcPr>
            <w:tcW w:type="dxa" w:w="1872"/>
            <w:vAlign w:val="top"/>
            <w:shd w:val="clear" w:color="auto" w:fill="142E52"/>
          </w:tcPr>
          <w:p>
            <w:pPr>
              <w:keepNext/>
              <w:spacing w:after="0"/>
            </w:pPr>
            <w:r>
              <w:rPr>
                <w:b/>
                <w:color w:val="FFFFFF"/>
                <w:sz w:val="18"/>
              </w:rPr>
              <w:t>Treatment</w:t>
            </w:r>
          </w:p>
        </w:tc>
      </w:tr>
      <w:tr>
        <w:trPr>
          <w:cantSplit w:val="true"/>
        </w:trPr>
        <w:tc>
          <w:tcPr>
            <w:tcW w:type="dxa" w:w="1368"/>
            <w:vAlign w:val="top"/>
          </w:tcPr>
          <w:p>
            <w:pPr>
              <w:keepNext/>
              <w:spacing w:after="0"/>
            </w:pPr>
            <w:r>
              <w:rPr>
                <w:sz w:val="18"/>
              </w:rPr>
              <w:t>11/20/2023</w:t>
            </w:r>
          </w:p>
        </w:tc>
        <w:tc>
          <w:tcPr>
            <w:tcW w:type="dxa" w:w="1944"/>
            <w:vAlign w:val="top"/>
          </w:tcPr>
          <w:p>
            <w:pPr>
              <w:keepNext/>
              <w:spacing w:after="0"/>
            </w:pPr>
            <w:r>
              <w:rPr>
                <w:sz w:val="18"/>
              </w:rPr>
              <w:t>1.1 MW</w:t>
            </w:r>
          </w:p>
        </w:tc>
        <w:tc>
          <w:tcPr>
            <w:tcW w:type="dxa" w:w="1872"/>
            <w:vAlign w:val="top"/>
          </w:tcPr>
          <w:p>
            <w:pPr>
              <w:keepNext/>
              <w:spacing w:after="0"/>
            </w:pPr>
            <w:r>
              <w:rPr>
                <w:sz w:val="18"/>
              </w:rPr>
              <w:t>ISA executed</w:t>
            </w:r>
          </w:p>
        </w:tc>
        <w:tc>
          <w:tcPr>
            <w:tcW w:type="dxa" w:w="2304"/>
            <w:vAlign w:val="top"/>
          </w:tcPr>
          <w:p>
            <w:pPr>
              <w:keepNext/>
              <w:spacing w:after="0"/>
            </w:pPr>
            <w:r>
              <w:rPr>
                <w:sz w:val="18"/>
              </w:rPr>
              <w:t>Before</w:t>
            </w:r>
          </w:p>
        </w:tc>
        <w:tc>
          <w:tcPr>
            <w:tcW w:type="dxa" w:w="1872"/>
            <w:vAlign w:val="top"/>
          </w:tcPr>
          <w:p>
            <w:pPr>
              <w:keepNext/>
              <w:spacing w:after="0"/>
            </w:pPr>
            <w:r>
              <w:rPr>
                <w:sz w:val="18"/>
              </w:rPr>
              <w:t>Reflected in published value; not netted</w:t>
            </w:r>
          </w:p>
        </w:tc>
      </w:tr>
      <w:tr>
        <w:trPr>
          <w:cantSplit w:val="true"/>
        </w:trPr>
        <w:tc>
          <w:tcPr>
            <w:tcW w:type="dxa" w:w="1368"/>
            <w:vAlign w:val="top"/>
            <w:shd w:val="clear" w:color="auto" w:fill="F3F5F8"/>
          </w:tcPr>
          <w:p>
            <w:pPr>
              <w:keepNext/>
              <w:spacing w:after="0"/>
            </w:pPr>
            <w:r>
              <w:rPr>
                <w:sz w:val="18"/>
              </w:rPr>
              <w:t>04/03/2024</w:t>
            </w:r>
          </w:p>
        </w:tc>
        <w:tc>
          <w:tcPr>
            <w:tcW w:type="dxa" w:w="1944"/>
            <w:vAlign w:val="top"/>
            <w:shd w:val="clear" w:color="auto" w:fill="F3F5F8"/>
          </w:tcPr>
          <w:p>
            <w:pPr>
              <w:keepNext/>
              <w:spacing w:after="0"/>
            </w:pPr>
            <w:r>
              <w:rPr>
                <w:sz w:val="18"/>
              </w:rPr>
              <w:t>0.69 MW</w:t>
            </w:r>
          </w:p>
        </w:tc>
        <w:tc>
          <w:tcPr>
            <w:tcW w:type="dxa" w:w="1872"/>
            <w:vAlign w:val="top"/>
            <w:shd w:val="clear" w:color="auto" w:fill="F3F5F8"/>
          </w:tcPr>
          <w:p>
            <w:pPr>
              <w:keepNext/>
              <w:spacing w:after="0"/>
            </w:pPr>
            <w:r>
              <w:rPr>
                <w:sz w:val="18"/>
              </w:rPr>
              <w:t>Construction</w:t>
            </w:r>
          </w:p>
        </w:tc>
        <w:tc>
          <w:tcPr>
            <w:tcW w:type="dxa" w:w="2304"/>
            <w:vAlign w:val="top"/>
            <w:shd w:val="clear" w:color="auto" w:fill="F3F5F8"/>
          </w:tcPr>
          <w:p>
            <w:pPr>
              <w:keepNext/>
              <w:spacing w:after="0"/>
            </w:pPr>
            <w:r>
              <w:rPr>
                <w:sz w:val="18"/>
              </w:rPr>
              <w:t>Before</w:t>
            </w:r>
          </w:p>
        </w:tc>
        <w:tc>
          <w:tcPr>
            <w:tcW w:type="dxa" w:w="1872"/>
            <w:vAlign w:val="top"/>
            <w:shd w:val="clear" w:color="auto" w:fill="F3F5F8"/>
          </w:tcPr>
          <w:p>
            <w:pPr>
              <w:keepNext/>
              <w:spacing w:after="0"/>
            </w:pPr>
            <w:r>
              <w:rPr>
                <w:sz w:val="18"/>
              </w:rPr>
              <w:t>Reflected in published value; not netted</w:t>
            </w:r>
          </w:p>
        </w:tc>
      </w:tr>
      <w:tr>
        <w:trPr>
          <w:cantSplit w:val="true"/>
        </w:trPr>
        <w:tc>
          <w:tcPr>
            <w:tcW w:type="dxa" w:w="1368"/>
            <w:vAlign w:val="top"/>
          </w:tcPr>
          <w:p>
            <w:pPr>
              <w:keepNext/>
              <w:spacing w:after="0"/>
            </w:pPr>
            <w:r>
              <w:rPr>
                <w:sz w:val="18"/>
              </w:rPr>
              <w:t>09/18/2024</w:t>
            </w:r>
          </w:p>
        </w:tc>
        <w:tc>
          <w:tcPr>
            <w:tcW w:type="dxa" w:w="1944"/>
            <w:vAlign w:val="top"/>
          </w:tcPr>
          <w:p>
            <w:pPr>
              <w:keepNext/>
              <w:spacing w:after="0"/>
            </w:pPr>
            <w:r>
              <w:rPr>
                <w:sz w:val="18"/>
              </w:rPr>
              <w:t>1.2 MW (pure generation)</w:t>
            </w:r>
          </w:p>
        </w:tc>
        <w:tc>
          <w:tcPr>
            <w:tcW w:type="dxa" w:w="1872"/>
            <w:vAlign w:val="top"/>
          </w:tcPr>
          <w:p>
            <w:pPr>
              <w:keepNext/>
              <w:spacing w:after="0"/>
            </w:pPr>
            <w:r>
              <w:rPr>
                <w:sz w:val="18"/>
              </w:rPr>
              <w:t>System impact study</w:t>
            </w:r>
          </w:p>
        </w:tc>
        <w:tc>
          <w:tcPr>
            <w:tcW w:type="dxa" w:w="2304"/>
            <w:vAlign w:val="top"/>
          </w:tcPr>
          <w:p>
            <w:pPr>
              <w:keepNext/>
              <w:spacing w:after="0"/>
            </w:pPr>
            <w:r>
              <w:rPr>
                <w:sz w:val="18"/>
              </w:rPr>
              <w:t>After (netted in the 10/15/2024 update)</w:t>
            </w:r>
          </w:p>
        </w:tc>
        <w:tc>
          <w:tcPr>
            <w:tcW w:type="dxa" w:w="1872"/>
            <w:vAlign w:val="top"/>
          </w:tcPr>
          <w:p>
            <w:pPr>
              <w:keepNext/>
              <w:spacing w:after="0"/>
            </w:pPr>
            <w:r>
              <w:rPr>
                <w:sz w:val="18"/>
              </w:rPr>
              <w:t>Netted</w:t>
            </w:r>
          </w:p>
        </w:tc>
      </w:tr>
      <w:tr>
        <w:trPr>
          <w:cantSplit w:val="true"/>
        </w:trPr>
        <w:tc>
          <w:tcPr>
            <w:tcW w:type="dxa" w:w="1368"/>
            <w:vAlign w:val="top"/>
            <w:shd w:val="clear" w:color="auto" w:fill="F3F5F8"/>
          </w:tcPr>
          <w:p>
            <w:pPr>
              <w:spacing w:after="0"/>
            </w:pPr>
            <w:r>
              <w:rPr>
                <w:sz w:val="18"/>
              </w:rPr>
              <w:t>02/06/2025</w:t>
            </w:r>
          </w:p>
        </w:tc>
        <w:tc>
          <w:tcPr>
            <w:tcW w:type="dxa" w:w="1944"/>
            <w:vAlign w:val="top"/>
            <w:shd w:val="clear" w:color="auto" w:fill="F3F5F8"/>
          </w:tcPr>
          <w:p>
            <w:pPr>
              <w:spacing w:after="0"/>
            </w:pPr>
            <w:r>
              <w:rPr>
                <w:sz w:val="18"/>
              </w:rPr>
              <w:t>1.0 MW</w:t>
            </w:r>
          </w:p>
        </w:tc>
        <w:tc>
          <w:tcPr>
            <w:tcW w:type="dxa" w:w="1872"/>
            <w:vAlign w:val="top"/>
            <w:shd w:val="clear" w:color="auto" w:fill="F3F5F8"/>
          </w:tcPr>
          <w:p>
            <w:pPr>
              <w:spacing w:after="0"/>
            </w:pPr>
            <w:r>
              <w:rPr>
                <w:sz w:val="18"/>
              </w:rPr>
              <w:t>Technical screening</w:t>
            </w:r>
          </w:p>
        </w:tc>
        <w:tc>
          <w:tcPr>
            <w:tcW w:type="dxa" w:w="2304"/>
            <w:vAlign w:val="top"/>
            <w:shd w:val="clear" w:color="auto" w:fill="F3F5F8"/>
          </w:tcPr>
          <w:p>
            <w:pPr>
              <w:spacing w:after="0"/>
            </w:pPr>
            <w:r>
              <w:rPr>
                <w:sz w:val="18"/>
              </w:rPr>
              <w:t>After (post-dates the 10/15/2024 update)</w:t>
            </w:r>
          </w:p>
        </w:tc>
        <w:tc>
          <w:tcPr>
            <w:tcW w:type="dxa" w:w="1872"/>
            <w:vAlign w:val="top"/>
            <w:shd w:val="clear" w:color="auto" w:fill="F3F5F8"/>
          </w:tcPr>
          <w:p>
            <w:pPr>
              <w:spacing w:after="0"/>
            </w:pPr>
            <w:r>
              <w:rPr>
                <w:sz w:val="18"/>
              </w:rPr>
              <w:t>Netted</w:t>
            </w:r>
          </w:p>
        </w:tc>
      </w:tr>
    </w:tbl>
    <w:p>
      <w:pPr>
        <w:spacing w:after="0" w:before="0" w:line="240" w:lineRule="auto"/>
      </w:pPr>
      <w:r>
        <w:rPr>
          <w:sz w:val="8"/>
        </w:rPr>
        <w:t xml:space="preserve"> </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7632"/>
        <w:gridCol w:w="1728"/>
      </w:tblGrid>
      <w:tr>
        <w:trPr>
          <w:tblHeader w:val="true"/>
          <w:cantSplit w:val="true"/>
        </w:trPr>
        <w:tc>
          <w:tcPr>
            <w:tcW w:type="dxa" w:w="7632"/>
            <w:vAlign w:val="top"/>
            <w:shd w:val="clear" w:color="auto" w:fill="142E52"/>
          </w:tcPr>
          <w:p>
            <w:pPr>
              <w:keepNext/>
              <w:spacing w:after="0"/>
            </w:pPr>
            <w:r>
              <w:rPr>
                <w:b/>
                <w:color w:val="FFFFFF"/>
                <w:sz w:val="19"/>
              </w:rPr>
              <w:t>Step</w:t>
            </w:r>
          </w:p>
        </w:tc>
        <w:tc>
          <w:tcPr>
            <w:tcW w:type="dxa" w:w="1728"/>
            <w:vAlign w:val="top"/>
            <w:shd w:val="clear" w:color="auto" w:fill="142E52"/>
          </w:tcPr>
          <w:p>
            <w:pPr>
              <w:keepNext/>
              <w:spacing w:after="0"/>
            </w:pPr>
            <w:r>
              <w:rPr>
                <w:b/>
                <w:color w:val="FFFFFF"/>
                <w:sz w:val="19"/>
              </w:rPr>
              <w:t>MW</w:t>
            </w:r>
          </w:p>
        </w:tc>
      </w:tr>
      <w:tr>
        <w:trPr>
          <w:cantSplit w:val="true"/>
        </w:trPr>
        <w:tc>
          <w:tcPr>
            <w:tcW w:type="dxa" w:w="7632"/>
            <w:vAlign w:val="top"/>
          </w:tcPr>
          <w:p>
            <w:pPr>
              <w:keepNext/>
              <w:spacing w:after="0"/>
            </w:pPr>
            <w:r>
              <w:rPr>
                <w:sz w:val="19"/>
              </w:rPr>
              <w:t>Published available capacity, HCM-2024-Q2 (05/15/2024)</w:t>
            </w:r>
          </w:p>
        </w:tc>
        <w:tc>
          <w:tcPr>
            <w:tcW w:type="dxa" w:w="1728"/>
            <w:vAlign w:val="top"/>
          </w:tcPr>
          <w:p>
            <w:pPr>
              <w:keepNext/>
              <w:spacing w:after="0"/>
            </w:pPr>
            <w:r>
              <w:rPr>
                <w:sz w:val="19"/>
              </w:rPr>
              <w:t>3.0</w:t>
            </w:r>
          </w:p>
        </w:tc>
      </w:tr>
      <w:tr>
        <w:trPr>
          <w:cantSplit w:val="true"/>
        </w:trPr>
        <w:tc>
          <w:tcPr>
            <w:tcW w:type="dxa" w:w="7632"/>
            <w:vAlign w:val="top"/>
            <w:shd w:val="clear" w:color="auto" w:fill="F3F5F8"/>
          </w:tcPr>
          <w:p>
            <w:pPr>
              <w:keepNext/>
              <w:spacing w:after="0"/>
            </w:pPr>
            <w:r>
              <w:rPr>
                <w:sz w:val="19"/>
              </w:rPr>
              <w:t>Less: application queued 09/18/2024</w:t>
            </w:r>
          </w:p>
        </w:tc>
        <w:tc>
          <w:tcPr>
            <w:tcW w:type="dxa" w:w="1728"/>
            <w:vAlign w:val="top"/>
            <w:shd w:val="clear" w:color="auto" w:fill="F3F5F8"/>
          </w:tcPr>
          <w:p>
            <w:pPr>
              <w:keepNext/>
              <w:spacing w:after="0"/>
            </w:pPr>
            <w:r>
              <w:rPr>
                <w:sz w:val="19"/>
              </w:rPr>
              <w:t>−1.2</w:t>
            </w:r>
          </w:p>
        </w:tc>
      </w:tr>
      <w:tr>
        <w:trPr>
          <w:cantSplit w:val="true"/>
        </w:trPr>
        <w:tc>
          <w:tcPr>
            <w:tcW w:type="dxa" w:w="7632"/>
            <w:vAlign w:val="top"/>
          </w:tcPr>
          <w:p>
            <w:pPr>
              <w:keepNext/>
              <w:spacing w:after="0"/>
            </w:pPr>
            <w:r>
              <w:rPr>
                <w:sz w:val="19"/>
              </w:rPr>
              <w:t>= Interim figure, PLN-ALN-108-2024-10 (10/15/2024) — superseded</w:t>
            </w:r>
          </w:p>
        </w:tc>
        <w:tc>
          <w:tcPr>
            <w:tcW w:type="dxa" w:w="1728"/>
            <w:vAlign w:val="top"/>
          </w:tcPr>
          <w:p>
            <w:pPr>
              <w:keepNext/>
              <w:spacing w:after="0"/>
            </w:pPr>
            <w:r>
              <w:rPr>
                <w:sz w:val="19"/>
              </w:rPr>
              <w:t>1.8</w:t>
            </w:r>
          </w:p>
        </w:tc>
      </w:tr>
      <w:tr>
        <w:trPr>
          <w:cantSplit w:val="true"/>
        </w:trPr>
        <w:tc>
          <w:tcPr>
            <w:tcW w:type="dxa" w:w="7632"/>
            <w:vAlign w:val="top"/>
            <w:shd w:val="clear" w:color="auto" w:fill="F3F5F8"/>
          </w:tcPr>
          <w:p>
            <w:pPr>
              <w:keepNext/>
              <w:spacing w:after="0"/>
            </w:pPr>
            <w:r>
              <w:rPr>
                <w:sz w:val="19"/>
              </w:rPr>
              <w:t>Less: application queued 02/06/2025</w:t>
            </w:r>
          </w:p>
        </w:tc>
        <w:tc>
          <w:tcPr>
            <w:tcW w:type="dxa" w:w="1728"/>
            <w:vAlign w:val="top"/>
            <w:shd w:val="clear" w:color="auto" w:fill="F3F5F8"/>
          </w:tcPr>
          <w:p>
            <w:pPr>
              <w:keepNext/>
              <w:spacing w:after="0"/>
            </w:pPr>
            <w:r>
              <w:rPr>
                <w:sz w:val="19"/>
              </w:rPr>
              <w:t>−1.0</w:t>
            </w:r>
          </w:p>
        </w:tc>
      </w:tr>
      <w:tr>
        <w:trPr>
          <w:cantSplit w:val="true"/>
        </w:trPr>
        <w:tc>
          <w:tcPr>
            <w:tcW w:type="dxa" w:w="7632"/>
            <w:vAlign w:val="top"/>
          </w:tcPr>
          <w:p>
            <w:pPr>
              <w:keepNext/>
              <w:spacing w:after="0"/>
            </w:pPr>
            <w:r>
              <w:rPr>
                <w:b/>
                <w:sz w:val="19"/>
              </w:rPr>
              <w:t>= Indicative available capacity as of 07/14/2025 (figure carried in the response)</w:t>
            </w:r>
          </w:p>
        </w:tc>
        <w:tc>
          <w:tcPr>
            <w:tcW w:type="dxa" w:w="1728"/>
            <w:vAlign w:val="top"/>
          </w:tcPr>
          <w:p>
            <w:pPr>
              <w:keepNext/>
              <w:spacing w:after="0"/>
            </w:pPr>
            <w:r>
              <w:rPr>
                <w:b/>
                <w:sz w:val="19"/>
              </w:rPr>
              <w:t>0.8</w:t>
            </w:r>
          </w:p>
        </w:tc>
      </w:tr>
      <w:tr>
        <w:trPr>
          <w:cantSplit w:val="true"/>
        </w:trPr>
        <w:tc>
          <w:tcPr>
            <w:tcW w:type="dxa" w:w="7632"/>
            <w:vAlign w:val="top"/>
            <w:shd w:val="clear" w:color="auto" w:fill="F3F5F8"/>
          </w:tcPr>
          <w:p>
            <w:pPr>
              <w:keepNext/>
              <w:spacing w:after="0"/>
            </w:pPr>
            <w:r>
              <w:rPr>
                <w:sz w:val="19"/>
              </w:rPr>
              <w:t>Requested by Northline Renewables LLC (3 MW-AC, pure generation)</w:t>
            </w:r>
          </w:p>
        </w:tc>
        <w:tc>
          <w:tcPr>
            <w:tcW w:type="dxa" w:w="1728"/>
            <w:vAlign w:val="top"/>
            <w:shd w:val="clear" w:color="auto" w:fill="F3F5F8"/>
          </w:tcPr>
          <w:p>
            <w:pPr>
              <w:keepNext/>
              <w:spacing w:after="0"/>
            </w:pPr>
            <w:r>
              <w:rPr>
                <w:sz w:val="19"/>
              </w:rPr>
              <w:t>3.0</w:t>
            </w:r>
          </w:p>
        </w:tc>
      </w:tr>
      <w:tr>
        <w:trPr>
          <w:cantSplit w:val="true"/>
        </w:trPr>
        <w:tc>
          <w:tcPr>
            <w:tcW w:type="dxa" w:w="7632"/>
            <w:vAlign w:val="top"/>
          </w:tcPr>
          <w:p>
            <w:pPr>
              <w:spacing w:after="0"/>
            </w:pPr>
            <w:r>
              <w:rPr>
                <w:b/>
                <w:sz w:val="19"/>
              </w:rPr>
              <w:t>Amount by which the request exceeds the indicative figure</w:t>
            </w:r>
          </w:p>
        </w:tc>
        <w:tc>
          <w:tcPr>
            <w:tcW w:type="dxa" w:w="1728"/>
            <w:vAlign w:val="top"/>
          </w:tcPr>
          <w:p>
            <w:pPr>
              <w:spacing w:after="0"/>
            </w:pPr>
            <w:r>
              <w:rPr>
                <w:b/>
                <w:sz w:val="19"/>
              </w:rPr>
              <w:t>2.2</w:t>
            </w:r>
          </w:p>
        </w:tc>
      </w:tr>
    </w:tbl>
    <w:p>
      <w:pPr>
        <w:spacing w:after="0" w:before="0" w:line="240" w:lineRule="auto"/>
      </w:pPr>
      <w:r>
        <w:rPr>
          <w:sz w:val="8"/>
        </w:rPr>
        <w:t xml:space="preserve"> </w:t>
      </w:r>
    </w:p>
    <w:p>
      <w:pPr>
        <w:pStyle w:val="Heading1"/>
      </w:pPr>
      <w:r>
        <w:t>Annex B — Records reviewed</w:t>
      </w:r>
    </w:p>
    <w:tbl>
      <w:tblPr>
        <w:tblW w:type="auto" w:w="0"/>
        <w:jc w:val="center"/>
        <w:tblLook w:firstColumn="1" w:firstRow="1" w:lastColumn="0" w:lastRow="0" w:noHBand="0" w:noVBand="1" w:val="04A0"/>
        <w:tblBorders>
          <w:top w:val="single" w:sz="4" w:space="0" w:color="A7B1BE"/>
          <w:left w:val="single" w:sz="4" w:space="0" w:color="A7B1BE"/>
          <w:bottom w:val="single" w:sz="4" w:space="0" w:color="A7B1BE"/>
          <w:right w:val="single" w:sz="4" w:space="0" w:color="A7B1BE"/>
          <w:insideH w:val="single" w:sz="4" w:space="0" w:color="A7B1BE"/>
          <w:insideV w:val="single" w:sz="4" w:space="0" w:color="A7B1BE"/>
        </w:tblBorders>
        <w:tblLayout w:type="fixed"/>
        <w:tblCellMar>
          <w:top w:w="60" w:type="dxa"/>
          <w:left w:w="100" w:type="dxa"/>
          <w:bottom w:w="60" w:type="dxa"/>
          <w:right w:w="100" w:type="dxa"/>
        </w:tblCellMar>
        <w:tblLayout w:type="fixed"/>
      </w:tblPr>
      <w:tblGrid>
        <w:gridCol w:w="2015"/>
        <w:gridCol w:w="7343"/>
      </w:tblGrid>
      <w:tr>
        <w:trPr>
          <w:tblHeader w:val="true"/>
          <w:cantSplit w:val="true"/>
        </w:trPr>
        <w:tc>
          <w:tcPr>
            <w:tcW w:type="dxa" w:w="2016"/>
            <w:vAlign w:val="top"/>
            <w:shd w:val="clear" w:color="auto" w:fill="142E52"/>
          </w:tcPr>
          <w:p>
            <w:pPr>
              <w:keepNext/>
              <w:spacing w:after="0"/>
            </w:pPr>
            <w:r>
              <w:rPr>
                <w:b/>
                <w:color w:val="FFFFFF"/>
                <w:sz w:val="18"/>
              </w:rPr>
              <w:t>Category</w:t>
            </w:r>
          </w:p>
        </w:tc>
        <w:tc>
          <w:tcPr>
            <w:tcW w:type="dxa" w:w="7344"/>
            <w:vAlign w:val="top"/>
            <w:shd w:val="clear" w:color="auto" w:fill="142E52"/>
          </w:tcPr>
          <w:p>
            <w:pPr>
              <w:keepNext/>
              <w:spacing w:after="0"/>
            </w:pPr>
            <w:r>
              <w:rPr>
                <w:b/>
                <w:color w:val="FFFFFF"/>
                <w:sz w:val="18"/>
              </w:rPr>
              <w:t>Record</w:t>
            </w:r>
          </w:p>
        </w:tc>
      </w:tr>
      <w:tr>
        <w:trPr>
          <w:cantSplit w:val="true"/>
        </w:trPr>
        <w:tc>
          <w:tcPr>
            <w:tcW w:type="dxa" w:w="2016"/>
            <w:vAlign w:val="top"/>
          </w:tcPr>
          <w:p>
            <w:pPr>
              <w:keepNext/>
              <w:spacing w:after="0"/>
            </w:pPr>
            <w:r>
              <w:rPr>
                <w:b/>
                <w:sz w:val="18"/>
              </w:rPr>
              <w:t>Request</w:t>
            </w:r>
          </w:p>
        </w:tc>
        <w:tc>
          <w:tcPr>
            <w:tcW w:type="dxa" w:w="7344"/>
            <w:vAlign w:val="top"/>
          </w:tcPr>
          <w:p>
            <w:pPr>
              <w:keepNext/>
              <w:spacing w:after="0"/>
            </w:pPr>
            <w:r>
              <w:rPr>
                <w:sz w:val="18"/>
              </w:rPr>
              <w:t>Northline Renewables LLC, Pre-Application Request — Feeder Capacity Confirmation, dated 07/02/2025 (Planning/2025-07-02_PreApp_Request_ALN-108.pdf), including its form-field entries.</w:t>
            </w:r>
          </w:p>
        </w:tc>
      </w:tr>
      <w:tr>
        <w:trPr>
          <w:cantSplit w:val="true"/>
        </w:trPr>
        <w:tc>
          <w:tcPr>
            <w:tcW w:type="dxa" w:w="2016"/>
            <w:vAlign w:val="top"/>
            <w:shd w:val="clear" w:color="auto" w:fill="F3F5F8"/>
          </w:tcPr>
          <w:p>
            <w:pPr>
              <w:keepNext/>
              <w:spacing w:after="0"/>
            </w:pPr>
            <w:r>
              <w:rPr>
                <w:b/>
                <w:sz w:val="18"/>
              </w:rPr>
              <w:t>Queue</w:t>
            </w:r>
          </w:p>
        </w:tc>
        <w:tc>
          <w:tcPr>
            <w:tcW w:type="dxa" w:w="7344"/>
            <w:vAlign w:val="top"/>
            <w:shd w:val="clear" w:color="auto" w:fill="F3F5F8"/>
          </w:tcPr>
          <w:p>
            <w:pPr>
              <w:keepNext/>
              <w:spacing w:after="0"/>
            </w:pPr>
            <w:r>
              <w:rPr>
                <w:sz w:val="18"/>
              </w:rPr>
              <w:t>2025-07-14 Active Queue Report (ICQ, as of 07/14/2025); 2025-07-14 On-Hold Queue Report; Withdrawal Notice Log (ICQ-WNL-STANDING, as of 07/14/2025); SIS Backlog Status DPG-SIS-BL-2025-07 (07/14/2025); Existing-DER Register Extract (07/14/2025).</w:t>
            </w:r>
          </w:p>
        </w:tc>
      </w:tr>
      <w:tr>
        <w:trPr>
          <w:cantSplit w:val="true"/>
        </w:trPr>
        <w:tc>
          <w:tcPr>
            <w:tcW w:type="dxa" w:w="2016"/>
            <w:vAlign w:val="top"/>
          </w:tcPr>
          <w:p>
            <w:pPr>
              <w:keepNext/>
              <w:spacing w:after="0"/>
            </w:pPr>
            <w:r>
              <w:rPr>
                <w:b/>
                <w:sz w:val="18"/>
              </w:rPr>
              <w:t>Planning</w:t>
            </w:r>
          </w:p>
        </w:tc>
        <w:tc>
          <w:tcPr>
            <w:tcW w:type="dxa" w:w="7344"/>
            <w:vAlign w:val="top"/>
          </w:tcPr>
          <w:p>
            <w:pPr>
              <w:keepNext/>
              <w:spacing w:after="0"/>
            </w:pPr>
            <w:r>
              <w:rPr>
                <w:sz w:val="18"/>
              </w:rPr>
              <w:t>Feeder Hosting Capacity Map Export HCM-2024-Q2, Rev 1 (05/15/2024); Feeder ALN-108 Planning Study — Post-Publication Update Q3 2024, PLN-ALN-108-2024-10, Rev 1 (10/15/2024).</w:t>
            </w:r>
          </w:p>
        </w:tc>
      </w:tr>
      <w:tr>
        <w:trPr>
          <w:cantSplit w:val="true"/>
        </w:trPr>
        <w:tc>
          <w:tcPr>
            <w:tcW w:type="dxa" w:w="2016"/>
            <w:vAlign w:val="top"/>
            <w:shd w:val="clear" w:color="auto" w:fill="F3F5F8"/>
          </w:tcPr>
          <w:p>
            <w:pPr>
              <w:keepNext/>
              <w:spacing w:after="0"/>
            </w:pPr>
            <w:r>
              <w:rPr>
                <w:b/>
                <w:sz w:val="18"/>
              </w:rPr>
              <w:t>Tariff and standards</w:t>
            </w:r>
          </w:p>
        </w:tc>
        <w:tc>
          <w:tcPr>
            <w:tcW w:type="dxa" w:w="7344"/>
            <w:vAlign w:val="top"/>
            <w:shd w:val="clear" w:color="auto" w:fill="F3F5F8"/>
          </w:tcPr>
          <w:p>
            <w:pPr>
              <w:keepNext/>
              <w:spacing w:after="0"/>
            </w:pPr>
            <w:r>
              <w:rPr>
                <w:sz w:val="18"/>
              </w:rPr>
              <w:t>APUC-filed Tariff Vol. III §12 (effective 03/01/2024), §12.2, §12.3, §12.7; DIS-01 Rev 4 §3, Table 3-1, §3.6, Table 5-1, §6; DPS-07 Rev 2 §4.2, §5.3; TCS-02 Rev 1 §2, §3.1, §5; SRP-3 Rev 3 (scope).</w:t>
            </w:r>
          </w:p>
        </w:tc>
      </w:tr>
      <w:tr>
        <w:trPr>
          <w:cantSplit w:val="true"/>
        </w:trPr>
        <w:tc>
          <w:tcPr>
            <w:tcW w:type="dxa" w:w="2016"/>
            <w:vAlign w:val="top"/>
          </w:tcPr>
          <w:p>
            <w:pPr>
              <w:keepNext/>
              <w:spacing w:after="0"/>
            </w:pPr>
            <w:r>
              <w:rPr>
                <w:b/>
                <w:sz w:val="18"/>
              </w:rPr>
              <w:t>Program direction</w:t>
            </w:r>
          </w:p>
        </w:tc>
        <w:tc>
          <w:tcPr>
            <w:tcW w:type="dxa" w:w="7344"/>
            <w:vAlign w:val="top"/>
          </w:tcPr>
          <w:p>
            <w:pPr>
              <w:keepNext/>
              <w:spacing w:after="0"/>
            </w:pPr>
            <w:r>
              <w:rPr>
                <w:sz w:val="18"/>
              </w:rPr>
              <w:t>Backlog Review Directive DIR-2025-0627 (06/27/2025); Regulatory Affairs Tasking Memo RA-2025-07-01 (07/01/2025), §3.7; APUC Information Request ERD-IR-2025-07-014 (07/07/2025), Item 2; Supplier Lead-Time Report SCADA-EQP-2025-06 (06/30/2025); DER Program Contact Directory (07/2025).</w:t>
            </w:r>
          </w:p>
        </w:tc>
      </w:tr>
      <w:tr>
        <w:trPr>
          <w:cantSplit w:val="true"/>
        </w:trPr>
        <w:tc>
          <w:tcPr>
            <w:tcW w:type="dxa" w:w="2016"/>
            <w:vAlign w:val="top"/>
            <w:shd w:val="clear" w:color="auto" w:fill="F3F5F8"/>
          </w:tcPr>
          <w:p>
            <w:pPr>
              <w:keepNext/>
              <w:spacing w:after="0"/>
            </w:pPr>
            <w:r>
              <w:rPr>
                <w:b/>
                <w:sz w:val="18"/>
              </w:rPr>
              <w:t>Case tracking</w:t>
            </w:r>
          </w:p>
        </w:tc>
        <w:tc>
          <w:tcPr>
            <w:tcW w:type="dxa" w:w="7344"/>
            <w:vAlign w:val="top"/>
            <w:shd w:val="clear" w:color="auto" w:fill="F3F5F8"/>
          </w:tcPr>
          <w:p>
            <w:pPr>
              <w:keepNext/>
              <w:spacing w:after="0"/>
            </w:pPr>
            <w:r>
              <w:rPr>
                <w:sz w:val="18"/>
              </w:rPr>
              <w:t>DER Program Backlog Review project: work package #44 and the project’s open work packages (#37–#46); none bears on ALN-108 other than #44.</w:t>
            </w:r>
          </w:p>
        </w:tc>
      </w:tr>
      <w:tr>
        <w:trPr>
          <w:cantSplit w:val="true"/>
        </w:trPr>
        <w:tc>
          <w:tcPr>
            <w:tcW w:type="dxa" w:w="2016"/>
            <w:vAlign w:val="top"/>
          </w:tcPr>
          <w:p>
            <w:pPr>
              <w:spacing w:after="0"/>
            </w:pPr>
            <w:r>
              <w:rPr>
                <w:b/>
                <w:sz w:val="18"/>
              </w:rPr>
              <w:t>Other stores</w:t>
            </w:r>
          </w:p>
        </w:tc>
        <w:tc>
          <w:tcPr>
            <w:tcW w:type="dxa" w:w="7344"/>
            <w:vAlign w:val="top"/>
          </w:tcPr>
          <w:p>
            <w:pPr>
              <w:spacing w:after="0"/>
            </w:pPr>
            <w:r>
              <w:rPr>
                <w:sz w:val="18"/>
              </w:rPr>
              <w:t>Document-store (/DER_Program) and wiki copies of the request, map, interim update and active queue report, compared with the file set; same content and figures.</w:t>
            </w:r>
          </w:p>
        </w:tc>
      </w:tr>
    </w:tbl>
    <w:p>
      <w:pPr>
        <w:spacing w:after="0" w:before="0" w:line="240" w:lineRule="auto"/>
      </w:pPr>
      <w:r>
        <w:rPr>
          <w:sz w:val="8"/>
        </w:rPr>
        <w:t xml:space="preserve"> </w:t>
      </w:r>
    </w:p>
    <w:sectPr w:rsidR="00FC693F" w:rsidRPr="0006063C" w:rsidSect="00034616">
      <w:headerReference w:type="default" r:id="rId9"/>
      <w:footerReference w:type="default" r:id="rId10"/>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Records as of 07/14/2025    ·    Page </w:t>
    </w:r>
    <w:r>
      <w:rPr>
        <w:color w:val="555F6B"/>
        <w:sz w:val="16"/>
      </w:rPr>
      <w:fldChar w:fldCharType="begin"/>
      <w:instrText xml:space="preserve">PAGE</w:instrText>
      <w:fldChar w:fldCharType="separate"/>
      <w:t>1</w:t>
      <w:fldChar w:fldCharType="end"/>
    </w:r>
    <w:r>
      <w:rPr>
        <w:color w:val="555F6B"/>
        <w:sz w:val="16"/>
      </w:rPr>
      <w:t xml:space="preserve"> of </w:t>
    </w:r>
    <w:r>
      <w:rPr>
        <w:color w:val="555F6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555F6B"/>
        <w:sz w:val="16"/>
      </w:rPr>
      <w:t>Alleniom Utilities — DER Program Office</w:t>
    </w:r>
    <w:r>
      <w:rPr>
        <w:color w:val="555F6B"/>
        <w:sz w:val="16"/>
      </w:rPr>
      <w:t xml:space="preserve">    ·    Feeder ALN-108 pre-application response    ·    Case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42E52"/>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rial" w:hAnsi="Arial" w:eastAsia="Arial"/>
      <w:b/>
      <w:bCs/>
      <w:color w:val="142E52"/>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eastAsia="Arial"/>
      <w:b/>
      <w:bCs/>
      <w:color w:val="142E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Feeder ALN-108 — Pre-Application Response (Northline Renewables LLC, request dated 07/02/2025)</dc:title>
  <dc:subject>Pre-application capacity response, Feeder ALN-108; case #44</dc:subject>
  <dc:creator>Alleniom Utilities — DER Program Office</dc:creator>
  <cp:keywords>ALN-108; pre-application; hosting capacity; HCM-2024-Q2; case 44</cp:keywords>
  <dc:description/>
  <cp:lastModifiedBy>Alleniom Utilities — DER Program Office</cp:lastModifiedBy>
  <cp:revision>1</cp:revision>
  <dcterms:created xsi:type="dcterms:W3CDTF">2025-07-14T09:00:00Z</dcterms:created>
  <dcterms:modified xsi:type="dcterms:W3CDTF">2025-07-14T09:00:00Z</dcterms:modified>
  <cp:category/>
</cp:coreProperties>
</file>