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pacing w:val="20"/>
          <w:sz w:val="24"/>
          <w:szCs w:val="24"/>
        </w:rPr>
        <w:t xml:space="preserve">THELBRIDGE PROJECT MANAGEMENT SERVICES</w:t>
      </w:r>
    </w:p>
    <w:p>
      <w:pPr>
        <w:pBdr>
          <w:bottom w:val="single" w:color="1F1F1F" w:sz="12" w:space="4"/>
        </w:pBdr>
        <w:spacing w:after="60"/>
      </w:pPr>
      <w:r>
        <w:rPr>
          <w:rFonts w:ascii="Calibri" w:cs="Calibri" w:eastAsia="Calibri" w:hAnsi="Calibri"/>
          <w:color w:val="595959"/>
          <w:sz w:val="16"/>
          <w:szCs w:val="16"/>
        </w:rPr>
        <w:t xml:space="preserve">500 South High Street, Suite 720, Columbus, OH 43215  |  (614) 555-0125  |  thelbridgepm.com</w:t>
      </w:r>
    </w:p>
    <w:p>
      <w:pPr>
        <w:spacing w:after="180" w:before="220"/>
      </w:pPr>
      <w:r>
        <w:rPr>
          <w:rFonts w:ascii="Calibri" w:cs="Calibri" w:eastAsia="Calibri" w:hAnsi="Calibri"/>
          <w:b/>
          <w:bCs/>
          <w:spacing w:val="30"/>
          <w:sz w:val="22"/>
          <w:szCs w:val="22"/>
        </w:rPr>
        <w:t>VERIFICATION MEMORANDUM</w:t>
      </w:r>
    </w:p>
    <w:p>
      <w:pPr>
        <w:tabs>
          <w:tab w:val="left" w:pos="1200"/>
        </w:tabs>
        <w:ind w:left="1200" w:hanging="1200"/>
      </w:pPr>
      <w:r>
        <w:rPr>
          <w:rFonts w:ascii="Calibri" w:cs="Calibri" w:eastAsia="Calibri" w:hAnsi="Calibri"/>
          <w:b/>
          <w:bCs/>
          <w:sz w:val="20"/>
          <w:szCs w:val="20"/>
        </w:rPr>
        <w:t xml:space="preserve">To:</w:t>
      </w:r>
      <w:r>
        <w:rPr>
          <w:rFonts w:ascii="Calibri" w:cs="Calibri" w:eastAsia="Calibri" w:hAnsi="Calibri"/>
          <w:sz w:val="20"/>
          <w:szCs w:val="20"/>
        </w:rPr>
        <w:tab/>
      </w:r>
      <w:r>
        <w:rPr>
          <w:rFonts w:ascii="Calibri" w:cs="Calibri" w:eastAsia="Calibri" w:hAnsi="Calibri"/>
          <w:sz w:val="20"/>
          <w:szCs w:val="20"/>
        </w:rPr>
        <w:t xml:space="preserve">Rachel Marlbeck, University Program Director — Thornbury State University, Office of Capital Programs</w:t>
      </w:r>
    </w:p>
    <w:p>
      <w:pPr>
        <w:tabs>
          <w:tab w:val="left" w:pos="1200"/>
        </w:tabs>
        <w:ind w:left="1200" w:hanging="1200"/>
      </w:pPr>
      <w:r>
        <w:rPr>
          <w:rFonts w:ascii="Calibri" w:cs="Calibri" w:eastAsia="Calibri" w:hAnsi="Calibri"/>
          <w:b/>
          <w:bCs/>
          <w:sz w:val="20"/>
          <w:szCs w:val="20"/>
        </w:rPr>
        <w:t xml:space="preserve">From:</w:t>
      </w:r>
      <w:r>
        <w:rPr>
          <w:rFonts w:ascii="Calibri" w:cs="Calibri" w:eastAsia="Calibri" w:hAnsi="Calibri"/>
          <w:sz w:val="20"/>
          <w:szCs w:val="20"/>
        </w:rPr>
        <w:tab/>
      </w:r>
      <w:r>
        <w:rPr>
          <w:rFonts w:ascii="Calibri" w:cs="Calibri" w:eastAsia="Calibri" w:hAnsi="Calibri"/>
          <w:sz w:val="20"/>
          <w:szCs w:val="20"/>
        </w:rPr>
        <w:t xml:space="preserve">Adrian Vance, Project Engineer (Structural/Geotechnical), Owner’s Representative — Thelbridge Project Management Services</w:t>
      </w:r>
    </w:p>
    <w:p>
      <w:pPr>
        <w:tabs>
          <w:tab w:val="left" w:pos="1200"/>
        </w:tabs>
        <w:ind w:left="1200" w:hanging="1200"/>
      </w:pPr>
      <w:r>
        <w:rPr>
          <w:rFonts w:ascii="Calibri" w:cs="Calibri" w:eastAsia="Calibri" w:hAnsi="Calibri"/>
          <w:b/>
          <w:bCs/>
          <w:sz w:val="20"/>
          <w:szCs w:val="20"/>
        </w:rPr>
        <w:t xml:space="preserve">Date:</w:t>
      </w:r>
      <w:r>
        <w:rPr>
          <w:rFonts w:ascii="Calibri" w:cs="Calibri" w:eastAsia="Calibri" w:hAnsi="Calibri"/>
          <w:sz w:val="20"/>
          <w:szCs w:val="20"/>
        </w:rPr>
        <w:tab/>
      </w:r>
      <w:r>
        <w:rPr>
          <w:rFonts w:ascii="Calibri" w:cs="Calibri" w:eastAsia="Calibri" w:hAnsi="Calibri"/>
          <w:sz w:val="20"/>
          <w:szCs w:val="20"/>
        </w:rPr>
        <w:t xml:space="preserve">07/20/2026</w:t>
      </w:r>
    </w:p>
    <w:p>
      <w:pPr>
        <w:pBdr>
          <w:bottom w:val="single" w:color="7F7F7F" w:sz="6" w:space="6"/>
        </w:pBdr>
        <w:tabs>
          <w:tab w:val="left" w:pos="1200"/>
        </w:tabs>
        <w:spacing w:after="60"/>
        <w:ind w:left="1200" w:hanging="1200"/>
      </w:pPr>
      <w:r>
        <w:rPr>
          <w:rFonts w:ascii="Calibri" w:cs="Calibri" w:eastAsia="Calibri" w:hAnsi="Calibri"/>
          <w:b/>
          <w:bCs/>
          <w:sz w:val="20"/>
          <w:szCs w:val="20"/>
        </w:rPr>
        <w:t xml:space="preserve">Subject:</w:t>
      </w:r>
      <w:r>
        <w:rPr>
          <w:rFonts w:ascii="Calibri" w:cs="Calibri" w:eastAsia="Calibri" w:hAnsi="Calibri"/>
          <w:sz w:val="20"/>
          <w:szCs w:val="20"/>
        </w:rPr>
        <w:tab/>
      </w:r>
      <w:r>
        <w:rPr>
          <w:rFonts w:ascii="Calibri" w:cs="Calibri" w:eastAsia="Calibri" w:hAnsi="Calibri"/>
          <w:sz w:val="20"/>
          <w:szCs w:val="20"/>
        </w:rPr>
        <w:t xml:space="preserve">Register Item 048 — Block B plant-room support of excavation, Submittal 31-SH-B Rev.1 as supplemented by Rev.2 (Kesterline letter KE-L-2026-0713): verification against logged groundwater and subsurface conditions — </w:t>
      </w:r>
      <w:r>
        <w:rPr>
          <w:rFonts w:ascii="Calibri" w:cs="Calibri" w:eastAsia="Calibri" w:hAnsi="Calibri"/>
          <w:b/>
          <w:bCs/>
          <w:sz w:val="20"/>
          <w:szCs w:val="20"/>
        </w:rPr>
        <w:t xml:space="preserve">NOT VERIFIED</w:t>
      </w:r>
    </w:p>
    <w:p>
      <w:pPr>
        <w:spacing w:after="60" w:before="260"/>
      </w:pPr>
      <w:r>
        <w:rPr>
          <w:rFonts w:ascii="Calibri" w:cs="Calibri" w:eastAsia="Calibri" w:hAnsi="Calibri"/>
          <w:b/>
          <w:bCs/>
          <w:sz w:val="21"/>
          <w:szCs w:val="21"/>
        </w:rPr>
        <w:t xml:space="preserve">1.  PURPOSE</w:t>
      </w:r>
    </w:p>
    <w:p>
      <w:pPr>
        <w:spacing w:before="0" w:after="100" w:line="252" w:lineRule="auto"/>
      </w:pPr>
      <w:r>
        <w:rPr>
          <w:rFonts w:ascii="Calibri" w:cs="Calibri" w:eastAsia="Calibri" w:hAnsi="Calibri"/>
          <w:sz w:val="20"/>
          <w:szCs w:val="20"/>
        </w:rPr>
        <w:t xml:space="preserve">This memorandum addresses Register Item 048 (Geotechnical — Design): “Verify the Block B plant-room shoring design … against logged site groundwater and subsurface conditions for Package A”, raised by R. Nimkar on 07/10/2026 and required by 07/20/2026. The item was raised against Kesterline Engineering’s Submittal 31-SH-B Rev.1, sealed 06/11/2026. On 07/13/2026 Kesterline issued a sealed Revision 2 Engineering Supplement (letter KE-L-2026-0713) and asked for verification of 31-SH-B “on the basis of Rev.1 as supplemented by Rev.2, so that excavation can proceed on the Contractor’s planned date” of 08/10/2026. I have taken the item over from R. Nimkar and reviewed it on that current revision.</w:t>
      </w:r>
    </w:p>
    <w:p>
      <w:pPr>
        <w:spacing w:before="0" w:after="100" w:line="252" w:lineRule="auto"/>
      </w:pPr>
      <w:r>
        <w:rPr>
          <w:rFonts w:ascii="Calibri" w:cs="Calibri" w:eastAsia="Calibri" w:hAnsi="Calibri"/>
          <w:sz w:val="20"/>
          <w:szCs w:val="20"/>
        </w:rPr>
        <w:t xml:space="preserve">The determinations made are: (a) whether the current revision is consistent with the logged groundwater and subsurface conditions and satisfies the project design basis; (b) which of its checks can be carried forward and which cannot; (c) what the excavation it would release would do to the permanent work already built at Block B; (d) what must be produced, and by whom, before the excavation may start; (e) what the result means for the 08/10/2026 start; and (f) the register response and status. This memorandum also serves as the Thelbridge review comments on the shoring package called for by action item AI-26-06 (Progress Meeting No. 26).</w:t>
      </w:r>
    </w:p>
    <w:p>
      <w:pPr>
        <w:spacing w:before="0" w:after="60" w:line="252" w:lineRule="auto"/>
      </w:pPr>
      <w:r>
        <w:rPr>
          <w:rFonts w:ascii="Calibri" w:cs="Calibri" w:eastAsia="Calibri" w:hAnsi="Calibri"/>
          <w:b/>
          <w:bCs/>
          <w:sz w:val="20"/>
          <w:szCs w:val="20"/>
        </w:rPr>
        <w:t xml:space="preserve">Result: NOT VERIFIED. Item 048 remains Open. The Block B plant-room excavation planned for 08/10/2026 is not released.</w:t>
      </w:r>
    </w:p>
    <w:p>
      <w:pPr>
        <w:spacing w:after="60" w:before="200"/>
      </w:pPr>
      <w:r>
        <w:rPr>
          <w:rFonts w:ascii="Calibri" w:cs="Calibri" w:eastAsia="Calibri" w:hAnsi="Calibri"/>
          <w:b/>
          <w:bCs/>
          <w:sz w:val="21"/>
          <w:szCs w:val="21"/>
        </w:rPr>
        <w:t xml:space="preserve">2.  DOCUMENTS REVIEWED</w:t>
      </w:r>
    </w:p>
    <w:p>
      <w:pPr>
        <w:spacing w:before="0" w:after="100" w:line="252" w:lineRule="auto"/>
      </w:pPr>
      <w:r>
        <w:rPr>
          <w:rFonts w:ascii="Calibri" w:cs="Calibri" w:eastAsia="Calibri" w:hAnsi="Calibri"/>
          <w:sz w:val="20"/>
          <w:szCs w:val="20"/>
        </w:rPr>
        <w:t xml:space="preserve">Documents relied on are listed below with the short tag used for citations in Sections 3 to 5. Page references are to the page numbers printed on each document; drawings are cited by sheet.</w:t>
      </w:r>
    </w:p>
    <w:tbl>
      <w:tblPr>
        <w:tblW w:w="9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80" w:type="dxa"/>
          <w:bottom w:w="30" w:type="dxa"/>
          <w:right w:w="80" w:type="dxa"/>
        </w:tblCellMar>
      </w:tblPr>
      <w:tblGrid>
        <w:gridCol w:w="1080"/>
        <w:gridCol w:w="6840"/>
        <w:gridCol w:w="1800"/>
      </w:tblGrid>
      <w:tr>
        <w:trPr>
          <w:cantSplit/>
          <w:tblHeader/>
        </w:trPr>
        <w:tc>
          <w:tcPr>
            <w:tcW w:w="1080" w:type="dxa"/>
            <w:shd w:val="clear" w:color="auto" w:fill="D9D9D9"/>
            <w:vAlign w:val="top"/>
          </w:tcPr>
          <w:p>
            <w:pPr>
              <w:spacing w:before="0" w:after="20" w:line="240" w:lineRule="auto"/>
            </w:pPr>
            <w:r>
              <w:rPr>
                <w:rFonts w:ascii="Calibri" w:cs="Calibri" w:eastAsia="Calibri" w:hAnsi="Calibri"/>
                <w:b/>
                <w:bCs/>
                <w:sz w:val="16"/>
                <w:szCs w:val="16"/>
              </w:rPr>
              <w:t xml:space="preserve">Tag</w:t>
            </w:r>
          </w:p>
        </w:tc>
        <w:tc>
          <w:tcPr>
            <w:tcW w:w="6840" w:type="dxa"/>
            <w:shd w:val="clear" w:color="auto" w:fill="D9D9D9"/>
            <w:vAlign w:val="top"/>
          </w:tcPr>
          <w:p>
            <w:pPr>
              <w:spacing w:before="0" w:after="20" w:line="240" w:lineRule="auto"/>
            </w:pPr>
            <w:r>
              <w:rPr>
                <w:rFonts w:ascii="Calibri" w:cs="Calibri" w:eastAsia="Calibri" w:hAnsi="Calibri"/>
                <w:b/>
                <w:bCs/>
                <w:sz w:val="16"/>
                <w:szCs w:val="16"/>
              </w:rPr>
              <w:t xml:space="preserve">Document</w:t>
            </w:r>
          </w:p>
        </w:tc>
        <w:tc>
          <w:tcPr>
            <w:tcW w:w="1800" w:type="dxa"/>
            <w:shd w:val="clear" w:color="auto" w:fill="D9D9D9"/>
            <w:vAlign w:val="top"/>
          </w:tcPr>
          <w:p>
            <w:pPr>
              <w:spacing w:before="0" w:after="20" w:line="240" w:lineRule="auto"/>
            </w:pPr>
            <w:r>
              <w:rPr>
                <w:rFonts w:ascii="Calibri" w:cs="Calibri" w:eastAsia="Calibri" w:hAnsi="Calibri"/>
                <w:b/>
                <w:bCs/>
                <w:sz w:val="16"/>
                <w:szCs w:val="16"/>
              </w:rPr>
              <w:t xml:space="preserve">Date</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R2</w:t>
            </w:r>
          </w:p>
        </w:tc>
        <w:tc>
          <w:tcPr>
            <w:tcW w:w="6840" w:type="dxa"/>
            <w:vAlign w:val="top"/>
          </w:tcPr>
          <w:p>
            <w:pPr>
              <w:spacing w:before="0" w:after="20" w:line="240" w:lineRule="auto"/>
            </w:pPr>
            <w:r>
              <w:rPr>
                <w:rFonts w:ascii="Calibri" w:cs="Calibri" w:eastAsia="Calibri" w:hAnsi="Calibri"/>
                <w:sz w:val="16"/>
                <w:szCs w:val="16"/>
              </w:rPr>
              <w:t xml:space="preserve">Kesterline Engineering, PC — Submittal 31-SH-B Rev.2 Engineering Supplement, Block B Plant-Room Support of Excavation, letter KE-L-2026-0713 (B. A. Halvard, PE), 5 pp.</w:t>
            </w:r>
          </w:p>
        </w:tc>
        <w:tc>
          <w:tcPr>
            <w:tcW w:w="1800" w:type="dxa"/>
            <w:vAlign w:val="top"/>
          </w:tcPr>
          <w:p>
            <w:pPr>
              <w:spacing w:before="0" w:after="20" w:line="240" w:lineRule="auto"/>
            </w:pPr>
            <w:r>
              <w:rPr>
                <w:rFonts w:ascii="Calibri" w:cs="Calibri" w:eastAsia="Calibri" w:hAnsi="Calibri"/>
                <w:sz w:val="16"/>
                <w:szCs w:val="16"/>
              </w:rPr>
              <w:t xml:space="preserve">07/13/2026 (sealed)</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R1</w:t>
            </w:r>
          </w:p>
        </w:tc>
        <w:tc>
          <w:tcPr>
            <w:tcW w:w="6840" w:type="dxa"/>
            <w:vAlign w:val="top"/>
          </w:tcPr>
          <w:p>
            <w:pPr>
              <w:spacing w:before="0" w:after="20" w:line="240" w:lineRule="auto"/>
            </w:pPr>
            <w:r>
              <w:rPr>
                <w:rFonts w:ascii="Calibri" w:cs="Calibri" w:eastAsia="Calibri" w:hAnsi="Calibri"/>
                <w:sz w:val="16"/>
                <w:szCs w:val="16"/>
              </w:rPr>
              <w:t xml:space="preserve">Kesterline Engineering, PC — Submittal 31-SH-B Rev.1, Support of Excavation Design Calculations, Block B Plant-Room Excavation, 21 pp.</w:t>
            </w:r>
          </w:p>
        </w:tc>
        <w:tc>
          <w:tcPr>
            <w:tcW w:w="1800" w:type="dxa"/>
            <w:vAlign w:val="top"/>
          </w:tcPr>
          <w:p>
            <w:pPr>
              <w:spacing w:before="0" w:after="20" w:line="240" w:lineRule="auto"/>
            </w:pPr>
            <w:r>
              <w:rPr>
                <w:rFonts w:ascii="Calibri" w:cs="Calibri" w:eastAsia="Calibri" w:hAnsi="Calibri"/>
                <w:sz w:val="16"/>
                <w:szCs w:val="16"/>
              </w:rPr>
              <w:t xml:space="preserve">06/11/2026 (sealed); Rev.0 07/29/2025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GIR</w:t>
            </w:r>
          </w:p>
        </w:tc>
        <w:tc>
          <w:tcPr>
            <w:tcW w:w="6840" w:type="dxa"/>
            <w:vAlign w:val="top"/>
          </w:tcPr>
          <w:p>
            <w:pPr>
              <w:spacing w:before="0" w:after="20" w:line="240" w:lineRule="auto"/>
            </w:pPr>
            <w:r>
              <w:rPr>
                <w:rFonts w:ascii="Calibri" w:cs="Calibri" w:eastAsia="Calibri" w:hAnsi="Calibri"/>
                <w:sz w:val="16"/>
                <w:szCs w:val="16"/>
              </w:rPr>
              <w:t xml:space="preserve">Kelbrook Geotechnical, Inc. — Geotechnical Investigation Report KGI-2024-0417 Rev.2</w:t>
            </w:r>
          </w:p>
        </w:tc>
        <w:tc>
          <w:tcPr>
            <w:tcW w:w="1800" w:type="dxa"/>
            <w:vAlign w:val="top"/>
          </w:tcPr>
          <w:p>
            <w:pPr>
              <w:spacing w:before="0" w:after="20" w:line="240" w:lineRule="auto"/>
            </w:pPr>
            <w:r>
              <w:rPr>
                <w:rFonts w:ascii="Calibri" w:cs="Calibri" w:eastAsia="Calibri" w:hAnsi="Calibri"/>
                <w:sz w:val="16"/>
                <w:szCs w:val="16"/>
              </w:rPr>
              <w:t xml:space="preserve">02/14/2025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BL</w:t>
            </w:r>
          </w:p>
        </w:tc>
        <w:tc>
          <w:tcPr>
            <w:tcW w:w="6840" w:type="dxa"/>
            <w:vAlign w:val="top"/>
          </w:tcPr>
          <w:p>
            <w:pPr>
              <w:spacing w:before="0" w:after="20" w:line="240" w:lineRule="auto"/>
            </w:pPr>
            <w:r>
              <w:rPr>
                <w:rFonts w:ascii="Calibri" w:cs="Calibri" w:eastAsia="Calibri" w:hAnsi="Calibri"/>
                <w:sz w:val="16"/>
                <w:szCs w:val="16"/>
              </w:rPr>
              <w:t xml:space="preserve">Kelbrook Geotechnical — Appendix A, Boring Logs B-01 to B-09 and Groundwater Monitoring Record (19 rounds, 11/22/2024 – 06/28/2026)</w:t>
            </w:r>
          </w:p>
        </w:tc>
        <w:tc>
          <w:tcPr>
            <w:tcW w:w="1800" w:type="dxa"/>
            <w:vAlign w:val="top"/>
          </w:tcPr>
          <w:p>
            <w:pPr>
              <w:spacing w:before="0" w:after="20" w:line="240" w:lineRule="auto"/>
            </w:pPr>
            <w:r>
              <w:rPr>
                <w:rFonts w:ascii="Calibri" w:cs="Calibri" w:eastAsia="Calibri" w:hAnsi="Calibri"/>
                <w:sz w:val="16"/>
                <w:szCs w:val="16"/>
              </w:rPr>
              <w:t xml:space="preserve">06/30/2026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FOR</w:t>
            </w:r>
          </w:p>
        </w:tc>
        <w:tc>
          <w:tcPr>
            <w:tcW w:w="6840" w:type="dxa"/>
            <w:vAlign w:val="top"/>
          </w:tcPr>
          <w:p>
            <w:pPr>
              <w:spacing w:before="0" w:after="20" w:line="240" w:lineRule="auto"/>
            </w:pPr>
            <w:r>
              <w:rPr>
                <w:rFonts w:ascii="Calibri" w:cs="Calibri" w:eastAsia="Calibri" w:hAnsi="Calibri"/>
                <w:sz w:val="16"/>
                <w:szCs w:val="16"/>
              </w:rPr>
              <w:t xml:space="preserve">Kelbrook Geotechnical — Field Observation Report KGI-FO-2026-0528, Excavation and Groundwater</w:t>
            </w:r>
          </w:p>
        </w:tc>
        <w:tc>
          <w:tcPr>
            <w:tcW w:w="1800" w:type="dxa"/>
            <w:vAlign w:val="top"/>
          </w:tcPr>
          <w:p>
            <w:pPr>
              <w:spacing w:before="0" w:after="20" w:line="240" w:lineRule="auto"/>
            </w:pPr>
            <w:r>
              <w:rPr>
                <w:rFonts w:ascii="Calibri" w:cs="Calibri" w:eastAsia="Calibri" w:hAnsi="Calibri"/>
                <w:sz w:val="16"/>
                <w:szCs w:val="16"/>
              </w:rPr>
              <w:t xml:space="preserve">05/28/2026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CON</w:t>
            </w:r>
          </w:p>
        </w:tc>
        <w:tc>
          <w:tcPr>
            <w:tcW w:w="6840" w:type="dxa"/>
            <w:vAlign w:val="top"/>
          </w:tcPr>
          <w:p>
            <w:pPr>
              <w:spacing w:before="0" w:after="20" w:line="240" w:lineRule="auto"/>
            </w:pPr>
            <w:r>
              <w:rPr>
                <w:rFonts w:ascii="Calibri" w:cs="Calibri" w:eastAsia="Calibri" w:hAnsi="Calibri"/>
                <w:sz w:val="16"/>
                <w:szCs w:val="16"/>
              </w:rPr>
              <w:t xml:space="preserve">Vantree Materials Testing — Laboratory Consolidation Test Report VMT-2025-0109-CON (ASTM D2435)</w:t>
            </w:r>
          </w:p>
        </w:tc>
        <w:tc>
          <w:tcPr>
            <w:tcW w:w="1800" w:type="dxa"/>
            <w:vAlign w:val="top"/>
          </w:tcPr>
          <w:p>
            <w:pPr>
              <w:spacing w:before="0" w:after="20" w:line="240" w:lineRule="auto"/>
            </w:pPr>
            <w:r>
              <w:rPr>
                <w:rFonts w:ascii="Calibri" w:cs="Calibri" w:eastAsia="Calibri" w:hAnsi="Calibri"/>
                <w:sz w:val="16"/>
                <w:szCs w:val="16"/>
              </w:rPr>
              <w:t xml:space="preserve">01/09/2025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IDX</w:t>
            </w:r>
          </w:p>
        </w:tc>
        <w:tc>
          <w:tcPr>
            <w:tcW w:w="6840" w:type="dxa"/>
            <w:vAlign w:val="top"/>
          </w:tcPr>
          <w:p>
            <w:pPr>
              <w:spacing w:before="0" w:after="20" w:line="240" w:lineRule="auto"/>
            </w:pPr>
            <w:r>
              <w:rPr>
                <w:rFonts w:ascii="Calibri" w:cs="Calibri" w:eastAsia="Calibri" w:hAnsi="Calibri"/>
                <w:sz w:val="16"/>
                <w:szCs w:val="16"/>
              </w:rPr>
              <w:t xml:space="preserve">Vantree Materials Testing — Geotechnical Laboratory Index Test Data VMT-2024-0917-PkgA-INDEX</w:t>
            </w:r>
          </w:p>
        </w:tc>
        <w:tc>
          <w:tcPr>
            <w:tcW w:w="1800" w:type="dxa"/>
            <w:vAlign w:val="top"/>
          </w:tcPr>
          <w:p>
            <w:pPr>
              <w:spacing w:before="0" w:after="20" w:line="240" w:lineRule="auto"/>
            </w:pPr>
            <w:r>
              <w:rPr>
                <w:rFonts w:ascii="Calibri" w:cs="Calibri" w:eastAsia="Calibri" w:hAnsi="Calibri"/>
                <w:sz w:val="16"/>
                <w:szCs w:val="16"/>
              </w:rPr>
              <w:t xml:space="preserve">01/09/2025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PRO</w:t>
            </w:r>
          </w:p>
        </w:tc>
        <w:tc>
          <w:tcPr>
            <w:tcW w:w="6840" w:type="dxa"/>
            <w:vAlign w:val="top"/>
          </w:tcPr>
          <w:p>
            <w:pPr>
              <w:spacing w:before="0" w:after="20" w:line="240" w:lineRule="auto"/>
            </w:pPr>
            <w:r>
              <w:rPr>
                <w:rFonts w:ascii="Calibri" w:cs="Calibri" w:eastAsia="Calibri" w:hAnsi="Calibri"/>
                <w:sz w:val="16"/>
                <w:szCs w:val="16"/>
              </w:rPr>
              <w:t xml:space="preserve">Vantree Materials Testing — Modified Proctor Report VMT-25-0918-P04, Package A Structural Fill (Larchwood Pit)</w:t>
            </w:r>
          </w:p>
        </w:tc>
        <w:tc>
          <w:tcPr>
            <w:tcW w:w="1800" w:type="dxa"/>
            <w:vAlign w:val="top"/>
          </w:tcPr>
          <w:p>
            <w:pPr>
              <w:spacing w:before="0" w:after="20" w:line="240" w:lineRule="auto"/>
            </w:pPr>
            <w:r>
              <w:rPr>
                <w:rFonts w:ascii="Calibri" w:cs="Calibri" w:eastAsia="Calibri" w:hAnsi="Calibri"/>
                <w:sz w:val="16"/>
                <w:szCs w:val="16"/>
              </w:rPr>
              <w:t xml:space="preserve">09/18/2025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DBM</w:t>
            </w:r>
          </w:p>
        </w:tc>
        <w:tc>
          <w:tcPr>
            <w:tcW w:w="6840" w:type="dxa"/>
            <w:vAlign w:val="top"/>
          </w:tcPr>
          <w:p>
            <w:pPr>
              <w:spacing w:before="0" w:after="20" w:line="240" w:lineRule="auto"/>
            </w:pPr>
            <w:r>
              <w:rPr>
                <w:rFonts w:ascii="Calibri" w:cs="Calibri" w:eastAsia="Calibri" w:hAnsi="Calibri"/>
                <w:sz w:val="16"/>
                <w:szCs w:val="16"/>
              </w:rPr>
              <w:t xml:space="preserve">Calloway Braddock — Design Basis Memorandum CB-DBM-001 Rev.2</w:t>
            </w:r>
          </w:p>
        </w:tc>
        <w:tc>
          <w:tcPr>
            <w:tcW w:w="1800" w:type="dxa"/>
            <w:vAlign w:val="top"/>
          </w:tcPr>
          <w:p>
            <w:pPr>
              <w:spacing w:before="0" w:after="20" w:line="240" w:lineRule="auto"/>
            </w:pPr>
            <w:r>
              <w:rPr>
                <w:rFonts w:ascii="Calibri" w:cs="Calibri" w:eastAsia="Calibri" w:hAnsi="Calibri"/>
                <w:sz w:val="16"/>
                <w:szCs w:val="16"/>
              </w:rPr>
              <w:t xml:space="preserve">11/14/2025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S-101</w:t>
            </w:r>
          </w:p>
        </w:tc>
        <w:tc>
          <w:tcPr>
            <w:tcW w:w="6840" w:type="dxa"/>
            <w:vAlign w:val="top"/>
          </w:tcPr>
          <w:p>
            <w:pPr>
              <w:spacing w:before="0" w:after="20" w:line="240" w:lineRule="auto"/>
            </w:pPr>
            <w:r>
              <w:rPr>
                <w:rFonts w:ascii="Calibri" w:cs="Calibri" w:eastAsia="Calibri" w:hAnsi="Calibri"/>
                <w:sz w:val="16"/>
                <w:szCs w:val="16"/>
              </w:rPr>
              <w:t xml:space="preserve">Calloway Braddock — Sheet S-101 Foundation Plan, Rev.4</w:t>
            </w:r>
          </w:p>
        </w:tc>
        <w:tc>
          <w:tcPr>
            <w:tcW w:w="1800" w:type="dxa"/>
            <w:vAlign w:val="top"/>
          </w:tcPr>
          <w:p>
            <w:pPr>
              <w:spacing w:before="0" w:after="20" w:line="240" w:lineRule="auto"/>
            </w:pPr>
            <w:r>
              <w:rPr>
                <w:rFonts w:ascii="Calibri" w:cs="Calibri" w:eastAsia="Calibri" w:hAnsi="Calibri"/>
                <w:sz w:val="16"/>
                <w:szCs w:val="16"/>
              </w:rPr>
              <w:t xml:space="preserve">05/29/2026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S-102</w:t>
            </w:r>
          </w:p>
        </w:tc>
        <w:tc>
          <w:tcPr>
            <w:tcW w:w="6840" w:type="dxa"/>
            <w:vAlign w:val="top"/>
          </w:tcPr>
          <w:p>
            <w:pPr>
              <w:spacing w:before="0" w:after="20" w:line="240" w:lineRule="auto"/>
            </w:pPr>
            <w:r>
              <w:rPr>
                <w:rFonts w:ascii="Calibri" w:cs="Calibri" w:eastAsia="Calibri" w:hAnsi="Calibri"/>
                <w:sz w:val="16"/>
                <w:szCs w:val="16"/>
              </w:rPr>
              <w:t xml:space="preserve">Calloway Braddock — Sheet S-102 Basement Floor Levels, Drainage Zones and Wall-to-Mat Joint Layout, Rev.2</w:t>
            </w:r>
          </w:p>
        </w:tc>
        <w:tc>
          <w:tcPr>
            <w:tcW w:w="1800" w:type="dxa"/>
            <w:vAlign w:val="top"/>
          </w:tcPr>
          <w:p>
            <w:pPr>
              <w:spacing w:before="0" w:after="20" w:line="240" w:lineRule="auto"/>
            </w:pPr>
            <w:r>
              <w:rPr>
                <w:rFonts w:ascii="Calibri" w:cs="Calibri" w:eastAsia="Calibri" w:hAnsi="Calibri"/>
                <w:sz w:val="16"/>
                <w:szCs w:val="16"/>
              </w:rPr>
              <w:t xml:space="preserve">12/12/2025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S-201</w:t>
            </w:r>
          </w:p>
        </w:tc>
        <w:tc>
          <w:tcPr>
            <w:tcW w:w="6840" w:type="dxa"/>
            <w:vAlign w:val="top"/>
          </w:tcPr>
          <w:p>
            <w:pPr>
              <w:spacing w:before="0" w:after="20" w:line="240" w:lineRule="auto"/>
            </w:pPr>
            <w:r>
              <w:rPr>
                <w:rFonts w:ascii="Calibri" w:cs="Calibri" w:eastAsia="Calibri" w:hAnsi="Calibri"/>
                <w:sz w:val="16"/>
                <w:szCs w:val="16"/>
              </w:rPr>
              <w:t xml:space="preserve">Calloway Braddock — Sheet S-201 Foundation Sections and Details, Rev.4</w:t>
            </w:r>
          </w:p>
        </w:tc>
        <w:tc>
          <w:tcPr>
            <w:tcW w:w="1800" w:type="dxa"/>
            <w:vAlign w:val="top"/>
          </w:tcPr>
          <w:p>
            <w:pPr>
              <w:spacing w:before="0" w:after="20" w:line="240" w:lineRule="auto"/>
            </w:pPr>
            <w:r>
              <w:rPr>
                <w:rFonts w:ascii="Calibri" w:cs="Calibri" w:eastAsia="Calibri" w:hAnsi="Calibri"/>
                <w:sz w:val="16"/>
                <w:szCs w:val="16"/>
              </w:rPr>
              <w:t xml:space="preserve">05/29/2026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STR-011</w:t>
            </w:r>
          </w:p>
        </w:tc>
        <w:tc>
          <w:tcPr>
            <w:tcW w:w="6840" w:type="dxa"/>
            <w:vAlign w:val="top"/>
          </w:tcPr>
          <w:p>
            <w:pPr>
              <w:spacing w:before="0" w:after="20" w:line="240" w:lineRule="auto"/>
            </w:pPr>
            <w:r>
              <w:rPr>
                <w:rFonts w:ascii="Calibri" w:cs="Calibri" w:eastAsia="Calibri" w:hAnsi="Calibri"/>
                <w:sz w:val="16"/>
                <w:szCs w:val="16"/>
              </w:rPr>
              <w:t xml:space="preserve">Calloway Braddock — Calculation CB-STR-011, Basement Mat Design, Rev.0</w:t>
            </w:r>
          </w:p>
        </w:tc>
        <w:tc>
          <w:tcPr>
            <w:tcW w:w="1800" w:type="dxa"/>
            <w:vAlign w:val="top"/>
          </w:tcPr>
          <w:p>
            <w:pPr>
              <w:spacing w:before="0" w:after="20" w:line="240" w:lineRule="auto"/>
            </w:pPr>
            <w:r>
              <w:rPr>
                <w:rFonts w:ascii="Calibri" w:cs="Calibri" w:eastAsia="Calibri" w:hAnsi="Calibri"/>
                <w:sz w:val="16"/>
                <w:szCs w:val="16"/>
              </w:rPr>
              <w:t xml:space="preserve">12/05/2025 (sealed)</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GEO-004</w:t>
            </w:r>
          </w:p>
        </w:tc>
        <w:tc>
          <w:tcPr>
            <w:tcW w:w="6840" w:type="dxa"/>
            <w:vAlign w:val="top"/>
          </w:tcPr>
          <w:p>
            <w:pPr>
              <w:spacing w:before="0" w:after="20" w:line="240" w:lineRule="auto"/>
            </w:pPr>
            <w:r>
              <w:rPr>
                <w:rFonts w:ascii="Calibri" w:cs="Calibri" w:eastAsia="Calibri" w:hAnsi="Calibri"/>
                <w:sz w:val="16"/>
                <w:szCs w:val="16"/>
              </w:rPr>
              <w:t xml:space="preserve">Calloway Braddock — Calculation CB-GEO-004, Block B Driven Pile Design — Capacity</w:t>
            </w:r>
          </w:p>
        </w:tc>
        <w:tc>
          <w:tcPr>
            <w:tcW w:w="1800" w:type="dxa"/>
            <w:vAlign w:val="top"/>
          </w:tcPr>
          <w:p>
            <w:pPr>
              <w:spacing w:before="0" w:after="20" w:line="240" w:lineRule="auto"/>
            </w:pPr>
            <w:r>
              <w:rPr>
                <w:rFonts w:ascii="Calibri" w:cs="Calibri" w:eastAsia="Calibri" w:hAnsi="Calibri"/>
                <w:sz w:val="16"/>
                <w:szCs w:val="16"/>
              </w:rPr>
              <w:t xml:space="preserve">08/22/2025 (sealed)</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SPEC</w:t>
            </w:r>
          </w:p>
        </w:tc>
        <w:tc>
          <w:tcPr>
            <w:tcW w:w="6840" w:type="dxa"/>
            <w:vAlign w:val="top"/>
          </w:tcPr>
          <w:p>
            <w:pPr>
              <w:spacing w:before="0" w:after="20" w:line="240" w:lineRule="auto"/>
            </w:pPr>
            <w:r>
              <w:rPr>
                <w:rFonts w:ascii="Calibri" w:cs="Calibri" w:eastAsia="Calibri" w:hAnsi="Calibri"/>
                <w:sz w:val="16"/>
                <w:szCs w:val="16"/>
              </w:rPr>
              <w:t xml:space="preserve">Specification Section 31 20 00, Earth Moving, Rev.3</w:t>
            </w:r>
          </w:p>
        </w:tc>
        <w:tc>
          <w:tcPr>
            <w:tcW w:w="1800" w:type="dxa"/>
            <w:vAlign w:val="top"/>
          </w:tcPr>
          <w:p>
            <w:pPr>
              <w:spacing w:before="0" w:after="20" w:line="240" w:lineRule="auto"/>
            </w:pPr>
            <w:r>
              <w:rPr>
                <w:rFonts w:ascii="Calibri" w:cs="Calibri" w:eastAsia="Calibri" w:hAnsi="Calibri"/>
                <w:sz w:val="16"/>
                <w:szCs w:val="16"/>
              </w:rPr>
              <w:t xml:space="preserve">03/06/2026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DW-A</w:t>
            </w:r>
          </w:p>
        </w:tc>
        <w:tc>
          <w:tcPr>
            <w:tcW w:w="6840" w:type="dxa"/>
            <w:vAlign w:val="top"/>
          </w:tcPr>
          <w:p>
            <w:pPr>
              <w:spacing w:before="0" w:after="20" w:line="240" w:lineRule="auto"/>
            </w:pPr>
            <w:r>
              <w:rPr>
                <w:rFonts w:ascii="Calibri" w:cs="Calibri" w:eastAsia="Calibri" w:hAnsi="Calibri"/>
                <w:sz w:val="16"/>
                <w:szCs w:val="16"/>
              </w:rPr>
              <w:t xml:space="preserve">Rowan Bay Constructors — Submittal 31-DW-A Rev.1, Dewatering and Groundwater Control Plan, Block A Basement (sealed B. A. Halvard, PE; EOR stamp 06/12/2025)</w:t>
            </w:r>
          </w:p>
        </w:tc>
        <w:tc>
          <w:tcPr>
            <w:tcW w:w="1800" w:type="dxa"/>
            <w:vAlign w:val="top"/>
          </w:tcPr>
          <w:p>
            <w:pPr>
              <w:spacing w:before="0" w:after="20" w:line="240" w:lineRule="auto"/>
            </w:pPr>
            <w:r>
              <w:rPr>
                <w:rFonts w:ascii="Calibri" w:cs="Calibri" w:eastAsia="Calibri" w:hAnsi="Calibri"/>
                <w:sz w:val="16"/>
                <w:szCs w:val="16"/>
              </w:rPr>
              <w:t xml:space="preserve">06/04/2025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PIR</w:t>
            </w:r>
          </w:p>
        </w:tc>
        <w:tc>
          <w:tcPr>
            <w:tcW w:w="6840" w:type="dxa"/>
            <w:vAlign w:val="top"/>
          </w:tcPr>
          <w:p>
            <w:pPr>
              <w:spacing w:before="0" w:after="20" w:line="240" w:lineRule="auto"/>
            </w:pPr>
            <w:r>
              <w:rPr>
                <w:rFonts w:ascii="Calibri" w:cs="Calibri" w:eastAsia="Calibri" w:hAnsi="Calibri"/>
                <w:sz w:val="16"/>
                <w:szCs w:val="16"/>
              </w:rPr>
              <w:t xml:space="preserve">Rowan Bay Constructors — Pile Installation Records, Block B, RBC-BB-PIR-2025</w:t>
            </w:r>
          </w:p>
        </w:tc>
        <w:tc>
          <w:tcPr>
            <w:tcW w:w="1800" w:type="dxa"/>
            <w:vAlign w:val="top"/>
          </w:tcPr>
          <w:p>
            <w:pPr>
              <w:spacing w:before="0" w:after="20" w:line="240" w:lineRule="auto"/>
            </w:pPr>
            <w:r>
              <w:rPr>
                <w:rFonts w:ascii="Calibri" w:cs="Calibri" w:eastAsia="Calibri" w:hAnsi="Calibri"/>
                <w:sz w:val="16"/>
                <w:szCs w:val="16"/>
              </w:rPr>
              <w:t xml:space="preserve">11/06 – 11/21/2025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FPR</w:t>
            </w:r>
          </w:p>
        </w:tc>
        <w:tc>
          <w:tcPr>
            <w:tcW w:w="6840" w:type="dxa"/>
            <w:vAlign w:val="top"/>
          </w:tcPr>
          <w:p>
            <w:pPr>
              <w:spacing w:before="0" w:after="20" w:line="240" w:lineRule="auto"/>
            </w:pPr>
            <w:r>
              <w:rPr>
                <w:rFonts w:ascii="Calibri" w:cs="Calibri" w:eastAsia="Calibri" w:hAnsi="Calibri"/>
                <w:sz w:val="16"/>
                <w:szCs w:val="16"/>
              </w:rPr>
              <w:t xml:space="preserve">Rowan Bay Constructors — Fill Placement and Grading Records, Block B, RB-FPR-BB-2025</w:t>
            </w:r>
          </w:p>
        </w:tc>
        <w:tc>
          <w:tcPr>
            <w:tcW w:w="1800" w:type="dxa"/>
            <w:vAlign w:val="top"/>
          </w:tcPr>
          <w:p>
            <w:pPr>
              <w:spacing w:before="0" w:after="20" w:line="240" w:lineRule="auto"/>
            </w:pPr>
            <w:r>
              <w:rPr>
                <w:rFonts w:ascii="Calibri" w:cs="Calibri" w:eastAsia="Calibri" w:hAnsi="Calibri"/>
                <w:sz w:val="16"/>
                <w:szCs w:val="16"/>
              </w:rPr>
              <w:t xml:space="preserve">10/06 – 11/02/2025</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DFR</w:t>
            </w:r>
          </w:p>
        </w:tc>
        <w:tc>
          <w:tcPr>
            <w:tcW w:w="6840" w:type="dxa"/>
            <w:vAlign w:val="top"/>
          </w:tcPr>
          <w:p>
            <w:pPr>
              <w:spacing w:before="0" w:after="20" w:line="240" w:lineRule="auto"/>
            </w:pPr>
            <w:r>
              <w:rPr>
                <w:rFonts w:ascii="Calibri" w:cs="Calibri" w:eastAsia="Calibri" w:hAnsi="Calibri"/>
                <w:sz w:val="16"/>
                <w:szCs w:val="16"/>
              </w:rPr>
              <w:t xml:space="preserve">Rowan Bay Constructors — Daily Field Reports Nos. 141–145, Basement Level</w:t>
            </w:r>
          </w:p>
        </w:tc>
        <w:tc>
          <w:tcPr>
            <w:tcW w:w="1800" w:type="dxa"/>
            <w:vAlign w:val="top"/>
          </w:tcPr>
          <w:p>
            <w:pPr>
              <w:spacing w:before="0" w:after="20" w:line="240" w:lineRule="auto"/>
            </w:pPr>
            <w:r>
              <w:rPr>
                <w:rFonts w:ascii="Calibri" w:cs="Calibri" w:eastAsia="Calibri" w:hAnsi="Calibri"/>
                <w:sz w:val="16"/>
                <w:szCs w:val="16"/>
              </w:rPr>
              <w:t xml:space="preserve">06/28 – 07/02/2026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VR</w:t>
            </w:r>
          </w:p>
        </w:tc>
        <w:tc>
          <w:tcPr>
            <w:tcW w:w="6840" w:type="dxa"/>
            <w:vAlign w:val="top"/>
          </w:tcPr>
          <w:p>
            <w:pPr>
              <w:spacing w:before="0" w:after="20" w:line="240" w:lineRule="auto"/>
            </w:pPr>
            <w:r>
              <w:rPr>
                <w:rFonts w:ascii="Calibri" w:cs="Calibri" w:eastAsia="Calibri" w:hAnsi="Calibri"/>
                <w:sz w:val="16"/>
                <w:szCs w:val="16"/>
              </w:rPr>
              <w:t xml:space="preserve">Thelbridge — Review Comment and Verification Register, Package A (COVER, REGISTER and SCHEDULE sheets)</w:t>
            </w:r>
          </w:p>
        </w:tc>
        <w:tc>
          <w:tcPr>
            <w:tcW w:w="1800" w:type="dxa"/>
            <w:vAlign w:val="top"/>
          </w:tcPr>
          <w:p>
            <w:pPr>
              <w:spacing w:before="0" w:after="20" w:line="240" w:lineRule="auto"/>
            </w:pPr>
            <w:r>
              <w:rPr>
                <w:rFonts w:ascii="Calibri" w:cs="Calibri" w:eastAsia="Calibri" w:hAnsi="Calibri"/>
                <w:sz w:val="16"/>
                <w:szCs w:val="16"/>
              </w:rPr>
              <w:t xml:space="preserve">updated 07/15/2026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SR</w:t>
            </w:r>
          </w:p>
        </w:tc>
        <w:tc>
          <w:tcPr>
            <w:tcW w:w="6840" w:type="dxa"/>
            <w:vAlign w:val="top"/>
          </w:tcPr>
          <w:p>
            <w:pPr>
              <w:spacing w:before="0" w:after="20" w:line="240" w:lineRule="auto"/>
            </w:pPr>
            <w:r>
              <w:rPr>
                <w:rFonts w:ascii="Calibri" w:cs="Calibri" w:eastAsia="Calibri" w:hAnsi="Calibri"/>
                <w:sz w:val="16"/>
                <w:szCs w:val="16"/>
              </w:rPr>
              <w:t xml:space="preserve">Thelbridge — Submittal Register, Package A</w:t>
            </w:r>
          </w:p>
        </w:tc>
        <w:tc>
          <w:tcPr>
            <w:tcW w:w="1800" w:type="dxa"/>
            <w:vAlign w:val="top"/>
          </w:tcPr>
          <w:p>
            <w:pPr>
              <w:spacing w:before="0" w:after="20" w:line="240" w:lineRule="auto"/>
            </w:pPr>
            <w:r>
              <w:rPr>
                <w:rFonts w:ascii="Calibri" w:cs="Calibri" w:eastAsia="Calibri" w:hAnsi="Calibri"/>
                <w:sz w:val="16"/>
                <w:szCs w:val="16"/>
              </w:rPr>
              <w:t xml:space="preserve">updated 07/13/2026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RFI</w:t>
            </w:r>
          </w:p>
        </w:tc>
        <w:tc>
          <w:tcPr>
            <w:tcW w:w="6840" w:type="dxa"/>
            <w:vAlign w:val="top"/>
          </w:tcPr>
          <w:p>
            <w:pPr>
              <w:spacing w:before="0" w:after="20" w:line="240" w:lineRule="auto"/>
            </w:pPr>
            <w:r>
              <w:rPr>
                <w:rFonts w:ascii="Calibri" w:cs="Calibri" w:eastAsia="Calibri" w:hAnsi="Calibri"/>
                <w:sz w:val="16"/>
                <w:szCs w:val="16"/>
              </w:rPr>
              <w:t xml:space="preserve">Thelbridge — RFI Log, Package A (RFI 048 and RFI 058, raised by Kesterline)</w:t>
            </w:r>
          </w:p>
        </w:tc>
        <w:tc>
          <w:tcPr>
            <w:tcW w:w="1800" w:type="dxa"/>
            <w:vAlign w:val="top"/>
          </w:tcPr>
          <w:p>
            <w:pPr>
              <w:spacing w:before="0" w:after="20" w:line="240" w:lineRule="auto"/>
            </w:pPr>
            <w:r>
              <w:rPr>
                <w:rFonts w:ascii="Calibri" w:cs="Calibri" w:eastAsia="Calibri" w:hAnsi="Calibri"/>
                <w:sz w:val="16"/>
                <w:szCs w:val="16"/>
              </w:rPr>
              <w:t xml:space="preserve">updated 07/13/2026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MIN26</w:t>
            </w:r>
          </w:p>
        </w:tc>
        <w:tc>
          <w:tcPr>
            <w:tcW w:w="6840" w:type="dxa"/>
            <w:vAlign w:val="top"/>
          </w:tcPr>
          <w:p>
            <w:pPr>
              <w:spacing w:before="0" w:after="20" w:line="240" w:lineRule="auto"/>
            </w:pPr>
            <w:r>
              <w:rPr>
                <w:rFonts w:ascii="Calibri" w:cs="Calibri" w:eastAsia="Calibri" w:hAnsi="Calibri"/>
                <w:sz w:val="16"/>
                <w:szCs w:val="16"/>
              </w:rPr>
              <w:t xml:space="preserve">Thelbridge — Progress Meeting Minutes No. 26</w:t>
            </w:r>
          </w:p>
        </w:tc>
        <w:tc>
          <w:tcPr>
            <w:tcW w:w="1800" w:type="dxa"/>
            <w:vAlign w:val="top"/>
          </w:tcPr>
          <w:p>
            <w:pPr>
              <w:spacing w:before="0" w:after="20" w:line="240" w:lineRule="auto"/>
            </w:pPr>
            <w:r>
              <w:rPr>
                <w:rFonts w:ascii="Calibri" w:cs="Calibri" w:eastAsia="Calibri" w:hAnsi="Calibri"/>
                <w:sz w:val="16"/>
                <w:szCs w:val="16"/>
              </w:rPr>
              <w:t xml:space="preserve">07/09/2026 (issued 07/10/2026)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MPR14</w:t>
            </w:r>
          </w:p>
        </w:tc>
        <w:tc>
          <w:tcPr>
            <w:tcW w:w="6840" w:type="dxa"/>
            <w:vAlign w:val="top"/>
          </w:tcPr>
          <w:p>
            <w:pPr>
              <w:spacing w:before="0" w:after="20" w:line="240" w:lineRule="auto"/>
            </w:pPr>
            <w:r>
              <w:rPr>
                <w:rFonts w:ascii="Calibri" w:cs="Calibri" w:eastAsia="Calibri" w:hAnsi="Calibri"/>
                <w:sz w:val="16"/>
                <w:szCs w:val="16"/>
              </w:rPr>
              <w:t xml:space="preserve">Thelbridge — Monthly Progress Report No. 14, June 2026</w:t>
            </w:r>
          </w:p>
        </w:tc>
        <w:tc>
          <w:tcPr>
            <w:tcW w:w="1800" w:type="dxa"/>
            <w:vAlign w:val="top"/>
          </w:tcPr>
          <w:p>
            <w:pPr>
              <w:spacing w:before="0" w:after="20" w:line="240" w:lineRule="auto"/>
            </w:pPr>
            <w:r>
              <w:rPr>
                <w:rFonts w:ascii="Calibri" w:cs="Calibri" w:eastAsia="Calibri" w:hAnsi="Calibri"/>
                <w:sz w:val="16"/>
                <w:szCs w:val="16"/>
              </w:rPr>
              <w:t xml:space="preserve">07/06/2026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OD</w:t>
            </w:r>
          </w:p>
        </w:tc>
        <w:tc>
          <w:tcPr>
            <w:tcW w:w="6840" w:type="dxa"/>
            <w:vAlign w:val="top"/>
          </w:tcPr>
          <w:p>
            <w:pPr>
              <w:spacing w:before="0" w:after="20" w:line="240" w:lineRule="auto"/>
            </w:pPr>
            <w:r>
              <w:rPr>
                <w:rFonts w:ascii="Calibri" w:cs="Calibri" w:eastAsia="Calibri" w:hAnsi="Calibri"/>
                <w:sz w:val="16"/>
                <w:szCs w:val="16"/>
              </w:rPr>
              <w:t xml:space="preserve">Thornbury State University — R. Marlbeck e-mail, “Written Verification Required Before Permanent Work”</w:t>
            </w:r>
          </w:p>
        </w:tc>
        <w:tc>
          <w:tcPr>
            <w:tcW w:w="1800" w:type="dxa"/>
            <w:vAlign w:val="top"/>
          </w:tcPr>
          <w:p>
            <w:pPr>
              <w:spacing w:before="0" w:after="20" w:line="240" w:lineRule="auto"/>
            </w:pPr>
            <w:r>
              <w:rPr>
                <w:rFonts w:ascii="Calibri" w:cs="Calibri" w:eastAsia="Calibri" w:hAnsi="Calibri"/>
                <w:sz w:val="16"/>
                <w:szCs w:val="16"/>
              </w:rPr>
              <w:t xml:space="preserve">07/06/2026</w:t>
            </w:r>
          </w:p>
        </w:tc>
      </w:tr>
      <w:tr>
        <w:trPr>
          <w:cantSplit/>
        </w:trPr>
        <w:tc>
          <w:tcPr>
            <w:tcW w:w="1080" w:type="dxa"/>
            <w:vAlign w:val="top"/>
          </w:tcPr>
          <w:p>
            <w:pPr>
              <w:spacing w:before="0" w:after="20" w:line="240" w:lineRule="auto"/>
            </w:pPr>
            <w:r>
              <w:rPr>
                <w:rFonts w:ascii="Calibri" w:cs="Calibri" w:eastAsia="Calibri" w:hAnsi="Calibri"/>
                <w:b/>
                <w:bCs/>
                <w:sz w:val="16"/>
                <w:szCs w:val="16"/>
              </w:rPr>
              <w:t xml:space="preserve">DIR</w:t>
            </w:r>
          </w:p>
        </w:tc>
        <w:tc>
          <w:tcPr>
            <w:tcW w:w="6840" w:type="dxa"/>
            <w:vAlign w:val="top"/>
          </w:tcPr>
          <w:p>
            <w:pPr>
              <w:spacing w:before="0" w:after="20" w:line="240" w:lineRule="auto"/>
            </w:pPr>
            <w:r>
              <w:rPr>
                <w:rFonts w:ascii="Calibri" w:cs="Calibri" w:eastAsia="Calibri" w:hAnsi="Calibri"/>
                <w:sz w:val="16"/>
                <w:szCs w:val="16"/>
              </w:rPr>
              <w:t xml:space="preserve">Thelbridge — Project Directory and Distribution List, Rev.4</w:t>
            </w:r>
          </w:p>
        </w:tc>
        <w:tc>
          <w:tcPr>
            <w:tcW w:w="1800" w:type="dxa"/>
            <w:vAlign w:val="top"/>
          </w:tcPr>
          <w:p>
            <w:pPr>
              <w:spacing w:before="0" w:after="20" w:line="240" w:lineRule="auto"/>
            </w:pPr>
            <w:r>
              <w:rPr>
                <w:rFonts w:ascii="Calibri" w:cs="Calibri" w:eastAsia="Calibri" w:hAnsi="Calibri"/>
                <w:sz w:val="16"/>
                <w:szCs w:val="16"/>
              </w:rPr>
              <w:t xml:space="preserve">06/30/2026</w:t>
            </w:r>
          </w:p>
        </w:tc>
      </w:tr>
    </w:tbl>
    <w:p>
      <w:pPr>
        <w:spacing w:before="80" w:after="100" w:line="252" w:lineRule="auto"/>
      </w:pPr>
      <w:r>
        <w:rPr>
          <w:rFonts w:ascii="Calibri" w:cs="Calibri" w:eastAsia="Calibri" w:hAnsi="Calibri"/>
          <w:sz w:val="18"/>
          <w:szCs w:val="18"/>
        </w:rPr>
        <w:t xml:space="preserve">Specification Sections 31 50 00 (Excavation Support and Protection) and 31 23 19 (Dewatering), to which R1 and DW-A refer, were not in the file available for this review. The determination below does not depend on them.</w:t>
      </w:r>
    </w:p>
    <w:p>
      <w:pPr>
        <w:spacing w:after="60" w:before="200"/>
      </w:pPr>
      <w:r>
        <w:rPr>
          <w:rFonts w:ascii="Calibri" w:cs="Calibri" w:eastAsia="Calibri" w:hAnsi="Calibri"/>
          <w:b/>
          <w:bCs/>
          <w:sz w:val="21"/>
          <w:szCs w:val="21"/>
        </w:rPr>
        <w:t xml:space="preserve">3.  BASIS OF REVIEW</w:t>
      </w:r>
    </w:p>
    <w:p>
      <w:pPr>
        <w:keepNext/>
        <w:spacing w:before="160" w:after="60"/>
      </w:pPr>
      <w:r>
        <w:rPr>
          <w:rFonts w:ascii="Calibri" w:cs="Calibri" w:eastAsia="Calibri" w:hAnsi="Calibri"/>
          <w:b/>
          <w:bCs/>
          <w:sz w:val="20"/>
          <w:szCs w:val="20"/>
        </w:rPr>
        <w:t xml:space="preserve">3.1  Object and nature of the review</w:t>
      </w:r>
    </w:p>
    <w:p>
      <w:pPr>
        <w:spacing w:before="0" w:after="100" w:line="252" w:lineRule="auto"/>
      </w:pPr>
      <w:r>
        <w:rPr>
          <w:rFonts w:ascii="Calibri" w:cs="Calibri" w:eastAsia="Calibri" w:hAnsi="Calibri"/>
          <w:sz w:val="20"/>
          <w:szCs w:val="20"/>
        </w:rPr>
        <w:t xml:space="preserve">The object of review is the current revision as Kesterline asks it to be read: R1 as modified by R2, with R2’s Supersession Statement (R2 p.1) applied literally. Thelbridge verifies the delegated design against the project record. It does not design, and design responsibility remains with Kesterline (R1 §1.5, pp.3–4) and, for the permanent structure, with the EOR. Dispositions follow the register convention: VERIFIED, VERIFIED WITH COMMENT or NOT VERIFIED (VR, COVER). Under the Owner’s directive, no permanent work proceeds until Thelbridge has issued a written verification (OD). The plant-room excavation start is conditioned on closure of Items 048 and 049 and the groundwater component of Item 056 (VR, SCHEDULE item 4; MIN26 item 26.5.2).</w:t>
      </w:r>
    </w:p>
    <w:p>
      <w:pPr>
        <w:keepNext/>
        <w:spacing w:before="160" w:after="60"/>
      </w:pPr>
      <w:r>
        <w:rPr>
          <w:rFonts w:ascii="Calibri" w:cs="Calibri" w:eastAsia="Calibri" w:hAnsi="Calibri"/>
          <w:b/>
          <w:bCs/>
          <w:sz w:val="20"/>
          <w:szCs w:val="20"/>
        </w:rPr>
        <w:t xml:space="preserve">3.2  Governing requirements</w:t>
      </w:r>
    </w:p>
    <w:p>
      <w:pPr>
        <w:spacing w:before="0" w:after="60" w:line="252" w:lineRule="auto"/>
        <w:ind w:left="560" w:hanging="400"/>
      </w:pPr>
      <w:r>
        <w:rPr>
          <w:rFonts w:ascii="Calibri" w:cs="Calibri" w:eastAsia="Calibri" w:hAnsi="Calibri"/>
          <w:sz w:val="20"/>
          <w:szCs w:val="20"/>
        </w:rPr>
        <w:t xml:space="preserve">(a)</w:t>
        <w:tab/>
      </w:r>
      <w:r>
        <w:rPr>
          <w:rFonts w:ascii="Calibri" w:cs="Calibri" w:eastAsia="Calibri" w:hAnsi="Calibri"/>
          <w:b/>
          <w:bCs/>
          <w:sz w:val="20"/>
          <w:szCs w:val="20"/>
        </w:rPr>
        <w:t xml:space="preserve">GIR</w:t>
      </w:r>
      <w:r>
        <w:rPr>
          <w:rFonts w:ascii="Calibri" w:cs="Calibri" w:eastAsia="Calibri" w:hAnsi="Calibri"/>
          <w:sz w:val="20"/>
          <w:szCs w:val="20"/>
        </w:rPr>
        <w:t xml:space="preserve">, the controlling document for all soil parameters (DBM §9, p.9):</w:t>
      </w:r>
    </w:p>
    <w:p>
      <w:pPr>
        <w:numPr>
          <w:ilvl w:val="0"/>
          <w:numId w:val="1"/>
        </w:numPr>
        <w:spacing w:before="0" w:after="50" w:line="252" w:lineRule="auto"/>
        <w:ind w:left="360" w:hanging="220"/>
      </w:pPr>
      <w:r>
        <w:rPr>
          <w:rFonts w:ascii="Calibri" w:cs="Calibri" w:eastAsia="Calibri" w:hAnsi="Calibri"/>
          <w:sz w:val="20"/>
          <w:szCs w:val="20"/>
        </w:rPr>
        <w:t xml:space="preserve">Table 6-1, stratigraphy and unit weights (p.12).</w:t>
      </w:r>
    </w:p>
    <w:p>
      <w:pPr>
        <w:numPr>
          <w:ilvl w:val="0"/>
          <w:numId w:val="1"/>
        </w:numPr>
        <w:spacing w:before="0" w:after="50" w:line="252" w:lineRule="auto"/>
        <w:ind w:left="360" w:hanging="220"/>
      </w:pPr>
      <w:r>
        <w:rPr>
          <w:rFonts w:ascii="Calibri" w:cs="Calibri" w:eastAsia="Calibri" w:hAnsi="Calibri"/>
          <w:sz w:val="20"/>
          <w:szCs w:val="20"/>
        </w:rPr>
        <w:t xml:space="preserve">§6.3, CL clay s</w:t>
      </w:r>
      <w:r>
        <w:rPr>
          <w:rFonts w:ascii="Calibri" w:cs="Calibri" w:eastAsia="Calibri" w:hAnsi="Calibri"/>
          <w:sz w:val="20"/>
          <w:szCs w:val="20"/>
          <w:vertAlign w:val="subscript"/>
        </w:rPr>
        <w:t xml:space="preserve">u</w:t>
      </w:r>
      <w:r>
        <w:rPr>
          <w:rFonts w:ascii="Calibri" w:cs="Calibri" w:eastAsia="Calibri" w:hAnsi="Calibri"/>
          <w:sz w:val="20"/>
          <w:szCs w:val="20"/>
        </w:rPr>
        <w:t xml:space="preserve"> = 900 to 1,100 psf from field vane and UU triaxial tests (p.13).</w:t>
      </w:r>
    </w:p>
    <w:p>
      <w:pPr>
        <w:numPr>
          <w:ilvl w:val="0"/>
          <w:numId w:val="1"/>
        </w:numPr>
        <w:spacing w:before="0" w:after="50" w:line="252" w:lineRule="auto"/>
        <w:ind w:left="360" w:hanging="220"/>
      </w:pPr>
      <w:r>
        <w:rPr>
          <w:rFonts w:ascii="Calibri" w:cs="Calibri" w:eastAsia="Calibri" w:hAnsi="Calibri"/>
          <w:sz w:val="20"/>
          <w:szCs w:val="20"/>
        </w:rPr>
        <w:t xml:space="preserve">§7.1, design water table El. 742.0, to be used for temporary sheeting and dewatering design (p.13).</w:t>
      </w:r>
    </w:p>
    <w:p>
      <w:pPr>
        <w:numPr>
          <w:ilvl w:val="0"/>
          <w:numId w:val="1"/>
        </w:numPr>
        <w:spacing w:before="0" w:after="50" w:line="252" w:lineRule="auto"/>
        <w:ind w:left="360" w:hanging="220"/>
      </w:pPr>
      <w:r>
        <w:rPr>
          <w:rFonts w:ascii="Calibri" w:cs="Calibri" w:eastAsia="Calibri" w:hAnsi="Calibri"/>
          <w:sz w:val="20"/>
          <w:szCs w:val="20"/>
        </w:rPr>
        <w:t xml:space="preserve">§7.2, confined piezometric head El. 738.0 (p.13).</w:t>
      </w:r>
    </w:p>
    <w:p>
      <w:pPr>
        <w:numPr>
          <w:ilvl w:val="0"/>
          <w:numId w:val="1"/>
        </w:numPr>
        <w:spacing w:before="0" w:after="50" w:line="252" w:lineRule="auto"/>
        <w:ind w:left="360" w:hanging="220"/>
      </w:pPr>
      <w:r>
        <w:rPr>
          <w:rFonts w:ascii="Calibri" w:cs="Calibri" w:eastAsia="Calibri" w:hAnsi="Calibri"/>
          <w:sz w:val="20"/>
          <w:szCs w:val="20"/>
        </w:rPr>
        <w:t xml:space="preserve">§8.2, a rigorous base-heave analysis with an appropriate factor of safety; sheeting that extends into the clay must be designed for the differential head across it (pp.15–16).</w:t>
      </w:r>
    </w:p>
    <w:p>
      <w:pPr>
        <w:numPr>
          <w:ilvl w:val="0"/>
          <w:numId w:val="1"/>
        </w:numPr>
        <w:spacing w:before="0" w:after="50" w:line="252" w:lineRule="auto"/>
        <w:ind w:left="360" w:hanging="220"/>
      </w:pPr>
      <w:r>
        <w:rPr>
          <w:rFonts w:ascii="Calibri" w:cs="Calibri" w:eastAsia="Calibri" w:hAnsi="Calibri"/>
          <w:sz w:val="20"/>
          <w:szCs w:val="20"/>
        </w:rPr>
        <w:t xml:space="preserve">§9.4, the dewatering plan and the shoring design must together demonstrate an adequate factor of safety against base heave throughout the excavation, using El. 738.0 (p.18).</w:t>
      </w:r>
    </w:p>
    <w:p>
      <w:pPr>
        <w:numPr>
          <w:ilvl w:val="0"/>
          <w:numId w:val="1"/>
        </w:numPr>
        <w:spacing w:before="0" w:after="50" w:line="252" w:lineRule="auto"/>
        <w:ind w:left="360" w:hanging="220"/>
      </w:pPr>
      <w:r>
        <w:rPr>
          <w:rFonts w:ascii="Calibri" w:cs="Calibri" w:eastAsia="Calibri" w:hAnsi="Calibri"/>
          <w:sz w:val="20"/>
          <w:szCs w:val="20"/>
        </w:rPr>
        <w:t xml:space="preserve">§9.6, every penetration of the clay must be sealed at the aquitard (p.19).</w:t>
      </w:r>
    </w:p>
    <w:p>
      <w:pPr>
        <w:spacing w:before="0" w:after="60" w:line="252" w:lineRule="auto"/>
        <w:ind w:left="560" w:hanging="400"/>
      </w:pPr>
      <w:r>
        <w:rPr>
          <w:rFonts w:ascii="Calibri" w:cs="Calibri" w:eastAsia="Calibri" w:hAnsi="Calibri"/>
          <w:sz w:val="20"/>
          <w:szCs w:val="20"/>
        </w:rPr>
        <w:t xml:space="preserve">(b)</w:t>
        <w:tab/>
      </w:r>
      <w:r>
        <w:rPr>
          <w:rFonts w:ascii="Calibri" w:cs="Calibri" w:eastAsia="Calibri" w:hAnsi="Calibri"/>
          <w:b/>
          <w:bCs/>
          <w:sz w:val="20"/>
          <w:szCs w:val="20"/>
        </w:rPr>
        <w:t xml:space="preserve">DBM §6.2</w:t>
      </w:r>
      <w:r>
        <w:rPr>
          <w:rFonts w:ascii="Calibri" w:cs="Calibri" w:eastAsia="Calibri" w:hAnsi="Calibri"/>
          <w:sz w:val="20"/>
          <w:szCs w:val="20"/>
        </w:rPr>
        <w:t xml:space="preserve"> (p.6): a permanent load resisting uplift is taken at 0.9D with an explicit factor of safety, minimum 1.5 for sliding and base heave. DBM §3 site parameters (p.2).</w:t>
      </w:r>
    </w:p>
    <w:p>
      <w:pPr>
        <w:spacing w:before="0" w:after="60" w:line="252" w:lineRule="auto"/>
        <w:ind w:left="560" w:hanging="400"/>
      </w:pPr>
      <w:r>
        <w:rPr>
          <w:rFonts w:ascii="Calibri" w:cs="Calibri" w:eastAsia="Calibri" w:hAnsi="Calibri"/>
          <w:sz w:val="20"/>
          <w:szCs w:val="20"/>
        </w:rPr>
        <w:t xml:space="preserve">(c)</w:t>
        <w:tab/>
      </w:r>
      <w:r>
        <w:rPr>
          <w:rFonts w:ascii="Calibri" w:cs="Calibri" w:eastAsia="Calibri" w:hAnsi="Calibri"/>
          <w:b/>
          <w:bCs/>
          <w:sz w:val="20"/>
          <w:szCs w:val="20"/>
        </w:rPr>
        <w:t xml:space="preserve">SPEC</w:t>
      </w:r>
      <w:r>
        <w:rPr>
          <w:rFonts w:ascii="Calibri" w:cs="Calibri" w:eastAsia="Calibri" w:hAnsi="Calibri"/>
          <w:sz w:val="20"/>
          <w:szCs w:val="20"/>
        </w:rPr>
        <w:t xml:space="preserve">: Art. 1.1.B.2 places delegated shoring design under Section 31 50 00 (p.1). Art. 3.6 limits settlement of the completed foundation system to 1.0 in total and 0.5 in differential over 30 ft. Where predicted or monitored settlement exceeds these limits, the EOR is to be notified and no additional load applied until a written disposition is issued (p.5).</w:t>
      </w:r>
    </w:p>
    <w:p>
      <w:pPr>
        <w:spacing w:before="0" w:after="60" w:line="252" w:lineRule="auto"/>
        <w:ind w:left="560" w:hanging="400"/>
      </w:pPr>
      <w:r>
        <w:rPr>
          <w:rFonts w:ascii="Calibri" w:cs="Calibri" w:eastAsia="Calibri" w:hAnsi="Calibri"/>
          <w:sz w:val="20"/>
          <w:szCs w:val="20"/>
        </w:rPr>
        <w:t xml:space="preserve">(d)</w:t>
        <w:tab/>
      </w:r>
      <w:r>
        <w:rPr>
          <w:rFonts w:ascii="Calibri" w:cs="Calibri" w:eastAsia="Calibri" w:hAnsi="Calibri"/>
          <w:b/>
          <w:bCs/>
          <w:sz w:val="20"/>
          <w:szCs w:val="20"/>
        </w:rPr>
        <w:t xml:space="preserve">DW-A</w:t>
      </w:r>
      <w:r>
        <w:rPr>
          <w:rFonts w:ascii="Calibri" w:cs="Calibri" w:eastAsia="Calibri" w:hAnsi="Calibri"/>
          <w:sz w:val="20"/>
          <w:szCs w:val="20"/>
        </w:rPr>
        <w:t xml:space="preserve"> §1.2 (p.3) and §4.1–4.2 (p.7): the Block A plan does not extend to Block B. Any excavation below about El. 730.0, or approaching the confined aquifer, requires a separately sealed dewatering and groundwater control analysis. DW-A may not be relied on for Block B shoring or for any calculation that treats the excavation as dry or relieved.</w:t>
      </w:r>
    </w:p>
    <w:p>
      <w:pPr>
        <w:spacing w:before="0" w:after="60" w:line="252" w:lineRule="auto"/>
        <w:ind w:left="560" w:hanging="400"/>
      </w:pPr>
      <w:r>
        <w:rPr>
          <w:rFonts w:ascii="Calibri" w:cs="Calibri" w:eastAsia="Calibri" w:hAnsi="Calibri"/>
          <w:sz w:val="20"/>
          <w:szCs w:val="20"/>
        </w:rPr>
        <w:t xml:space="preserve">(e)</w:t>
        <w:tab/>
        <w:t xml:space="preserve">Where the project documents are silent, the designer’s own criteria: FS 1.5 on toe moment and on bending (R2.4, R2.6), H/200 deflection (R1 §12.3, p.18) and the R1 §13.2 action levels (p.19).</w:t>
      </w:r>
    </w:p>
    <w:p>
      <w:pPr>
        <w:keepNext/>
        <w:spacing w:before="160" w:after="60"/>
      </w:pPr>
      <w:r>
        <w:rPr>
          <w:rFonts w:ascii="Calibri" w:cs="Calibri" w:eastAsia="Calibri" w:hAnsi="Calibri"/>
          <w:b/>
          <w:bCs/>
          <w:sz w:val="20"/>
          <w:szCs w:val="20"/>
        </w:rPr>
        <w:t xml:space="preserve">3.3  Logged conditions applied</w:t>
      </w:r>
    </w:p>
    <w:p>
      <w:pPr>
        <w:numPr>
          <w:ilvl w:val="0"/>
          <w:numId w:val="1"/>
        </w:numPr>
        <w:spacing w:before="0" w:after="50" w:line="252" w:lineRule="auto"/>
        <w:ind w:left="360" w:hanging="220"/>
      </w:pPr>
      <w:r>
        <w:rPr>
          <w:rFonts w:ascii="Calibri" w:cs="Calibri" w:eastAsia="Calibri" w:hAnsi="Calibri"/>
          <w:sz w:val="20"/>
          <w:szCs w:val="20"/>
        </w:rPr>
        <w:t xml:space="preserve">Shallow water table El. 742.0 (all readings El. 741.6–742.4) and confined head El. 738.0 (all readings El. 737.7–738.3) over 19 rounds to 06/28/2026; the deep piezometers did not respond to fill placement, pile driving or Block A dewatering (BL Table 4-1, pp.13–14; FOR §3.3 p.3, §4.3 and §5.2 p.4).</w:t>
      </w:r>
    </w:p>
    <w:p>
      <w:pPr>
        <w:numPr>
          <w:ilvl w:val="0"/>
          <w:numId w:val="1"/>
        </w:numPr>
        <w:spacing w:before="0" w:after="50" w:line="252" w:lineRule="auto"/>
        <w:ind w:left="360" w:hanging="220"/>
      </w:pPr>
      <w:r>
        <w:rPr>
          <w:rFonts w:ascii="Calibri" w:cs="Calibri" w:eastAsia="Calibri" w:hAnsi="Calibri"/>
          <w:sz w:val="20"/>
          <w:szCs w:val="20"/>
        </w:rPr>
        <w:t xml:space="preserve">Clay from about El. 738.0 to El. 720.0 in both borings inside the pit footprint, with artesian rise to El. 738.0–738.2 on entering the SW-GW and SPT refusal (N ≥ 50 per 6 in) in it (BL: B-04 p.7, B-06 p.9).</w:t>
      </w:r>
    </w:p>
    <w:p>
      <w:pPr>
        <w:numPr>
          <w:ilvl w:val="0"/>
          <w:numId w:val="1"/>
        </w:numPr>
        <w:spacing w:before="0" w:after="50" w:line="252" w:lineRule="auto"/>
        <w:ind w:left="360" w:hanging="220"/>
      </w:pPr>
      <w:r>
        <w:rPr>
          <w:rFonts w:ascii="Calibri" w:cs="Calibri" w:eastAsia="Calibri" w:hAnsi="Calibri"/>
          <w:sz w:val="20"/>
          <w:szCs w:val="20"/>
        </w:rPr>
        <w:t xml:space="preserve">Clay C</w:t>
      </w:r>
      <w:r>
        <w:rPr>
          <w:rFonts w:ascii="Calibri" w:cs="Calibri" w:eastAsia="Calibri" w:hAnsi="Calibri"/>
          <w:sz w:val="20"/>
          <w:szCs w:val="20"/>
          <w:vertAlign w:val="subscript"/>
        </w:rPr>
        <w:t xml:space="preserve">c</w:t>
      </w:r>
      <w:r>
        <w:rPr>
          <w:rFonts w:ascii="Calibri" w:cs="Calibri" w:eastAsia="Calibri" w:hAnsi="Calibri"/>
          <w:sz w:val="20"/>
          <w:szCs w:val="20"/>
        </w:rPr>
        <w:t xml:space="preserve"> 0.28, e</w:t>
      </w:r>
      <w:r>
        <w:rPr>
          <w:rFonts w:ascii="Calibri" w:cs="Calibri" w:eastAsia="Calibri" w:hAnsi="Calibri"/>
          <w:sz w:val="20"/>
          <w:szCs w:val="20"/>
          <w:vertAlign w:val="subscript"/>
        </w:rPr>
        <w:t xml:space="preserve">0</w:t>
      </w:r>
      <w:r>
        <w:rPr>
          <w:rFonts w:ascii="Calibri" w:cs="Calibri" w:eastAsia="Calibri" w:hAnsi="Calibri"/>
          <w:sz w:val="20"/>
          <w:szCs w:val="20"/>
        </w:rPr>
        <w:t xml:space="preserve"> 0.92,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1,850 psf, σ′</w:t>
      </w:r>
      <w:r>
        <w:rPr>
          <w:rFonts w:ascii="Calibri" w:cs="Calibri" w:eastAsia="Calibri" w:hAnsi="Calibri"/>
          <w:sz w:val="20"/>
          <w:szCs w:val="20"/>
          <w:vertAlign w:val="subscript"/>
        </w:rPr>
        <w:t xml:space="preserve">p</w:t>
      </w:r>
      <w:r>
        <w:rPr>
          <w:rFonts w:ascii="Calibri" w:cs="Calibri" w:eastAsia="Calibri" w:hAnsi="Calibri"/>
          <w:sz w:val="20"/>
          <w:szCs w:val="20"/>
        </w:rPr>
        <w:t xml:space="preserve"> 1,900 psf (GIR Table 5-1, p.11).</w:t>
      </w:r>
    </w:p>
    <w:p>
      <w:pPr>
        <w:numPr>
          <w:ilvl w:val="0"/>
          <w:numId w:val="1"/>
        </w:numPr>
        <w:spacing w:before="0" w:after="50" w:line="252" w:lineRule="auto"/>
        <w:ind w:left="360" w:hanging="220"/>
      </w:pPr>
      <w:r>
        <w:rPr>
          <w:rFonts w:ascii="Calibri" w:cs="Calibri" w:eastAsia="Calibri" w:hAnsi="Calibri"/>
          <w:sz w:val="20"/>
          <w:szCs w:val="20"/>
        </w:rPr>
        <w:t xml:space="preserve">c</w:t>
      </w:r>
      <w:r>
        <w:rPr>
          <w:rFonts w:ascii="Calibri" w:cs="Calibri" w:eastAsia="Calibri" w:hAnsi="Calibri"/>
          <w:sz w:val="20"/>
          <w:szCs w:val="20"/>
          <w:vertAlign w:val="subscript"/>
        </w:rPr>
        <w:t xml:space="preserve">v</w:t>
      </w:r>
      <w:r>
        <w:rPr>
          <w:rFonts w:ascii="Calibri" w:cs="Calibri" w:eastAsia="Calibri" w:hAnsi="Calibri"/>
          <w:sz w:val="20"/>
          <w:szCs w:val="20"/>
        </w:rPr>
        <w:t xml:space="preserve"> ≈ 4–5 × 10</w:t>
      </w:r>
      <w:r>
        <w:rPr>
          <w:rFonts w:ascii="Calibri" w:cs="Calibri" w:eastAsia="Calibri" w:hAnsi="Calibri"/>
          <w:sz w:val="20"/>
          <w:szCs w:val="20"/>
          <w:vertAlign w:val="superscript"/>
        </w:rPr>
        <w:t xml:space="preserve">−4</w:t>
      </w:r>
      <w:r>
        <w:rPr>
          <w:rFonts w:ascii="Calibri" w:cs="Calibri" w:eastAsia="Calibri" w:hAnsi="Calibri"/>
          <w:sz w:val="20"/>
          <w:szCs w:val="20"/>
        </w:rPr>
        <w:t xml:space="preserve"> cm²/s in the virgin range and 3.2–3.8 × 10</w:t>
      </w:r>
      <w:r>
        <w:rPr>
          <w:rFonts w:ascii="Calibri" w:cs="Calibri" w:eastAsia="Calibri" w:hAnsi="Calibri"/>
          <w:sz w:val="20"/>
          <w:szCs w:val="20"/>
          <w:vertAlign w:val="superscript"/>
        </w:rPr>
        <w:t xml:space="preserve">−3</w:t>
      </w:r>
      <w:r>
        <w:rPr>
          <w:rFonts w:ascii="Calibri" w:cs="Calibri" w:eastAsia="Calibri" w:hAnsi="Calibri"/>
          <w:sz w:val="20"/>
          <w:szCs w:val="20"/>
        </w:rPr>
        <w:t xml:space="preserve"> cm²/s in the recompression range (CON, sheets B-06 U3 and B-08 U2).</w:t>
      </w:r>
    </w:p>
    <w:p>
      <w:pPr>
        <w:keepNext/>
        <w:spacing w:before="160" w:after="60"/>
      </w:pPr>
      <w:r>
        <w:rPr>
          <w:rFonts w:ascii="Calibri" w:cs="Calibri" w:eastAsia="Calibri" w:hAnsi="Calibri"/>
          <w:b/>
          <w:bCs/>
          <w:sz w:val="20"/>
          <w:szCs w:val="20"/>
        </w:rPr>
        <w:t xml:space="preserve">3.4  Method</w:t>
      </w:r>
    </w:p>
    <w:p>
      <w:pPr>
        <w:spacing w:before="0" w:after="100" w:line="252" w:lineRule="auto"/>
      </w:pPr>
      <w:r>
        <w:rPr>
          <w:rFonts w:ascii="Calibri" w:cs="Calibri" w:eastAsia="Calibri" w:hAnsi="Calibri"/>
          <w:sz w:val="20"/>
          <w:szCs w:val="20"/>
        </w:rPr>
        <w:t xml:space="preserve">For each check I (1) reproduced the arithmetic; (2) tested the inputs against the logged conditions, the GIR and the DBM; (3) tested the assumptions (drainage condition, geometry, loss-of-pumping case) against the record; (4) tested the composite document for internal consistency; and (5) tested the design against the permanent work shown in the record. The calculations in Section 4 are check calculations, not a redesign.</w:t>
      </w:r>
    </w:p>
    <w:p>
      <w:pPr>
        <w:spacing w:after="60" w:before="200"/>
      </w:pPr>
      <w:r>
        <w:rPr>
          <w:rFonts w:ascii="Calibri" w:cs="Calibri" w:eastAsia="Calibri" w:hAnsi="Calibri"/>
          <w:b/>
          <w:bCs/>
          <w:sz w:val="21"/>
          <w:szCs w:val="21"/>
        </w:rPr>
        <w:t xml:space="preserve">4.  FINDINGS</w:t>
      </w:r>
    </w:p>
    <w:p>
      <w:pPr>
        <w:keepNext/>
        <w:spacing w:before="160" w:after="60"/>
      </w:pPr>
      <w:r>
        <w:rPr>
          <w:rFonts w:ascii="Calibri" w:cs="Calibri" w:eastAsia="Calibri" w:hAnsi="Calibri"/>
          <w:b/>
          <w:bCs/>
          <w:sz w:val="20"/>
          <w:szCs w:val="20"/>
        </w:rPr>
        <w:t xml:space="preserve">4.1  Groundwater and stratigraphy inputs agree with the logged record</w:t>
      </w:r>
    </w:p>
    <w:p>
      <w:pPr>
        <w:spacing w:before="0" w:after="100" w:line="252" w:lineRule="auto"/>
      </w:pPr>
      <w:r>
        <w:rPr>
          <w:rFonts w:ascii="Calibri" w:cs="Calibri" w:eastAsia="Calibri" w:hAnsi="Calibri"/>
          <w:sz w:val="20"/>
          <w:szCs w:val="20"/>
        </w:rPr>
        <w:t xml:space="preserve">R2 withdraws the R1 dry-excavation assumption and adopts: the design water table El. 742.0 behind the wall; the clay aquitard from El. 738.0 to El. 720.0, leaving a 6.0-ft plug below subgrade El. 726.0; the aquifer top at El. 720.0; and an unpumped confined head of El. 738.0. These agree with the GIR, with borings B-04 and B-06 inside the pit footprint (base of clay El. 720.0; artesian rise to El. 738.2 and El. 738.0) and with all 19 monitoring rounds through 06/28/2026. Withdrawing the dry assumption was necessary, since DW-A never covered Block B. Unit weights of 120 pcf (CL) and 130 pcf (SW-GW) agree with GIR Table 6-1 and the Vantree index data. The highest confined head recorded is El. 738.3 (P-08, rounds 7 and 18); loss-of-pumping checks should use it.</w:t>
      </w:r>
    </w:p>
    <w:p>
      <w:pPr>
        <w:spacing w:before="0" w:after="120" w:line="240" w:lineRule="auto"/>
      </w:pPr>
      <w:r>
        <w:rPr>
          <w:rFonts w:ascii="Calibri" w:cs="Calibri" w:eastAsia="Calibri" w:hAnsi="Calibri"/>
          <w:i/>
          <w:iCs/>
          <w:color w:val="595959"/>
          <w:sz w:val="16"/>
          <w:szCs w:val="16"/>
        </w:rPr>
        <w:t xml:space="preserve">Record: R2 p.1 (R2.1); GIR pp.12–13 (Table 6-1, §7.1–7.2); BL pp.7, 9, 13; FOR pp.3–4; IDX SUMMARY sheet; DW-A p.3 (§1.2).</w:t>
      </w:r>
    </w:p>
    <w:p>
      <w:pPr>
        <w:keepNext/>
        <w:spacing w:before="160" w:after="60"/>
      </w:pPr>
      <w:r>
        <w:rPr>
          <w:rFonts w:ascii="Calibri" w:cs="Calibri" w:eastAsia="Calibri" w:hAnsi="Calibri"/>
          <w:b/>
          <w:bCs/>
          <w:sz w:val="20"/>
          <w:szCs w:val="20"/>
        </w:rPr>
        <w:t xml:space="preserve">4.2  Loading above subgrade (R2.3): arithmetic reproduced, but the fill unit weight is understated</w:t>
      </w:r>
    </w:p>
    <w:p>
      <w:pPr>
        <w:spacing w:before="0" w:after="100" w:line="252" w:lineRule="auto"/>
      </w:pPr>
      <w:r>
        <w:rPr>
          <w:rFonts w:ascii="Calibri" w:cs="Calibri" w:eastAsia="Calibri" w:hAnsi="Calibri"/>
          <w:sz w:val="20"/>
          <w:szCs w:val="20"/>
        </w:rPr>
        <w:t xml:space="preserve">Recomputed with R2’s inputs: σ′</w:t>
      </w:r>
      <w:r>
        <w:rPr>
          <w:rFonts w:ascii="Calibri" w:cs="Calibri" w:eastAsia="Calibri" w:hAnsi="Calibri"/>
          <w:sz w:val="20"/>
          <w:szCs w:val="20"/>
          <w:vertAlign w:val="subscript"/>
        </w:rPr>
        <w:t xml:space="preserve">v</w:t>
      </w:r>
      <w:r>
        <w:rPr>
          <w:rFonts w:ascii="Calibri" w:cs="Calibri" w:eastAsia="Calibri" w:hAnsi="Calibri"/>
          <w:sz w:val="20"/>
          <w:szCs w:val="20"/>
        </w:rPr>
        <w:t xml:space="preserve"> at El. 726.0 = 2,107.6 psf; soil plus surcharge resultant 11,622 lb/ft; water ½ × 62.4 × 16.0² = 7,987 lb/ft acting at El. 731.3; total 19,609 lb/ft; driving moment about the anchor at El. 745.5 = 237,275 ft-lb/ft, against R2’s 237,293; σ</w:t>
      </w:r>
      <w:r>
        <w:rPr>
          <w:rFonts w:ascii="Calibri" w:cs="Calibri" w:eastAsia="Calibri" w:hAnsi="Calibri"/>
          <w:sz w:val="20"/>
          <w:szCs w:val="20"/>
          <w:vertAlign w:val="subscript"/>
        </w:rPr>
        <w:t xml:space="preserve">v0</w:t>
      </w:r>
      <w:r>
        <w:rPr>
          <w:rFonts w:ascii="Calibri" w:cs="Calibri" w:eastAsia="Calibri" w:hAnsi="Calibri"/>
          <w:sz w:val="20"/>
          <w:szCs w:val="20"/>
        </w:rPr>
        <w:t xml:space="preserve"> at subgrade 3,106 psf. The method (layered effective stress plus full hydrostatic pressure from El. 742.0) is appropriate.</w:t>
      </w:r>
    </w:p>
    <w:p>
      <w:pPr>
        <w:spacing w:before="0" w:after="100" w:line="252" w:lineRule="auto"/>
      </w:pPr>
      <w:r>
        <w:rPr>
          <w:rFonts w:ascii="Calibri" w:cs="Calibri" w:eastAsia="Calibri" w:hAnsi="Calibri"/>
          <w:sz w:val="20"/>
          <w:szCs w:val="20"/>
        </w:rPr>
        <w:t xml:space="preserve">R2 carries 118 pcf for the 12 ft of engineered fill, which is the GIR value for the natural SP-SM upper sand. The fill actually placed at Block B is Larchwood Pit SM/SW-SM structural fill. It was compacted to at least 95% of a modified Proctor maximum of 128.4 pcf at −1% to +2% of the 9.2% optimum, so its dry unit weight is at least 122.0 pcf. That gives a moist unit weight of 132.0–135.6 pcf, and about 138.9 pcf saturated (G</w:t>
      </w:r>
      <w:r>
        <w:rPr>
          <w:rFonts w:ascii="Calibri" w:cs="Calibri" w:eastAsia="Calibri" w:hAnsi="Calibri"/>
          <w:sz w:val="20"/>
          <w:szCs w:val="20"/>
          <w:vertAlign w:val="subscript"/>
        </w:rPr>
        <w:t xml:space="preserve">s</w:t>
      </w:r>
      <w:r>
        <w:rPr>
          <w:rFonts w:ascii="Calibri" w:cs="Calibri" w:eastAsia="Calibri" w:hAnsi="Calibri"/>
          <w:sz w:val="20"/>
          <w:szCs w:val="20"/>
        </w:rPr>
        <w:t xml:space="preserve"> 2.68). On those values the soil load above subgrade rises 10.7%, the total load 6.3%, the driving moment 5.7% (to 250,812 ft-lb/ft) and σ</w:t>
      </w:r>
      <w:r>
        <w:rPr>
          <w:rFonts w:ascii="Calibri" w:cs="Calibri" w:eastAsia="Calibri" w:hAnsi="Calibri"/>
          <w:sz w:val="20"/>
          <w:szCs w:val="20"/>
          <w:vertAlign w:val="subscript"/>
        </w:rPr>
        <w:t xml:space="preserve">v0</w:t>
      </w:r>
      <w:r>
        <w:rPr>
          <w:rFonts w:ascii="Calibri" w:cs="Calibri" w:eastAsia="Calibri" w:hAnsi="Calibri"/>
          <w:sz w:val="20"/>
          <w:szCs w:val="20"/>
        </w:rPr>
        <w:t xml:space="preserve"> by 195 psf (to 3,301 psf).</w:t>
      </w:r>
    </w:p>
    <w:p>
      <w:pPr>
        <w:spacing w:before="0" w:after="120" w:line="240" w:lineRule="auto"/>
      </w:pPr>
      <w:r>
        <w:rPr>
          <w:rFonts w:ascii="Calibri" w:cs="Calibri" w:eastAsia="Calibri" w:hAnsi="Calibri"/>
          <w:i/>
          <w:iCs/>
          <w:color w:val="595959"/>
          <w:sz w:val="16"/>
          <w:szCs w:val="16"/>
        </w:rPr>
        <w:t xml:space="preserve">Record: R2 p.3 (R2.3); R1 p.6 (§3.2); GIR p.12 (Table 6-1); FPR (Cover; Note 3); PRO pp.1–2; SPEC p.4 (Art. 3.4.B).</w:t>
      </w:r>
    </w:p>
    <w:p>
      <w:pPr>
        <w:keepNext/>
        <w:spacing w:before="160" w:after="60"/>
      </w:pPr>
      <w:r>
        <w:rPr>
          <w:rFonts w:ascii="Calibri" w:cs="Calibri" w:eastAsia="Calibri" w:hAnsi="Calibri"/>
          <w:b/>
          <w:bCs/>
          <w:sz w:val="20"/>
          <w:szCs w:val="20"/>
        </w:rPr>
        <w:t xml:space="preserve">4.3  Toe embedment (R2.4) rests on a shear strength that the record does not support</w:t>
      </w:r>
    </w:p>
    <w:p>
      <w:pPr>
        <w:spacing w:before="0" w:after="100" w:line="252" w:lineRule="auto"/>
      </w:pPr>
      <w:r>
        <w:rPr>
          <w:rFonts w:ascii="Calibri" w:cs="Calibri" w:eastAsia="Calibri" w:hAnsi="Calibri"/>
          <w:sz w:val="20"/>
          <w:szCs w:val="20"/>
        </w:rPr>
        <w:t xml:space="preserve">R2.4 takes s</w:t>
      </w:r>
      <w:r>
        <w:rPr>
          <w:rFonts w:ascii="Calibri" w:cs="Calibri" w:eastAsia="Calibri" w:hAnsi="Calibri"/>
          <w:sz w:val="20"/>
          <w:szCs w:val="20"/>
          <w:vertAlign w:val="subscript"/>
        </w:rPr>
        <w:t xml:space="preserve">u</w:t>
      </w:r>
      <w:r>
        <w:rPr>
          <w:rFonts w:ascii="Calibri" w:cs="Calibri" w:eastAsia="Calibri" w:hAnsi="Calibri"/>
          <w:sz w:val="20"/>
          <w:szCs w:val="20"/>
        </w:rPr>
        <w:t xml:space="preserve"> = 1,400 psf “carried from Rev.1 Section 3.2”. R1 §3.2 attributes that value to “the Geotechnical Report, Section 6 and Table 6.2”, but the GIR has no Table 6.2. It reports s</w:t>
      </w:r>
      <w:r>
        <w:rPr>
          <w:rFonts w:ascii="Calibri" w:cs="Calibri" w:eastAsia="Calibri" w:hAnsi="Calibri"/>
          <w:sz w:val="20"/>
          <w:szCs w:val="20"/>
          <w:vertAlign w:val="subscript"/>
        </w:rPr>
        <w:t xml:space="preserve">u</w:t>
      </w:r>
      <w:r>
        <w:rPr>
          <w:rFonts w:ascii="Calibri" w:cs="Calibri" w:eastAsia="Calibri" w:hAnsi="Calibri"/>
          <w:sz w:val="20"/>
          <w:szCs w:val="20"/>
        </w:rPr>
        <w:t xml:space="preserve"> = 900 to 1,100 psf from field vane and UU triaxial tests (§6.3), and the DBM directs that any conflict over soil parameters be resolved in favour of the GIR. The table below applies R2’s own method (net passive p</w:t>
      </w:r>
      <w:r>
        <w:rPr>
          <w:rFonts w:ascii="Calibri" w:cs="Calibri" w:eastAsia="Calibri" w:hAnsi="Calibri"/>
          <w:sz w:val="20"/>
          <w:szCs w:val="20"/>
          <w:vertAlign w:val="subscript"/>
        </w:rPr>
        <w:t xml:space="preserve">n</w:t>
      </w:r>
      <w:r>
        <w:rPr>
          <w:rFonts w:ascii="Calibri" w:cs="Calibri" w:eastAsia="Calibri" w:hAnsi="Calibri"/>
          <w:sz w:val="20"/>
          <w:szCs w:val="20"/>
        </w:rPr>
        <w:t xml:space="preserve"> = 4s</w:t>
      </w:r>
      <w:r>
        <w:rPr>
          <w:rFonts w:ascii="Calibri" w:cs="Calibri" w:eastAsia="Calibri" w:hAnsi="Calibri"/>
          <w:sz w:val="20"/>
          <w:szCs w:val="20"/>
          <w:vertAlign w:val="subscript"/>
        </w:rPr>
        <w:t xml:space="preserve">u</w:t>
      </w:r>
      <w:r>
        <w:rPr>
          <w:rFonts w:ascii="Calibri" w:cs="Calibri" w:eastAsia="Calibri" w:hAnsi="Calibri"/>
          <w:sz w:val="20"/>
          <w:szCs w:val="20"/>
        </w:rPr>
        <w:t xml:space="preserve"> − σ</w:t>
      </w:r>
      <w:r>
        <w:rPr>
          <w:rFonts w:ascii="Calibri" w:cs="Calibri" w:eastAsia="Calibri" w:hAnsi="Calibri"/>
          <w:sz w:val="20"/>
          <w:szCs w:val="20"/>
          <w:vertAlign w:val="subscript"/>
        </w:rPr>
        <w:t xml:space="preserve">v0</w:t>
      </w:r>
      <w:r>
        <w:rPr>
          <w:rFonts w:ascii="Calibri" w:cs="Calibri" w:eastAsia="Calibri" w:hAnsi="Calibri"/>
          <w:sz w:val="20"/>
          <w:szCs w:val="20"/>
        </w:rPr>
        <w:t xml:space="preserve"> over D = 6.5 ft, free-earth moments about El. 745.5) and R2’s own loads:</w:t>
      </w:r>
    </w:p>
    <w:tbl>
      <w:tblPr>
        <w:tblW w:w="9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80" w:type="dxa"/>
          <w:bottom w:w="30" w:type="dxa"/>
          <w:right w:w="80" w:type="dxa"/>
        </w:tblCellMar>
      </w:tblPr>
      <w:tblGrid>
        <w:gridCol w:w="1900"/>
        <w:gridCol w:w="2000"/>
        <w:gridCol w:w="1940"/>
        <w:gridCol w:w="2080"/>
        <w:gridCol w:w="1800"/>
      </w:tblGrid>
      <w:tr>
        <w:trPr>
          <w:cantSplit/>
          <w:tblHeader/>
        </w:trPr>
        <w:tc>
          <w:tcPr>
            <w:tcW w:w="1900" w:type="dxa"/>
            <w:shd w:val="clear" w:color="auto" w:fill="D9D9D9"/>
            <w:vAlign w:val="top"/>
          </w:tcPr>
          <w:p>
            <w:pPr>
              <w:spacing w:before="0" w:after="20" w:line="240" w:lineRule="auto"/>
            </w:pPr>
            <w:r>
              <w:rPr>
                <w:rFonts w:ascii="Calibri" w:cs="Calibri" w:eastAsia="Calibri" w:hAnsi="Calibri"/>
                <w:b/>
                <w:bCs/>
                <w:sz w:val="17"/>
                <w:szCs w:val="17"/>
              </w:rPr>
              <w:t xml:space="preserve">s</w:t>
            </w:r>
            <w:r>
              <w:rPr>
                <w:rFonts w:ascii="Calibri" w:cs="Calibri" w:eastAsia="Calibri" w:hAnsi="Calibri"/>
                <w:b/>
                <w:bCs/>
                <w:sz w:val="17"/>
                <w:szCs w:val="17"/>
                <w:vertAlign w:val="subscript"/>
              </w:rPr>
              <w:t xml:space="preserve">u</w:t>
            </w:r>
            <w:r>
              <w:rPr>
                <w:rFonts w:ascii="Calibri" w:cs="Calibri" w:eastAsia="Calibri" w:hAnsi="Calibri"/>
                <w:b/>
                <w:bCs/>
                <w:sz w:val="17"/>
                <w:szCs w:val="17"/>
              </w:rPr>
              <w:t xml:space="preserve"> (psf)</w:t>
            </w:r>
          </w:p>
        </w:tc>
        <w:tc>
          <w:tcPr>
            <w:tcW w:w="2000" w:type="dxa"/>
            <w:shd w:val="clear" w:color="auto" w:fill="D9D9D9"/>
            <w:vAlign w:val="top"/>
          </w:tcPr>
          <w:p>
            <w:pPr>
              <w:spacing w:before="0" w:after="20" w:line="240" w:lineRule="auto"/>
            </w:pPr>
            <w:r>
              <w:rPr>
                <w:rFonts w:ascii="Calibri" w:cs="Calibri" w:eastAsia="Calibri" w:hAnsi="Calibri"/>
                <w:b/>
                <w:bCs/>
                <w:sz w:val="17"/>
                <w:szCs w:val="17"/>
              </w:rPr>
              <w:t xml:space="preserve">p</w:t>
            </w:r>
            <w:r>
              <w:rPr>
                <w:rFonts w:ascii="Calibri" w:cs="Calibri" w:eastAsia="Calibri" w:hAnsi="Calibri"/>
                <w:b/>
                <w:bCs/>
                <w:sz w:val="17"/>
                <w:szCs w:val="17"/>
                <w:vertAlign w:val="subscript"/>
              </w:rPr>
              <w:t xml:space="preserve">n</w:t>
            </w:r>
            <w:r>
              <w:rPr>
                <w:rFonts w:ascii="Calibri" w:cs="Calibri" w:eastAsia="Calibri" w:hAnsi="Calibri"/>
                <w:b/>
                <w:bCs/>
                <w:sz w:val="17"/>
                <w:szCs w:val="17"/>
              </w:rPr>
              <w:t xml:space="preserve"> = 4s</w:t>
            </w:r>
            <w:r>
              <w:rPr>
                <w:rFonts w:ascii="Calibri" w:cs="Calibri" w:eastAsia="Calibri" w:hAnsi="Calibri"/>
                <w:b/>
                <w:bCs/>
                <w:sz w:val="17"/>
                <w:szCs w:val="17"/>
                <w:vertAlign w:val="subscript"/>
              </w:rPr>
              <w:t xml:space="preserve">u</w:t>
            </w:r>
            <w:r>
              <w:rPr>
                <w:rFonts w:ascii="Calibri" w:cs="Calibri" w:eastAsia="Calibri" w:hAnsi="Calibri"/>
                <w:b/>
                <w:bCs/>
                <w:sz w:val="17"/>
                <w:szCs w:val="17"/>
              </w:rPr>
              <w:t xml:space="preserve"> − σ</w:t>
            </w:r>
            <w:r>
              <w:rPr>
                <w:rFonts w:ascii="Calibri" w:cs="Calibri" w:eastAsia="Calibri" w:hAnsi="Calibri"/>
                <w:b/>
                <w:bCs/>
                <w:sz w:val="17"/>
                <w:szCs w:val="17"/>
                <w:vertAlign w:val="subscript"/>
              </w:rPr>
              <w:t xml:space="preserve">v0</w:t>
            </w:r>
            <w:r>
              <w:rPr>
                <w:rFonts w:ascii="Calibri" w:cs="Calibri" w:eastAsia="Calibri" w:hAnsi="Calibri"/>
                <w:b/>
                <w:bCs/>
                <w:sz w:val="17"/>
                <w:szCs w:val="17"/>
              </w:rPr>
              <w:t xml:space="preserve"> (psf)</w:t>
            </w:r>
          </w:p>
        </w:tc>
        <w:tc>
          <w:tcPr>
            <w:tcW w:w="1940" w:type="dxa"/>
            <w:shd w:val="clear" w:color="auto" w:fill="D9D9D9"/>
            <w:vAlign w:val="top"/>
          </w:tcPr>
          <w:p>
            <w:pPr>
              <w:spacing w:before="0" w:after="20" w:line="240" w:lineRule="auto"/>
            </w:pPr>
            <w:r>
              <w:rPr>
                <w:rFonts w:ascii="Calibri" w:cs="Calibri" w:eastAsia="Calibri" w:hAnsi="Calibri"/>
                <w:b/>
                <w:bCs/>
                <w:sz w:val="17"/>
                <w:szCs w:val="17"/>
              </w:rPr>
              <w:t xml:space="preserve">P</w:t>
            </w:r>
            <w:r>
              <w:rPr>
                <w:rFonts w:ascii="Calibri" w:cs="Calibri" w:eastAsia="Calibri" w:hAnsi="Calibri"/>
                <w:b/>
                <w:bCs/>
                <w:sz w:val="17"/>
                <w:szCs w:val="17"/>
                <w:vertAlign w:val="subscript"/>
              </w:rPr>
              <w:t xml:space="preserve">p</w:t>
            </w:r>
            <w:r>
              <w:rPr>
                <w:rFonts w:ascii="Calibri" w:cs="Calibri" w:eastAsia="Calibri" w:hAnsi="Calibri"/>
                <w:b/>
                <w:bCs/>
                <w:sz w:val="17"/>
                <w:szCs w:val="17"/>
              </w:rPr>
              <w:t xml:space="preserve"> over D = 6.5 ft (lb/ft)</w:t>
            </w:r>
          </w:p>
        </w:tc>
        <w:tc>
          <w:tcPr>
            <w:tcW w:w="2080" w:type="dxa"/>
            <w:shd w:val="clear" w:color="auto" w:fill="D9D9D9"/>
            <w:vAlign w:val="top"/>
          </w:tcPr>
          <w:p>
            <w:pPr>
              <w:spacing w:before="0" w:after="20" w:line="240" w:lineRule="auto"/>
            </w:pPr>
            <w:r>
              <w:rPr>
                <w:rFonts w:ascii="Calibri" w:cs="Calibri" w:eastAsia="Calibri" w:hAnsi="Calibri"/>
                <w:b/>
                <w:bCs/>
                <w:sz w:val="17"/>
                <w:szCs w:val="17"/>
              </w:rPr>
              <w:t xml:space="preserve">M</w:t>
            </w:r>
            <w:r>
              <w:rPr>
                <w:rFonts w:ascii="Calibri" w:cs="Calibri" w:eastAsia="Calibri" w:hAnsi="Calibri"/>
                <w:b/>
                <w:bCs/>
                <w:sz w:val="17"/>
                <w:szCs w:val="17"/>
                <w:vertAlign w:val="subscript"/>
              </w:rPr>
              <w:t xml:space="preserve">R</w:t>
            </w:r>
            <w:r>
              <w:rPr>
                <w:rFonts w:ascii="Calibri" w:cs="Calibri" w:eastAsia="Calibri" w:hAnsi="Calibri"/>
                <w:b/>
                <w:bCs/>
                <w:sz w:val="17"/>
                <w:szCs w:val="17"/>
              </w:rPr>
              <w:t xml:space="preserve"> about El. 745.5 (ft-lb/ft)</w:t>
            </w:r>
          </w:p>
        </w:tc>
        <w:tc>
          <w:tcPr>
            <w:tcW w:w="1800" w:type="dxa"/>
            <w:shd w:val="clear" w:color="auto" w:fill="D9D9D9"/>
            <w:vAlign w:val="top"/>
          </w:tcPr>
          <w:p>
            <w:pPr>
              <w:spacing w:before="0" w:after="20" w:line="240" w:lineRule="auto"/>
            </w:pPr>
            <w:r>
              <w:rPr>
                <w:rFonts w:ascii="Calibri" w:cs="Calibri" w:eastAsia="Calibri" w:hAnsi="Calibri"/>
                <w:b/>
                <w:bCs/>
                <w:sz w:val="17"/>
                <w:szCs w:val="17"/>
              </w:rPr>
              <w:t xml:space="preserve">FS (1.50 required)</w:t>
            </w:r>
          </w:p>
        </w:tc>
      </w:tr>
      <w:tr>
        <w:trPr>
          <w:cantSplit/>
        </w:trPr>
        <w:tc>
          <w:tcPr>
            <w:tcW w:w="1900" w:type="dxa"/>
            <w:vAlign w:val="top"/>
          </w:tcPr>
          <w:p>
            <w:pPr>
              <w:spacing w:before="0" w:after="20" w:line="240" w:lineRule="auto"/>
            </w:pPr>
            <w:r>
              <w:rPr>
                <w:rFonts w:ascii="Calibri" w:cs="Calibri" w:eastAsia="Calibri" w:hAnsi="Calibri"/>
                <w:sz w:val="17"/>
                <w:szCs w:val="17"/>
              </w:rPr>
              <w:t xml:space="preserve">1,400 (R2)</w:t>
            </w:r>
          </w:p>
        </w:tc>
        <w:tc>
          <w:tcPr>
            <w:tcW w:w="2000" w:type="dxa"/>
            <w:vAlign w:val="top"/>
          </w:tcPr>
          <w:p>
            <w:pPr>
              <w:spacing w:before="0" w:after="20" w:line="240" w:lineRule="auto"/>
            </w:pPr>
            <w:r>
              <w:rPr>
                <w:rFonts w:ascii="Calibri" w:cs="Calibri" w:eastAsia="Calibri" w:hAnsi="Calibri"/>
                <w:sz w:val="17"/>
                <w:szCs w:val="17"/>
              </w:rPr>
              <w:t xml:space="preserve">2,494</w:t>
            </w:r>
          </w:p>
        </w:tc>
        <w:tc>
          <w:tcPr>
            <w:tcW w:w="1940" w:type="dxa"/>
            <w:vAlign w:val="top"/>
          </w:tcPr>
          <w:p>
            <w:pPr>
              <w:spacing w:before="0" w:after="20" w:line="240" w:lineRule="auto"/>
            </w:pPr>
            <w:r>
              <w:rPr>
                <w:rFonts w:ascii="Calibri" w:cs="Calibri" w:eastAsia="Calibri" w:hAnsi="Calibri"/>
                <w:sz w:val="17"/>
                <w:szCs w:val="17"/>
              </w:rPr>
              <w:t xml:space="preserve">16,211</w:t>
            </w:r>
          </w:p>
        </w:tc>
        <w:tc>
          <w:tcPr>
            <w:tcW w:w="2080" w:type="dxa"/>
            <w:vAlign w:val="top"/>
          </w:tcPr>
          <w:p>
            <w:pPr>
              <w:spacing w:before="0" w:after="20" w:line="240" w:lineRule="auto"/>
            </w:pPr>
            <w:r>
              <w:rPr>
                <w:rFonts w:ascii="Calibri" w:cs="Calibri" w:eastAsia="Calibri" w:hAnsi="Calibri"/>
                <w:sz w:val="17"/>
                <w:szCs w:val="17"/>
              </w:rPr>
              <w:t xml:space="preserve">368,800</w:t>
            </w:r>
          </w:p>
        </w:tc>
        <w:tc>
          <w:tcPr>
            <w:tcW w:w="1800" w:type="dxa"/>
            <w:vAlign w:val="top"/>
          </w:tcPr>
          <w:p>
            <w:pPr>
              <w:spacing w:before="0" w:after="20" w:line="240" w:lineRule="auto"/>
            </w:pPr>
            <w:r>
              <w:rPr>
                <w:rFonts w:ascii="Calibri" w:cs="Calibri" w:eastAsia="Calibri" w:hAnsi="Calibri"/>
                <w:sz w:val="17"/>
                <w:szCs w:val="17"/>
              </w:rPr>
              <w:t xml:space="preserve">1.55</w:t>
            </w:r>
          </w:p>
        </w:tc>
      </w:tr>
      <w:tr>
        <w:trPr>
          <w:cantSplit/>
        </w:trPr>
        <w:tc>
          <w:tcPr>
            <w:tcW w:w="1900" w:type="dxa"/>
            <w:vAlign w:val="top"/>
          </w:tcPr>
          <w:p>
            <w:pPr>
              <w:spacing w:before="0" w:after="20" w:line="240" w:lineRule="auto"/>
            </w:pPr>
            <w:r>
              <w:rPr>
                <w:rFonts w:ascii="Calibri" w:cs="Calibri" w:eastAsia="Calibri" w:hAnsi="Calibri"/>
                <w:sz w:val="17"/>
                <w:szCs w:val="17"/>
              </w:rPr>
              <w:t xml:space="preserve">1,100 (GIR upper bound)</w:t>
            </w:r>
          </w:p>
        </w:tc>
        <w:tc>
          <w:tcPr>
            <w:tcW w:w="2000" w:type="dxa"/>
            <w:vAlign w:val="top"/>
          </w:tcPr>
          <w:p>
            <w:pPr>
              <w:spacing w:before="0" w:after="20" w:line="240" w:lineRule="auto"/>
            </w:pPr>
            <w:r>
              <w:rPr>
                <w:rFonts w:ascii="Calibri" w:cs="Calibri" w:eastAsia="Calibri" w:hAnsi="Calibri"/>
                <w:sz w:val="17"/>
                <w:szCs w:val="17"/>
              </w:rPr>
              <w:t xml:space="preserve">1,294</w:t>
            </w:r>
          </w:p>
        </w:tc>
        <w:tc>
          <w:tcPr>
            <w:tcW w:w="1940" w:type="dxa"/>
            <w:vAlign w:val="top"/>
          </w:tcPr>
          <w:p>
            <w:pPr>
              <w:spacing w:before="0" w:after="20" w:line="240" w:lineRule="auto"/>
            </w:pPr>
            <w:r>
              <w:rPr>
                <w:rFonts w:ascii="Calibri" w:cs="Calibri" w:eastAsia="Calibri" w:hAnsi="Calibri"/>
                <w:sz w:val="17"/>
                <w:szCs w:val="17"/>
              </w:rPr>
              <w:t xml:space="preserve">8,411</w:t>
            </w:r>
          </w:p>
        </w:tc>
        <w:tc>
          <w:tcPr>
            <w:tcW w:w="2080" w:type="dxa"/>
            <w:vAlign w:val="top"/>
          </w:tcPr>
          <w:p>
            <w:pPr>
              <w:spacing w:before="0" w:after="20" w:line="240" w:lineRule="auto"/>
            </w:pPr>
            <w:r>
              <w:rPr>
                <w:rFonts w:ascii="Calibri" w:cs="Calibri" w:eastAsia="Calibri" w:hAnsi="Calibri"/>
                <w:sz w:val="17"/>
                <w:szCs w:val="17"/>
              </w:rPr>
              <w:t xml:space="preserve">191,350</w:t>
            </w:r>
          </w:p>
        </w:tc>
        <w:tc>
          <w:tcPr>
            <w:tcW w:w="1800" w:type="dxa"/>
            <w:vAlign w:val="top"/>
          </w:tcPr>
          <w:p>
            <w:pPr>
              <w:spacing w:before="0" w:after="20" w:line="240" w:lineRule="auto"/>
            </w:pPr>
            <w:r>
              <w:rPr>
                <w:rFonts w:ascii="Calibri" w:cs="Calibri" w:eastAsia="Calibri" w:hAnsi="Calibri"/>
                <w:b/>
                <w:bCs/>
                <w:sz w:val="17"/>
                <w:szCs w:val="17"/>
              </w:rPr>
              <w:t xml:space="preserve">0.81</w:t>
            </w:r>
          </w:p>
        </w:tc>
      </w:tr>
      <w:tr>
        <w:trPr>
          <w:cantSplit/>
        </w:trPr>
        <w:tc>
          <w:tcPr>
            <w:tcW w:w="1900" w:type="dxa"/>
            <w:vAlign w:val="top"/>
          </w:tcPr>
          <w:p>
            <w:pPr>
              <w:spacing w:before="0" w:after="20" w:line="240" w:lineRule="auto"/>
            </w:pPr>
            <w:r>
              <w:rPr>
                <w:rFonts w:ascii="Calibri" w:cs="Calibri" w:eastAsia="Calibri" w:hAnsi="Calibri"/>
                <w:sz w:val="17"/>
                <w:szCs w:val="17"/>
              </w:rPr>
              <w:t xml:space="preserve">1,000</w:t>
            </w:r>
          </w:p>
        </w:tc>
        <w:tc>
          <w:tcPr>
            <w:tcW w:w="2000" w:type="dxa"/>
            <w:vAlign w:val="top"/>
          </w:tcPr>
          <w:p>
            <w:pPr>
              <w:spacing w:before="0" w:after="20" w:line="240" w:lineRule="auto"/>
            </w:pPr>
            <w:r>
              <w:rPr>
                <w:rFonts w:ascii="Calibri" w:cs="Calibri" w:eastAsia="Calibri" w:hAnsi="Calibri"/>
                <w:sz w:val="17"/>
                <w:szCs w:val="17"/>
              </w:rPr>
              <w:t xml:space="preserve">894</w:t>
            </w:r>
          </w:p>
        </w:tc>
        <w:tc>
          <w:tcPr>
            <w:tcW w:w="1940" w:type="dxa"/>
            <w:vAlign w:val="top"/>
          </w:tcPr>
          <w:p>
            <w:pPr>
              <w:spacing w:before="0" w:after="20" w:line="240" w:lineRule="auto"/>
            </w:pPr>
            <w:r>
              <w:rPr>
                <w:rFonts w:ascii="Calibri" w:cs="Calibri" w:eastAsia="Calibri" w:hAnsi="Calibri"/>
                <w:sz w:val="17"/>
                <w:szCs w:val="17"/>
              </w:rPr>
              <w:t xml:space="preserve">5,811</w:t>
            </w:r>
          </w:p>
        </w:tc>
        <w:tc>
          <w:tcPr>
            <w:tcW w:w="2080" w:type="dxa"/>
            <w:vAlign w:val="top"/>
          </w:tcPr>
          <w:p>
            <w:pPr>
              <w:spacing w:before="0" w:after="20" w:line="240" w:lineRule="auto"/>
            </w:pPr>
            <w:r>
              <w:rPr>
                <w:rFonts w:ascii="Calibri" w:cs="Calibri" w:eastAsia="Calibri" w:hAnsi="Calibri"/>
                <w:sz w:val="17"/>
                <w:szCs w:val="17"/>
              </w:rPr>
              <w:t xml:space="preserve">132,200</w:t>
            </w:r>
          </w:p>
        </w:tc>
        <w:tc>
          <w:tcPr>
            <w:tcW w:w="1800" w:type="dxa"/>
            <w:vAlign w:val="top"/>
          </w:tcPr>
          <w:p>
            <w:pPr>
              <w:spacing w:before="0" w:after="20" w:line="240" w:lineRule="auto"/>
            </w:pPr>
            <w:r>
              <w:rPr>
                <w:rFonts w:ascii="Calibri" w:cs="Calibri" w:eastAsia="Calibri" w:hAnsi="Calibri"/>
                <w:b/>
                <w:bCs/>
                <w:sz w:val="17"/>
                <w:szCs w:val="17"/>
              </w:rPr>
              <w:t xml:space="preserve">0.56</w:t>
            </w:r>
          </w:p>
        </w:tc>
      </w:tr>
      <w:tr>
        <w:trPr>
          <w:cantSplit/>
        </w:trPr>
        <w:tc>
          <w:tcPr>
            <w:tcW w:w="1900" w:type="dxa"/>
            <w:vAlign w:val="top"/>
          </w:tcPr>
          <w:p>
            <w:pPr>
              <w:spacing w:before="0" w:after="20" w:line="240" w:lineRule="auto"/>
            </w:pPr>
            <w:r>
              <w:rPr>
                <w:rFonts w:ascii="Calibri" w:cs="Calibri" w:eastAsia="Calibri" w:hAnsi="Calibri"/>
                <w:sz w:val="17"/>
                <w:szCs w:val="17"/>
              </w:rPr>
              <w:t xml:space="preserve">900 (GIR lower bound)</w:t>
            </w:r>
          </w:p>
        </w:tc>
        <w:tc>
          <w:tcPr>
            <w:tcW w:w="2000" w:type="dxa"/>
            <w:vAlign w:val="top"/>
          </w:tcPr>
          <w:p>
            <w:pPr>
              <w:spacing w:before="0" w:after="20" w:line="240" w:lineRule="auto"/>
            </w:pPr>
            <w:r>
              <w:rPr>
                <w:rFonts w:ascii="Calibri" w:cs="Calibri" w:eastAsia="Calibri" w:hAnsi="Calibri"/>
                <w:sz w:val="17"/>
                <w:szCs w:val="17"/>
              </w:rPr>
              <w:t xml:space="preserve">494</w:t>
            </w:r>
          </w:p>
        </w:tc>
        <w:tc>
          <w:tcPr>
            <w:tcW w:w="1940" w:type="dxa"/>
            <w:vAlign w:val="top"/>
          </w:tcPr>
          <w:p>
            <w:pPr>
              <w:spacing w:before="0" w:after="20" w:line="240" w:lineRule="auto"/>
            </w:pPr>
            <w:r>
              <w:rPr>
                <w:rFonts w:ascii="Calibri" w:cs="Calibri" w:eastAsia="Calibri" w:hAnsi="Calibri"/>
                <w:sz w:val="17"/>
                <w:szCs w:val="17"/>
              </w:rPr>
              <w:t xml:space="preserve">3,211</w:t>
            </w:r>
          </w:p>
        </w:tc>
        <w:tc>
          <w:tcPr>
            <w:tcW w:w="2080" w:type="dxa"/>
            <w:vAlign w:val="top"/>
          </w:tcPr>
          <w:p>
            <w:pPr>
              <w:spacing w:before="0" w:after="20" w:line="240" w:lineRule="auto"/>
            </w:pPr>
            <w:r>
              <w:rPr>
                <w:rFonts w:ascii="Calibri" w:cs="Calibri" w:eastAsia="Calibri" w:hAnsi="Calibri"/>
                <w:sz w:val="17"/>
                <w:szCs w:val="17"/>
              </w:rPr>
              <w:t xml:space="preserve">73,050</w:t>
            </w:r>
          </w:p>
        </w:tc>
        <w:tc>
          <w:tcPr>
            <w:tcW w:w="1800" w:type="dxa"/>
            <w:vAlign w:val="top"/>
          </w:tcPr>
          <w:p>
            <w:pPr>
              <w:spacing w:before="0" w:after="20" w:line="240" w:lineRule="auto"/>
            </w:pPr>
            <w:r>
              <w:rPr>
                <w:rFonts w:ascii="Calibri" w:cs="Calibri" w:eastAsia="Calibri" w:hAnsi="Calibri"/>
                <w:b/>
                <w:bCs/>
                <w:sz w:val="17"/>
                <w:szCs w:val="17"/>
              </w:rPr>
              <w:t xml:space="preserve">0.31</w:t>
            </w:r>
          </w:p>
        </w:tc>
      </w:tr>
    </w:tbl>
    <w:p>
      <w:pPr>
        <w:spacing w:before="80" w:after="100" w:line="252" w:lineRule="auto"/>
      </w:pPr>
      <w:r>
        <w:rPr>
          <w:rFonts w:ascii="Calibri" w:cs="Calibri" w:eastAsia="Calibri" w:hAnsi="Calibri"/>
          <w:sz w:val="20"/>
          <w:szCs w:val="20"/>
        </w:rPr>
        <w:t xml:space="preserve">The check reaches 1.50 only if s</w:t>
      </w:r>
      <w:r>
        <w:rPr>
          <w:rFonts w:ascii="Calibri" w:cs="Calibri" w:eastAsia="Calibri" w:hAnsi="Calibri"/>
          <w:sz w:val="20"/>
          <w:szCs w:val="20"/>
          <w:vertAlign w:val="subscript"/>
        </w:rPr>
        <w:t xml:space="preserve">u</w:t>
      </w:r>
      <w:r>
        <w:rPr>
          <w:rFonts w:ascii="Calibri" w:cs="Calibri" w:eastAsia="Calibri" w:hAnsi="Calibri"/>
          <w:sz w:val="20"/>
          <w:szCs w:val="20"/>
        </w:rPr>
        <w:t xml:space="preserve"> ≥ 1,378 psf, which is above the top of the logged range. It also fails on R2’s own s</w:t>
      </w:r>
      <w:r>
        <w:rPr>
          <w:rFonts w:ascii="Calibri" w:cs="Calibri" w:eastAsia="Calibri" w:hAnsi="Calibri"/>
          <w:sz w:val="20"/>
          <w:szCs w:val="20"/>
          <w:vertAlign w:val="subscript"/>
        </w:rPr>
        <w:t xml:space="preserve">u</w:t>
      </w:r>
      <w:r>
        <w:rPr>
          <w:rFonts w:ascii="Calibri" w:cs="Calibri" w:eastAsia="Calibri" w:hAnsi="Calibri"/>
          <w:sz w:val="20"/>
          <w:szCs w:val="20"/>
        </w:rPr>
        <w:t xml:space="preserve"> in two other cases:</w:t>
      </w:r>
    </w:p>
    <w:p>
      <w:pPr>
        <w:numPr>
          <w:ilvl w:val="0"/>
          <w:numId w:val="1"/>
        </w:numPr>
        <w:spacing w:before="0" w:after="50" w:line="252" w:lineRule="auto"/>
        <w:ind w:left="360" w:hanging="220"/>
      </w:pPr>
      <w:r>
        <w:rPr>
          <w:rFonts w:ascii="Calibri" w:cs="Calibri" w:eastAsia="Calibri" w:hAnsi="Calibri"/>
          <w:sz w:val="20"/>
          <w:szCs w:val="20"/>
        </w:rPr>
        <w:t xml:space="preserve">With the as-placed fill unit weight (Finding 4.2), FS = 1.36.</w:t>
      </w:r>
    </w:p>
    <w:p>
      <w:pPr>
        <w:numPr>
          <w:ilvl w:val="0"/>
          <w:numId w:val="1"/>
        </w:numPr>
        <w:spacing w:before="0" w:after="50" w:line="252" w:lineRule="auto"/>
        <w:ind w:left="360" w:hanging="220"/>
      </w:pPr>
      <w:r>
        <w:rPr>
          <w:rFonts w:ascii="Calibri" w:cs="Calibri" w:eastAsia="Calibri" w:hAnsi="Calibri"/>
          <w:sz w:val="20"/>
          <w:szCs w:val="20"/>
        </w:rPr>
        <w:t xml:space="preserve">If the sheets stop at the top of the SW-GW (El. 720.0, D = 6.0 ft), FS = 1.42.</w:t>
      </w:r>
    </w:p>
    <w:p>
      <w:pPr>
        <w:spacing w:before="0" w:after="100" w:line="252" w:lineRule="auto"/>
      </w:pPr>
      <w:r>
        <w:rPr>
          <w:rFonts w:ascii="Calibri" w:cs="Calibri" w:eastAsia="Calibri" w:hAnsi="Calibri"/>
          <w:sz w:val="20"/>
          <w:szCs w:val="20"/>
        </w:rPr>
        <w:t xml:space="preserve">The second case is a real possibility. The revised tip requires driving 0.5 ft into SW-GW logged at SPT refusal (N ≥ 50 blows per 6 in). The only driveability statement that remains in force is R1 §11.3, which covers a 28-ft sheet tipped at El. 722.0 in CL clay at about 30 blows/ft. R2 also applies the clay strength to the 0.5 ft of embedment in sand and gravel.</w:t>
      </w:r>
    </w:p>
    <w:p>
      <w:pPr>
        <w:spacing w:before="0" w:after="120" w:line="240" w:lineRule="auto"/>
      </w:pPr>
      <w:r>
        <w:rPr>
          <w:rFonts w:ascii="Calibri" w:cs="Calibri" w:eastAsia="Calibri" w:hAnsi="Calibri"/>
          <w:i/>
          <w:iCs/>
          <w:color w:val="595959"/>
          <w:sz w:val="16"/>
          <w:szCs w:val="16"/>
        </w:rPr>
        <w:t xml:space="preserve">Record: R2 p.3 (R2.4); R1 p.6 (§3.2), p.16 (§11.3); GIR p.9 (§3.2), p.13 (§6.3, §6.4); DBM p.9 (§9); BL pp.7, 9.</w:t>
      </w:r>
    </w:p>
    <w:p>
      <w:pPr>
        <w:keepNext/>
        <w:spacing w:before="160" w:after="60"/>
      </w:pPr>
      <w:r>
        <w:rPr>
          <w:rFonts w:ascii="Calibri" w:cs="Calibri" w:eastAsia="Calibri" w:hAnsi="Calibri"/>
          <w:b/>
          <w:bCs/>
          <w:sz w:val="20"/>
          <w:szCs w:val="20"/>
        </w:rPr>
        <w:t xml:space="preserve">4.4  The undrained condition cannot be relied on for the exposure period; drained, the clay gives no net toe resistance</w:t>
      </w:r>
    </w:p>
    <w:p>
      <w:pPr>
        <w:spacing w:before="0" w:after="100" w:line="252" w:lineRule="auto"/>
      </w:pPr>
      <w:r>
        <w:rPr>
          <w:rFonts w:ascii="Calibri" w:cs="Calibri" w:eastAsia="Calibri" w:hAnsi="Calibri"/>
          <w:sz w:val="20"/>
          <w:szCs w:val="20"/>
        </w:rPr>
        <w:t xml:space="preserve">R2.4 justifies an undrained check by the permeability of the clay (~10</w:t>
      </w:r>
      <w:r>
        <w:rPr>
          <w:rFonts w:ascii="Calibri" w:cs="Calibri" w:eastAsia="Calibri" w:hAnsi="Calibri"/>
          <w:sz w:val="20"/>
          <w:szCs w:val="20"/>
          <w:vertAlign w:val="superscript"/>
        </w:rPr>
        <w:t xml:space="preserve">−8</w:t>
      </w:r>
      <w:r>
        <w:rPr>
          <w:rFonts w:ascii="Calibri" w:cs="Calibri" w:eastAsia="Calibri" w:hAnsi="Calibri"/>
          <w:sz w:val="20"/>
          <w:szCs w:val="20"/>
        </w:rPr>
        <w:t xml:space="preserve"> cm/s). How long the undrained condition lasts depends on the coefficient of consolidation and the drainage path, not on permeability alone. The passive zone is the 6.0-ft plug inside the pit. It drains at the top to the sumps that keep the pit dry at El. 726.0 (R2.1) and at the bottom to the depressurised aquifer, so the drainage path is 3.0 ft. With the Vantree coefficients, 90% dissipation of the excavation-induced pore pressures takes about 23 days (recompression-range c</w:t>
      </w:r>
      <w:r>
        <w:rPr>
          <w:rFonts w:ascii="Calibri" w:cs="Calibri" w:eastAsia="Calibri" w:hAnsi="Calibri"/>
          <w:sz w:val="20"/>
          <w:szCs w:val="20"/>
          <w:vertAlign w:val="subscript"/>
        </w:rPr>
        <w:t xml:space="preserve">v</w:t>
      </w:r>
      <w:r>
        <w:rPr>
          <w:rFonts w:ascii="Calibri" w:cs="Calibri" w:eastAsia="Calibri" w:hAnsi="Calibri"/>
          <w:sz w:val="20"/>
          <w:szCs w:val="20"/>
        </w:rPr>
        <w:t xml:space="preserve"> ≈ 0.33 ft²/day, which applies to the unloaded plug) to about 187 days (virgin-range c</w:t>
      </w:r>
      <w:r>
        <w:rPr>
          <w:rFonts w:ascii="Calibri" w:cs="Calibri" w:eastAsia="Calibri" w:hAnsi="Calibri"/>
          <w:sz w:val="20"/>
          <w:szCs w:val="20"/>
          <w:vertAlign w:val="subscript"/>
        </w:rPr>
        <w:t xml:space="preserve">v</w:t>
      </w:r>
      <w:r>
        <w:rPr>
          <w:rFonts w:ascii="Calibri" w:cs="Calibri" w:eastAsia="Calibri" w:hAnsi="Calibri"/>
          <w:sz w:val="20"/>
          <w:szCs w:val="20"/>
        </w:rPr>
        <w:t xml:space="preserve"> ≈ 0.04 ft²/day). For comparison, the works are planned to last 4 to 6 months (R1 §4.4, §6.1), with pumping until the plant-room slab is cast (R2.1). R1 itself adopted drained parameters as governing for that duration (§6.1).</w:t>
      </w:r>
    </w:p>
    <w:p>
      <w:pPr>
        <w:spacing w:before="0" w:after="100" w:line="252" w:lineRule="auto"/>
      </w:pPr>
      <w:r>
        <w:rPr>
          <w:rFonts w:ascii="Calibri" w:cs="Calibri" w:eastAsia="Calibri" w:hAnsi="Calibri"/>
          <w:sz w:val="20"/>
          <w:szCs w:val="20"/>
        </w:rPr>
        <w:t xml:space="preserve">I also computed the drained case, using R1’s own drained clay parameters (φ′ = 26°, c′ = 100 psf; these do not appear in the GIR either) and R2.3’s water regime. The net resisting pressure below subgrade (passive minus active minus net water pressure, with cohesion credited on both faces) is negative over the entire embedment:</w:t>
      </w:r>
    </w:p>
    <w:p>
      <w:pPr>
        <w:numPr>
          <w:ilvl w:val="0"/>
          <w:numId w:val="1"/>
        </w:numPr>
        <w:spacing w:before="0" w:after="50" w:line="252" w:lineRule="auto"/>
        <w:ind w:left="360" w:hanging="220"/>
      </w:pPr>
      <w:r>
        <w:rPr>
          <w:rFonts w:ascii="Calibri" w:cs="Calibri" w:eastAsia="Calibri" w:hAnsi="Calibri"/>
          <w:sz w:val="20"/>
          <w:szCs w:val="20"/>
        </w:rPr>
        <w:t xml:space="preserve">Hydrostatic water (El. 742.0 behind the wall, El. 726.0 in front): −1,375 psf at El. 726.0 to −626 psf at El. 720.0.</w:t>
      </w:r>
    </w:p>
    <w:p>
      <w:pPr>
        <w:numPr>
          <w:ilvl w:val="0"/>
          <w:numId w:val="1"/>
        </w:numPr>
        <w:spacing w:before="0" w:after="50" w:line="252" w:lineRule="auto"/>
        <w:ind w:left="360" w:hanging="220"/>
      </w:pPr>
      <w:r>
        <w:rPr>
          <w:rFonts w:ascii="Calibri" w:cs="Calibri" w:eastAsia="Calibri" w:hAnsi="Calibri"/>
          <w:sz w:val="20"/>
          <w:szCs w:val="20"/>
        </w:rPr>
        <w:t xml:space="preserve">Steady seepage to the pumped aquifer head of El. 726.5: −982 psf to −84 psf.</w:t>
      </w:r>
    </w:p>
    <w:p>
      <w:pPr>
        <w:spacing w:before="0" w:after="100" w:line="252" w:lineRule="auto"/>
      </w:pPr>
      <w:r>
        <w:rPr>
          <w:rFonts w:ascii="Calibri" w:cs="Calibri" w:eastAsia="Calibri" w:hAnsi="Calibri"/>
          <w:sz w:val="20"/>
          <w:szCs w:val="20"/>
        </w:rPr>
        <w:t xml:space="preserve">In the drained state, therefore, the clay above El. 720.0 provides no toe resistance at any embedment. The design also does not address the differential head across sheeting that extends into the clay (GIR §8.2, item 3). No toe embedment within the clay can be made to work, and the support system has to be re-engineered.</w:t>
      </w:r>
    </w:p>
    <w:p>
      <w:pPr>
        <w:spacing w:before="0" w:after="120" w:line="240" w:lineRule="auto"/>
      </w:pPr>
      <w:r>
        <w:rPr>
          <w:rFonts w:ascii="Calibri" w:cs="Calibri" w:eastAsia="Calibri" w:hAnsi="Calibri"/>
          <w:i/>
          <w:iCs/>
          <w:color w:val="595959"/>
          <w:sz w:val="16"/>
          <w:szCs w:val="16"/>
        </w:rPr>
        <w:t xml:space="preserve">Record: R2 p.2 (R2.1), p.3 (R2.4); R1 p.6 (§3.2), p.7 (§4.4), p.10 (§6.1); CON (B-06 U3, B-08 U2 and Summary sheets); GIR p.16 (§8.2 item 3).</w:t>
      </w:r>
    </w:p>
    <w:p>
      <w:pPr>
        <w:keepNext/>
        <w:spacing w:before="160" w:after="60"/>
      </w:pPr>
      <w:r>
        <w:rPr>
          <w:rFonts w:ascii="Calibri" w:cs="Calibri" w:eastAsia="Calibri" w:hAnsi="Calibri"/>
          <w:b/>
          <w:bCs/>
          <w:sz w:val="20"/>
          <w:szCs w:val="20"/>
        </w:rPr>
        <w:t xml:space="preserve">4.5  Tieback anchors (R2.5): the bond zone lies in the clay, and the capacity is below the design load</w:t>
      </w:r>
    </w:p>
    <w:p>
      <w:pPr>
        <w:spacing w:before="0" w:after="100" w:line="252" w:lineRule="auto"/>
      </w:pPr>
      <w:r>
        <w:rPr>
          <w:rFonts w:ascii="Calibri" w:cs="Calibri" w:eastAsia="Calibri" w:hAnsi="Calibri"/>
          <w:sz w:val="20"/>
          <w:szCs w:val="20"/>
        </w:rPr>
        <w:t xml:space="preserve">The anchors start at El. 745.5 and are inclined 20° below horizontal, with a 25-ft free length and a 24-ft bond length. The bond zone therefore runs from El. 745.5 − 25 sin 20° = El. 737.0 to El. 745.5 − 49 sin 20° = El. 728.7. That is entirely within the CL clay (El. 738.0–720.0), and it extends about 46 ft horizontally behind the wall. R1 §10.1 describes the bond as “seated in the deep sand and gravel stratum below El. 720.0”; at 20° that would need an axial length of 74.6 ft.</w:t>
      </w:r>
    </w:p>
    <w:p>
      <w:pPr>
        <w:spacing w:before="0" w:after="100" w:line="252" w:lineRule="auto"/>
      </w:pPr>
      <w:r>
        <w:rPr>
          <w:rFonts w:ascii="Calibri" w:cs="Calibri" w:eastAsia="Calibri" w:hAnsi="Calibri"/>
          <w:sz w:val="20"/>
          <w:szCs w:val="20"/>
        </w:rPr>
        <w:t xml:space="preserve">The adopted bond stress of 20 psi (2,880 psf) is, by R1 §10.4’s own citation, a pressure-grouted dense sand-and-gravel value. It is 2.6–3.2 times the logged s</w:t>
      </w:r>
      <w:r>
        <w:rPr>
          <w:rFonts w:ascii="Calibri" w:cs="Calibri" w:eastAsia="Calibri" w:hAnsi="Calibri"/>
          <w:sz w:val="20"/>
          <w:szCs w:val="20"/>
          <w:vertAlign w:val="subscript"/>
        </w:rPr>
        <w:t xml:space="preserve">u</w:t>
      </w:r>
      <w:r>
        <w:rPr>
          <w:rFonts w:ascii="Calibri" w:cs="Calibri" w:eastAsia="Calibri" w:hAnsi="Calibri"/>
          <w:sz w:val="20"/>
          <w:szCs w:val="20"/>
        </w:rPr>
        <w:t xml:space="preserve"> of the clay in which the bond actually sits, and grout-to-ground shear cannot exceed the shear strength of that clay. On R2.5’s 6.0-in hole the ultimate capacity is therefore at most π × 0.5 ft × 24 ft × s</w:t>
      </w:r>
      <w:r>
        <w:rPr>
          <w:rFonts w:ascii="Calibri" w:cs="Calibri" w:eastAsia="Calibri" w:hAnsi="Calibri"/>
          <w:sz w:val="20"/>
          <w:szCs w:val="20"/>
          <w:vertAlign w:val="subscript"/>
        </w:rPr>
        <w:t xml:space="preserve">u</w:t>
      </w:r>
      <w:r>
        <w:rPr>
          <w:rFonts w:ascii="Calibri" w:cs="Calibri" w:eastAsia="Calibri" w:hAnsi="Calibri"/>
          <w:sz w:val="20"/>
          <w:szCs w:val="20"/>
        </w:rPr>
        <w:t xml:space="preserve"> = </w:t>
      </w:r>
      <w:r>
        <w:rPr>
          <w:rFonts w:ascii="Calibri" w:cs="Calibri" w:eastAsia="Calibri" w:hAnsi="Calibri"/>
          <w:b/>
          <w:bCs/>
          <w:sz w:val="20"/>
          <w:szCs w:val="20"/>
        </w:rPr>
        <w:t xml:space="preserve">33.9–41.5 kips</w:t>
      </w:r>
      <w:r>
        <w:rPr>
          <w:rFonts w:ascii="Calibri" w:cs="Calibri" w:eastAsia="Calibri" w:hAnsi="Calibri"/>
          <w:sz w:val="20"/>
          <w:szCs w:val="20"/>
        </w:rPr>
        <w:t xml:space="preserve"> (α = 1.0). That is 0.60–0.74 of the 56.2-kip design load and 0.45–0.55 of the 74.8-kip proof load. The anchors as detailed would fail proof testing after the sheets are driven and the first lift is taken. R2 nevertheless makes that proof test “the demonstration of anchor performance”.</w:t>
      </w:r>
    </w:p>
    <w:p>
      <w:pPr>
        <w:spacing w:before="0" w:after="100" w:line="252" w:lineRule="auto"/>
      </w:pPr>
      <w:r>
        <w:rPr>
          <w:rFonts w:ascii="Calibri" w:cs="Calibri" w:eastAsia="Calibri" w:hAnsi="Calibri"/>
          <w:sz w:val="20"/>
          <w:szCs w:val="20"/>
        </w:rPr>
        <w:t xml:space="preserve">Three further points:</w:t>
      </w:r>
    </w:p>
    <w:p>
      <w:pPr>
        <w:numPr>
          <w:ilvl w:val="0"/>
          <w:numId w:val="1"/>
        </w:numPr>
        <w:spacing w:before="0" w:after="50" w:line="252" w:lineRule="auto"/>
        <w:ind w:left="360" w:hanging="220"/>
      </w:pPr>
      <w:r>
        <w:rPr>
          <w:rFonts w:ascii="Calibri" w:cs="Calibri" w:eastAsia="Calibri" w:hAnsi="Calibri"/>
          <w:sz w:val="20"/>
          <w:szCs w:val="20"/>
        </w:rPr>
        <w:t xml:space="preserve">R2.5 provides for casing “grouted over the aquitard interval to seal against artesian seepage”. That does not match the anchor geometry, since the anchors never reach the aquifer.</w:t>
      </w:r>
    </w:p>
    <w:p>
      <w:pPr>
        <w:numPr>
          <w:ilvl w:val="0"/>
          <w:numId w:val="1"/>
        </w:numPr>
        <w:spacing w:before="0" w:after="50" w:line="252" w:lineRule="auto"/>
        <w:ind w:left="360" w:hanging="220"/>
      </w:pPr>
      <w:r>
        <w:rPr>
          <w:rFonts w:ascii="Calibri" w:cs="Calibri" w:eastAsia="Calibri" w:hAnsi="Calibri"/>
          <w:sz w:val="20"/>
          <w:szCs w:val="20"/>
        </w:rPr>
        <w:t xml:space="preserve">The anchor reaction credits the allowable passive force (16,211 / 1.5 = 10,807 lb/ft) in horizontal equilibrium. The passive force needed for moment equilibrium is 237,293 / 22.75 = 10,430 lb/ft, which gives T</w:t>
      </w:r>
      <w:r>
        <w:rPr>
          <w:rFonts w:ascii="Calibri" w:cs="Calibri" w:eastAsia="Calibri" w:hAnsi="Calibri"/>
          <w:sz w:val="20"/>
          <w:szCs w:val="20"/>
          <w:vertAlign w:val="subscript"/>
        </w:rPr>
        <w:t xml:space="preserve">h</w:t>
      </w:r>
      <w:r>
        <w:rPr>
          <w:rFonts w:ascii="Calibri" w:cs="Calibri" w:eastAsia="Calibri" w:hAnsi="Calibri"/>
          <w:sz w:val="20"/>
          <w:szCs w:val="20"/>
        </w:rPr>
        <w:t xml:space="preserve"> = 9,180 lb/ft (58.6 kips per anchor, 4% above R2.5).</w:t>
      </w:r>
    </w:p>
    <w:p>
      <w:pPr>
        <w:numPr>
          <w:ilvl w:val="0"/>
          <w:numId w:val="1"/>
        </w:numPr>
        <w:spacing w:before="0" w:after="50" w:line="252" w:lineRule="auto"/>
        <w:ind w:left="360" w:hanging="220"/>
      </w:pPr>
      <w:r>
        <w:rPr>
          <w:rFonts w:ascii="Calibri" w:cs="Calibri" w:eastAsia="Calibri" w:hAnsi="Calibri"/>
          <w:sz w:val="20"/>
          <w:szCs w:val="20"/>
        </w:rPr>
        <w:t xml:space="preserve">R2.5 draws its tendon and bond stress from R1 §10.1 and §10.4, which R2’s own Table 1 declares superseded.</w:t>
      </w:r>
    </w:p>
    <w:p>
      <w:pPr>
        <w:spacing w:before="0" w:after="120" w:line="240" w:lineRule="auto"/>
      </w:pPr>
      <w:r>
        <w:rPr>
          <w:rFonts w:ascii="Calibri" w:cs="Calibri" w:eastAsia="Calibri" w:hAnsi="Calibri"/>
          <w:i/>
          <w:iCs/>
          <w:color w:val="595959"/>
          <w:sz w:val="16"/>
          <w:szCs w:val="16"/>
        </w:rPr>
        <w:t xml:space="preserve">Record: R2 p.1 (Table 1), pp.3–4 (R2.5); R1 p.15 (§10.1, §10.4); GIR p.13 (§6.3).</w:t>
      </w:r>
    </w:p>
    <w:p>
      <w:pPr>
        <w:keepNext/>
        <w:spacing w:before="160" w:after="60"/>
      </w:pPr>
      <w:r>
        <w:rPr>
          <w:rFonts w:ascii="Calibri" w:cs="Calibri" w:eastAsia="Calibri" w:hAnsi="Calibri"/>
          <w:b/>
          <w:bCs/>
          <w:sz w:val="20"/>
          <w:szCs w:val="20"/>
        </w:rPr>
        <w:t xml:space="preserve">4.6  Base heave and depressurisation (R2.1, R2.2, R2.7 trigger): the arithmetic is right, but the controls and the failure case do not meet DBM §6.2 or GIR §9.4</w:t>
      </w:r>
    </w:p>
    <w:p>
      <w:pPr>
        <w:spacing w:before="0" w:after="100" w:line="252" w:lineRule="auto"/>
      </w:pPr>
      <w:r>
        <w:rPr>
          <w:rFonts w:ascii="Calibri" w:cs="Calibri" w:eastAsia="Calibri" w:hAnsi="Calibri"/>
          <w:sz w:val="20"/>
          <w:szCs w:val="20"/>
        </w:rPr>
        <w:t xml:space="preserve">Reproduced: plug weight W = 6.0 × 120 = 720 psf; 0.9W = 648 psf. At the controlled head of El. 726.5 the uplift is u = 6.5 × 62.4 = 405.6 psf, so FS = 0.9W/u = 1.60. The controls built around that number do not hold:</w:t>
      </w:r>
    </w:p>
    <w:p>
      <w:pPr>
        <w:numPr>
          <w:ilvl w:val="0"/>
          <w:numId w:val="1"/>
        </w:numPr>
        <w:spacing w:before="0" w:after="50" w:line="252" w:lineRule="auto"/>
        <w:ind w:left="360" w:hanging="220"/>
      </w:pPr>
      <w:r>
        <w:rPr>
          <w:rFonts w:ascii="Calibri" w:cs="Calibri" w:eastAsia="Calibri" w:hAnsi="Calibri"/>
          <w:b/>
          <w:bCs/>
          <w:sz w:val="20"/>
          <w:szCs w:val="20"/>
        </w:rPr>
        <w:t xml:space="preserve">Stop-work trigger.</w:t>
      </w:r>
      <w:r>
        <w:rPr>
          <w:rFonts w:ascii="Calibri" w:cs="Calibri" w:eastAsia="Calibri" w:hAnsi="Calibri"/>
          <w:sz w:val="20"/>
          <w:szCs w:val="20"/>
        </w:rPr>
        <w:t xml:space="preserve"> R2.7 lets excavation continue until a piezometer exceeds El. 727.0. At El. 727.0 the uplift is 436.8 psf and 0.9W/u = 1.48, below the 1.5 minimum. The highest head compatible with DBM §6.2 at subgrade is El. 726.9, before any allowance for instrument accuracy or response time.</w:t>
      </w:r>
    </w:p>
    <w:p>
      <w:pPr>
        <w:numPr>
          <w:ilvl w:val="0"/>
          <w:numId w:val="1"/>
        </w:numPr>
        <w:spacing w:before="0" w:after="50" w:line="252" w:lineRule="auto"/>
        <w:ind w:left="360" w:hanging="220"/>
      </w:pPr>
      <w:r>
        <w:rPr>
          <w:rFonts w:ascii="Calibri" w:cs="Calibri" w:eastAsia="Calibri" w:hAnsi="Calibri"/>
          <w:b/>
          <w:bCs/>
          <w:sz w:val="20"/>
          <w:szCs w:val="20"/>
        </w:rPr>
        <w:t xml:space="preserve">Loss of pumping.</w:t>
      </w:r>
      <w:r>
        <w:rPr>
          <w:rFonts w:ascii="Calibri" w:cs="Calibri" w:eastAsia="Calibri" w:hAnsi="Calibri"/>
          <w:sz w:val="20"/>
          <w:szCs w:val="20"/>
        </w:rPr>
        <w:t xml:space="preserve"> At the logged head of El. 738.0 the uplift at subgrade is 1,123.2 psf. Then 0.9W/u = 0.58 (0.57 at El. 738.3), and even unfactored the plug weighs only 0.64 of the uplift. Crediting full shear on the plug perimeter at the logged s</w:t>
      </w:r>
      <w:r>
        <w:rPr>
          <w:rFonts w:ascii="Calibri" w:cs="Calibri" w:eastAsia="Calibri" w:hAnsi="Calibri"/>
          <w:sz w:val="20"/>
          <w:szCs w:val="20"/>
          <w:vertAlign w:val="subscript"/>
        </w:rPr>
        <w:t xml:space="preserve">u</w:t>
      </w:r>
      <w:r>
        <w:rPr>
          <w:rFonts w:ascii="Calibri" w:cs="Calibri" w:eastAsia="Calibri" w:hAnsi="Calibri"/>
          <w:sz w:val="20"/>
          <w:szCs w:val="20"/>
        </w:rPr>
        <w:t xml:space="preserve"> (GIR §8.2; R1 plan 68 × 44 ft) raises the factored ratio only to about 0.94–1.02.</w:t>
      </w:r>
    </w:p>
    <w:p>
      <w:pPr>
        <w:numPr>
          <w:ilvl w:val="0"/>
          <w:numId w:val="1"/>
        </w:numPr>
        <w:spacing w:before="0" w:after="50" w:line="252" w:lineRule="auto"/>
        <w:ind w:left="360" w:hanging="220"/>
      </w:pPr>
      <w:r>
        <w:rPr>
          <w:rFonts w:ascii="Calibri" w:cs="Calibri" w:eastAsia="Calibri" w:hAnsi="Calibri"/>
          <w:b/>
          <w:bCs/>
          <w:sz w:val="20"/>
          <w:szCs w:val="20"/>
        </w:rPr>
        <w:t xml:space="preserve">Hold elevation.</w:t>
      </w:r>
      <w:r>
        <w:rPr>
          <w:rFonts w:ascii="Calibri" w:cs="Calibri" w:eastAsia="Calibri" w:hAnsi="Calibri"/>
          <w:sz w:val="20"/>
          <w:szCs w:val="20"/>
        </w:rPr>
        <w:t xml:space="preserve"> With no pumping, the factor falls below 1.5 once the excavation passes El. 735.6 and reaches 1.0 at El. 730.4. R2 requires the 72-hour confirmation only before excavating below El. 732.0, where the unpumped factor is 1.15, and its piezometer trigger applies only below El. 732.0.</w:t>
      </w:r>
    </w:p>
    <w:p>
      <w:pPr>
        <w:numPr>
          <w:ilvl w:val="0"/>
          <w:numId w:val="1"/>
        </w:numPr>
        <w:spacing w:before="0" w:after="50" w:line="252" w:lineRule="auto"/>
        <w:ind w:left="360" w:hanging="220"/>
      </w:pPr>
      <w:r>
        <w:rPr>
          <w:rFonts w:ascii="Calibri" w:cs="Calibri" w:eastAsia="Calibri" w:hAnsi="Calibri"/>
          <w:b/>
          <w:bCs/>
          <w:sz w:val="20"/>
          <w:szCs w:val="20"/>
        </w:rPr>
        <w:t xml:space="preserve">Undesigned system.</w:t>
      </w:r>
      <w:r>
        <w:rPr>
          <w:rFonts w:ascii="Calibri" w:cs="Calibri" w:eastAsia="Calibri" w:hAnsi="Calibri"/>
          <w:sz w:val="20"/>
          <w:szCs w:val="20"/>
        </w:rPr>
        <w:t xml:space="preserve"> From El. 735.6 down, stability rests entirely on four pumped wells, and R2 does not design them. It provides no pumping test, no aquifer transmissivity or storage, and no well-yield or drawdown calculation for an aquifer that is at least 60 ft thick, very dense and recharged upgradient. It has no standby pumps, power or alarms, no procedure for loss of pumping (for example, controlled re-flooding of the pit), and no discharge estimate or permit. GIR §9.4 requires the dewatering plan and the shoring design together to demonstrate the factor of safety, and DW-A requires a separately sealed groundwater control analysis for this condition. The Submittal Register records Block B groundwater control as “addressed by shoring cutoff (31-SH-B)”, yet R2.4 states that the sheets are “not credited as a cutoff”. No Block B dewatering submittal exists, and the Block B dewatering change-order proposal CO-19 is still in negotiation.</w:t>
      </w:r>
    </w:p>
    <w:p>
      <w:pPr>
        <w:numPr>
          <w:ilvl w:val="0"/>
          <w:numId w:val="1"/>
        </w:numPr>
        <w:spacing w:before="0" w:after="50" w:line="252" w:lineRule="auto"/>
        <w:ind w:left="360" w:hanging="220"/>
      </w:pPr>
      <w:r>
        <w:rPr>
          <w:rFonts w:ascii="Calibri" w:cs="Calibri" w:eastAsia="Calibri" w:hAnsi="Calibri"/>
          <w:b/>
          <w:bCs/>
          <w:sz w:val="20"/>
          <w:szCs w:val="20"/>
        </w:rPr>
        <w:t xml:space="preserve">Termination.</w:t>
      </w:r>
      <w:r>
        <w:rPr>
          <w:rFonts w:ascii="Calibri" w:cs="Calibri" w:eastAsia="Calibri" w:hAnsi="Calibri"/>
          <w:sz w:val="20"/>
          <w:szCs w:val="20"/>
        </w:rPr>
        <w:t xml:space="preserve"> Pumping is to stop when the plant-room slab is cast (R2.1). That criterion is not tied to the permanent structure’s ability to resist the El. 738.0 confined uplift, which is for the EOR to set.</w:t>
      </w:r>
    </w:p>
    <w:p>
      <w:pPr>
        <w:spacing w:before="0" w:after="120" w:line="240" w:lineRule="auto"/>
      </w:pPr>
      <w:r>
        <w:rPr>
          <w:rFonts w:ascii="Calibri" w:cs="Calibri" w:eastAsia="Calibri" w:hAnsi="Calibri"/>
          <w:i/>
          <w:iCs/>
          <w:color w:val="595959"/>
          <w:sz w:val="16"/>
          <w:szCs w:val="16"/>
        </w:rPr>
        <w:t xml:space="preserve">Record: R2 p.2 (R2.1), p.3 (R2.2), p.4 (R2.7); DBM p.6 (§6.2); GIR p.13 (§6.4, §7.2), pp.15–16 (§8.2), p.18 (§9.4); BL p.13; DW-A p.3 (§1.2), p.7 (§4.1); SR (31-DW-A, 31-SH-B entries); MPR14 p.6 (§7).</w:t>
      </w:r>
    </w:p>
    <w:p>
      <w:pPr>
        <w:keepNext/>
        <w:spacing w:before="160" w:after="60"/>
      </w:pPr>
      <w:r>
        <w:rPr>
          <w:rFonts w:ascii="Calibri" w:cs="Calibri" w:eastAsia="Calibri" w:hAnsi="Calibri"/>
          <w:b/>
          <w:bCs/>
          <w:sz w:val="20"/>
          <w:szCs w:val="20"/>
        </w:rPr>
        <w:t xml:space="preserve">4.7  Remaining checks</w:t>
      </w:r>
    </w:p>
    <w:p>
      <w:pPr>
        <w:numPr>
          <w:ilvl w:val="0"/>
          <w:numId w:val="1"/>
        </w:numPr>
        <w:spacing w:before="0" w:after="50" w:line="252" w:lineRule="auto"/>
        <w:ind w:left="360" w:hanging="220"/>
      </w:pPr>
      <w:r>
        <w:rPr>
          <w:rFonts w:ascii="Calibri" w:cs="Calibri" w:eastAsia="Calibri" w:hAnsi="Calibri"/>
          <w:b/>
          <w:bCs/>
          <w:sz w:val="20"/>
          <w:szCs w:val="20"/>
        </w:rPr>
        <w:t xml:space="preserve">R2.6, bending.</w:t>
      </w:r>
      <w:r>
        <w:rPr>
          <w:rFonts w:ascii="Calibri" w:cs="Calibri" w:eastAsia="Calibri" w:hAnsi="Calibri"/>
          <w:sz w:val="20"/>
          <w:szCs w:val="20"/>
        </w:rPr>
        <w:t xml:space="preserve"> Reproduced: zero shear at El. 733.1 and M</w:t>
      </w:r>
      <w:r>
        <w:rPr>
          <w:rFonts w:ascii="Calibri" w:cs="Calibri" w:eastAsia="Calibri" w:hAnsi="Calibri"/>
          <w:sz w:val="20"/>
          <w:szCs w:val="20"/>
          <w:vertAlign w:val="subscript"/>
        </w:rPr>
        <w:t xml:space="preserve">max</w:t>
      </w:r>
      <w:r>
        <w:rPr>
          <w:rFonts w:ascii="Calibri" w:cs="Calibri" w:eastAsia="Calibri" w:hAnsi="Calibri"/>
          <w:sz w:val="20"/>
          <w:szCs w:val="20"/>
        </w:rPr>
        <w:t xml:space="preserve"> = 62.5 kip-ft/ft (R2: 62.4), against M</w:t>
      </w:r>
      <w:r>
        <w:rPr>
          <w:rFonts w:ascii="Calibri" w:cs="Calibri" w:eastAsia="Calibri" w:hAnsi="Calibri"/>
          <w:sz w:val="20"/>
          <w:szCs w:val="20"/>
          <w:vertAlign w:val="subscript"/>
        </w:rPr>
        <w:t xml:space="preserve">allow</w:t>
      </w:r>
      <w:r>
        <w:rPr>
          <w:rFonts w:ascii="Calibri" w:cs="Calibri" w:eastAsia="Calibri" w:hAnsi="Calibri"/>
          <w:sz w:val="20"/>
          <w:szCs w:val="20"/>
        </w:rPr>
        <w:t xml:space="preserve"> = 30 ksi × 48.5 in³/ft ÷ 12 = 121 kip-ft/ft. The section capacity stands. The demand does not, because it depends on the support conditions in 4.3–4.5; with the equilibrium-consistent anchor reaction alone it rises to 67.2 kip-ft/ft.</w:t>
      </w:r>
    </w:p>
    <w:p>
      <w:pPr>
        <w:numPr>
          <w:ilvl w:val="0"/>
          <w:numId w:val="1"/>
        </w:numPr>
        <w:spacing w:before="0" w:after="50" w:line="252" w:lineRule="auto"/>
        <w:ind w:left="360" w:hanging="220"/>
      </w:pPr>
      <w:r>
        <w:rPr>
          <w:rFonts w:ascii="Calibri" w:cs="Calibri" w:eastAsia="Calibri" w:hAnsi="Calibri"/>
          <w:b/>
          <w:bCs/>
          <w:sz w:val="20"/>
          <w:szCs w:val="20"/>
        </w:rPr>
        <w:t xml:space="preserve">R2.7, deflection.</w:t>
      </w:r>
      <w:r>
        <w:rPr>
          <w:rFonts w:ascii="Calibri" w:cs="Calibri" w:eastAsia="Calibri" w:hAnsi="Calibri"/>
          <w:sz w:val="20"/>
          <w:szCs w:val="20"/>
        </w:rPr>
        <w:t xml:space="preserve"> The 1.3-in prediction (against H/200 = 1.44 in) depends on the same failed support conditions. It also exceeds the 1.20-in “stop excavation” action level of R1 §13.2, which R2 keeps in force, so the design predicts that its own stop-work level will be reached. And H/200 is a generic limit that is not related to the permanent work beside the pit (Finding 4.9).</w:t>
      </w:r>
    </w:p>
    <w:p>
      <w:pPr>
        <w:numPr>
          <w:ilvl w:val="0"/>
          <w:numId w:val="1"/>
        </w:numPr>
        <w:spacing w:before="0" w:after="50" w:line="252" w:lineRule="auto"/>
        <w:ind w:left="360" w:hanging="220"/>
      </w:pPr>
      <w:r>
        <w:rPr>
          <w:rFonts w:ascii="Calibri" w:cs="Calibri" w:eastAsia="Calibri" w:hAnsi="Calibri"/>
          <w:b/>
          <w:bCs/>
          <w:sz w:val="20"/>
          <w:szCs w:val="20"/>
        </w:rPr>
        <w:t xml:space="preserve">R1 §8, sliding and overturning (kept in force).</w:t>
      </w:r>
      <w:r>
        <w:rPr>
          <w:rFonts w:ascii="Calibri" w:cs="Calibri" w:eastAsia="Calibri" w:hAnsi="Calibri"/>
          <w:sz w:val="20"/>
          <w:szCs w:val="20"/>
        </w:rPr>
        <w:t xml:space="preserve"> These checks (FS 2.06) use the dry-case forces P</w:t>
      </w:r>
      <w:r>
        <w:rPr>
          <w:rFonts w:ascii="Calibri" w:cs="Calibri" w:eastAsia="Calibri" w:hAnsi="Calibri"/>
          <w:sz w:val="20"/>
          <w:szCs w:val="20"/>
          <w:vertAlign w:val="subscript"/>
        </w:rPr>
        <w:t xml:space="preserve">A</w:t>
      </w:r>
      <w:r>
        <w:rPr>
          <w:rFonts w:ascii="Calibri" w:cs="Calibri" w:eastAsia="Calibri" w:hAnsi="Calibri"/>
          <w:sz w:val="20"/>
          <w:szCs w:val="20"/>
        </w:rPr>
        <w:t xml:space="preserve"> = 17,844 lb/ft and T = 15,354 lb/ft, which no longer exist.</w:t>
      </w:r>
    </w:p>
    <w:p>
      <w:pPr>
        <w:numPr>
          <w:ilvl w:val="0"/>
          <w:numId w:val="1"/>
        </w:numPr>
        <w:spacing w:before="0" w:after="50" w:line="252" w:lineRule="auto"/>
        <w:ind w:left="360" w:hanging="220"/>
      </w:pPr>
      <w:r>
        <w:rPr>
          <w:rFonts w:ascii="Calibri" w:cs="Calibri" w:eastAsia="Calibri" w:hAnsi="Calibri"/>
          <w:b/>
          <w:bCs/>
          <w:sz w:val="20"/>
          <w:szCs w:val="20"/>
        </w:rPr>
        <w:t xml:space="preserve">R1 §11.3, driveability (kept in force).</w:t>
      </w:r>
      <w:r>
        <w:rPr>
          <w:rFonts w:ascii="Calibri" w:cs="Calibri" w:eastAsia="Calibri" w:hAnsi="Calibri"/>
          <w:sz w:val="20"/>
          <w:szCs w:val="20"/>
        </w:rPr>
        <w:t xml:space="preserve"> This covers 28-ft sheets to El. 722.0 in clay, not 30.5-ft sheets into SW-GW at refusal.</w:t>
      </w:r>
    </w:p>
    <w:p>
      <w:pPr>
        <w:numPr>
          <w:ilvl w:val="0"/>
          <w:numId w:val="1"/>
        </w:numPr>
        <w:spacing w:before="0" w:after="50" w:line="252" w:lineRule="auto"/>
        <w:ind w:left="360" w:hanging="220"/>
      </w:pPr>
      <w:r>
        <w:rPr>
          <w:rFonts w:ascii="Calibri" w:cs="Calibri" w:eastAsia="Calibri" w:hAnsi="Calibri"/>
          <w:b/>
          <w:bCs/>
          <w:sz w:val="20"/>
          <w:szCs w:val="20"/>
        </w:rPr>
        <w:t xml:space="preserve">R1 §11.4, wale (kept in force).</w:t>
      </w:r>
      <w:r>
        <w:rPr>
          <w:rFonts w:ascii="Calibri" w:cs="Calibri" w:eastAsia="Calibri" w:hAnsi="Calibri"/>
          <w:sz w:val="20"/>
          <w:szCs w:val="20"/>
        </w:rPr>
        <w:t xml:space="preserve"> Doubled MC12×50 spanning 6 ft between anchors: demand 70.7 kip-ft at 15,700 lb/ft against an allowable 223 kip-ft. That capacity statement stands, provided the re-derived anchor reaction does not exceed 15,700 lb/ft.</w:t>
      </w:r>
    </w:p>
    <w:p>
      <w:pPr>
        <w:spacing w:before="0" w:after="120" w:line="240" w:lineRule="auto"/>
      </w:pPr>
      <w:r>
        <w:rPr>
          <w:rFonts w:ascii="Calibri" w:cs="Calibri" w:eastAsia="Calibri" w:hAnsi="Calibri"/>
          <w:i/>
          <w:iCs/>
          <w:color w:val="595959"/>
          <w:sz w:val="16"/>
          <w:szCs w:val="16"/>
        </w:rPr>
        <w:t xml:space="preserve">Record: R2 p.4 (R2.6, R2.7); R1 p.13 (§8), pp.16–17 (§11.2–11.4), p.18 (§12), p.19 (§13.2).</w:t>
      </w:r>
    </w:p>
    <w:p>
      <w:pPr>
        <w:keepNext/>
        <w:spacing w:before="160" w:after="60"/>
      </w:pPr>
      <w:r>
        <w:rPr>
          <w:rFonts w:ascii="Calibri" w:cs="Calibri" w:eastAsia="Calibri" w:hAnsi="Calibri"/>
          <w:b/>
          <w:bCs/>
          <w:sz w:val="20"/>
          <w:szCs w:val="20"/>
        </w:rPr>
        <w:t xml:space="preserve">4.8  “Rev.1 as supplemented by Rev.2” is not a coherent document</w:t>
      </w:r>
    </w:p>
    <w:p>
      <w:pPr>
        <w:spacing w:before="0" w:after="100" w:line="252" w:lineRule="auto"/>
      </w:pPr>
      <w:r>
        <w:rPr>
          <w:rFonts w:ascii="Calibri" w:cs="Calibri" w:eastAsia="Calibri" w:hAnsi="Calibri"/>
          <w:sz w:val="20"/>
          <w:szCs w:val="20"/>
        </w:rPr>
        <w:t xml:space="preserve">R2’s supersession matrix gives R1 section numbers titles that do not match R1’s contents. As a result it keeps in force provisions that R2 itself withdraws, and it supersedes sections whose substance it then relies on:</w:t>
      </w:r>
    </w:p>
    <w:tbl>
      <w:tblPr>
        <w:tblW w:w="9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80" w:type="dxa"/>
          <w:bottom w:w="30" w:type="dxa"/>
          <w:right w:w="80" w:type="dxa"/>
        </w:tblCellMar>
      </w:tblPr>
      <w:tblGrid>
        <w:gridCol w:w="1000"/>
        <w:gridCol w:w="3700"/>
        <w:gridCol w:w="5020"/>
      </w:tblGrid>
      <w:tr>
        <w:trPr>
          <w:cantSplit/>
          <w:tblHeader/>
        </w:trPr>
        <w:tc>
          <w:tcPr>
            <w:tcW w:w="1000" w:type="dxa"/>
            <w:shd w:val="clear" w:color="auto" w:fill="D9D9D9"/>
            <w:vAlign w:val="top"/>
          </w:tcPr>
          <w:p>
            <w:pPr>
              <w:spacing w:before="0" w:after="20" w:line="240" w:lineRule="auto"/>
            </w:pPr>
            <w:r>
              <w:rPr>
                <w:rFonts w:ascii="Calibri" w:cs="Calibri" w:eastAsia="Calibri" w:hAnsi="Calibri"/>
                <w:b/>
                <w:bCs/>
                <w:sz w:val="16"/>
                <w:szCs w:val="16"/>
              </w:rPr>
              <w:t xml:space="preserve">Rev.1 §</w:t>
            </w:r>
          </w:p>
        </w:tc>
        <w:tc>
          <w:tcPr>
            <w:tcW w:w="3700" w:type="dxa"/>
            <w:shd w:val="clear" w:color="auto" w:fill="D9D9D9"/>
            <w:vAlign w:val="top"/>
          </w:tcPr>
          <w:p>
            <w:pPr>
              <w:spacing w:before="0" w:after="20" w:line="240" w:lineRule="auto"/>
            </w:pPr>
            <w:r>
              <w:rPr>
                <w:rFonts w:ascii="Calibri" w:cs="Calibri" w:eastAsia="Calibri" w:hAnsi="Calibri"/>
                <w:b/>
                <w:bCs/>
                <w:sz w:val="16"/>
                <w:szCs w:val="16"/>
              </w:rPr>
              <w:t xml:space="preserve">Title and status given in R2 Table 1</w:t>
            </w:r>
          </w:p>
        </w:tc>
        <w:tc>
          <w:tcPr>
            <w:tcW w:w="5020" w:type="dxa"/>
            <w:shd w:val="clear" w:color="auto" w:fill="D9D9D9"/>
            <w:vAlign w:val="top"/>
          </w:tcPr>
          <w:p>
            <w:pPr>
              <w:spacing w:before="0" w:after="20" w:line="240" w:lineRule="auto"/>
            </w:pPr>
            <w:r>
              <w:rPr>
                <w:rFonts w:ascii="Calibri" w:cs="Calibri" w:eastAsia="Calibri" w:hAnsi="Calibri"/>
                <w:b/>
                <w:bCs/>
                <w:sz w:val="16"/>
                <w:szCs w:val="16"/>
              </w:rPr>
              <w:t xml:space="preserve">What R1 actually contains (page)</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1, 2</w:t>
            </w:r>
          </w:p>
        </w:tc>
        <w:tc>
          <w:tcPr>
            <w:tcW w:w="3700" w:type="dxa"/>
            <w:vAlign w:val="top"/>
          </w:tcPr>
          <w:p>
            <w:pPr>
              <w:spacing w:before="0" w:after="20" w:line="240" w:lineRule="auto"/>
            </w:pPr>
            <w:r>
              <w:rPr>
                <w:rFonts w:ascii="Calibri" w:cs="Calibri" w:eastAsia="Calibri" w:hAnsi="Calibri"/>
                <w:sz w:val="16"/>
                <w:szCs w:val="16"/>
              </w:rPr>
              <w:t xml:space="preserve">“Project Scope, Codes &amp; Site Reference Documents” — in force</w:t>
            </w:r>
          </w:p>
        </w:tc>
        <w:tc>
          <w:tcPr>
            <w:tcW w:w="5020" w:type="dxa"/>
            <w:vAlign w:val="top"/>
          </w:tcPr>
          <w:p>
            <w:pPr>
              <w:spacing w:before="0" w:after="20" w:line="240" w:lineRule="auto"/>
            </w:pPr>
            <w:r>
              <w:rPr>
                <w:rFonts w:ascii="Calibri" w:cs="Calibri" w:eastAsia="Calibri" w:hAnsi="Calibri"/>
                <w:sz w:val="16"/>
                <w:szCs w:val="16"/>
              </w:rPr>
              <w:t xml:space="preserve">§1.3: toe El. 722.0, D = 4 ft, “toed entirely within cohesive stratigraphy”; §2: design “assumes a dry excavation … per [31-DW-A]” (pp.3, 5)</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3.3, 4.2</w:t>
            </w:r>
          </w:p>
        </w:tc>
        <w:tc>
          <w:tcPr>
            <w:tcW w:w="3700" w:type="dxa"/>
            <w:vAlign w:val="top"/>
          </w:tcPr>
          <w:p>
            <w:pPr>
              <w:spacing w:before="0" w:after="20" w:line="240" w:lineRule="auto"/>
            </w:pPr>
            <w:r>
              <w:rPr>
                <w:rFonts w:ascii="Calibri" w:cs="Calibri" w:eastAsia="Calibri" w:hAnsi="Calibri"/>
                <w:sz w:val="16"/>
                <w:szCs w:val="16"/>
              </w:rPr>
              <w:t xml:space="preserve">Soil parameters; surcharge and equipment loads — in force</w:t>
            </w:r>
          </w:p>
        </w:tc>
        <w:tc>
          <w:tcPr>
            <w:tcW w:w="5020" w:type="dxa"/>
            <w:vAlign w:val="top"/>
          </w:tcPr>
          <w:p>
            <w:pPr>
              <w:spacing w:before="0" w:after="20" w:line="240" w:lineRule="auto"/>
            </w:pPr>
            <w:r>
              <w:rPr>
                <w:rFonts w:ascii="Calibri" w:cs="Calibri" w:eastAsia="Calibri" w:hAnsi="Calibri"/>
                <w:sz w:val="16"/>
                <w:szCs w:val="16"/>
              </w:rPr>
              <w:t xml:space="preserve">Blended profile, K</w:t>
            </w:r>
            <w:r>
              <w:rPr>
                <w:rFonts w:ascii="Calibri" w:cs="Calibri" w:eastAsia="Calibri" w:hAnsi="Calibri"/>
                <w:sz w:val="16"/>
                <w:szCs w:val="16"/>
                <w:vertAlign w:val="subscript"/>
              </w:rPr>
              <w:t xml:space="preserve">a</w:t>
            </w:r>
            <w:r>
              <w:rPr>
                <w:rFonts w:ascii="Calibri" w:cs="Calibri" w:eastAsia="Calibri" w:hAnsi="Calibri"/>
                <w:sz w:val="16"/>
                <w:szCs w:val="16"/>
              </w:rPr>
              <w:t xml:space="preserve"> = 0.333; surcharge pressure 83 psf on that K</w:t>
            </w:r>
            <w:r>
              <w:rPr>
                <w:rFonts w:ascii="Calibri" w:cs="Calibri" w:eastAsia="Calibri" w:hAnsi="Calibri"/>
                <w:sz w:val="16"/>
                <w:szCs w:val="16"/>
                <w:vertAlign w:val="subscript"/>
              </w:rPr>
              <w:t xml:space="preserve">a</w:t>
            </w:r>
            <w:r>
              <w:rPr>
                <w:rFonts w:ascii="Calibri" w:cs="Calibri" w:eastAsia="Calibri" w:hAnsi="Calibri"/>
                <w:sz w:val="16"/>
                <w:szCs w:val="16"/>
              </w:rPr>
              <w:t xml:space="preserve"> (pp.6–7). Conflicts with R2.3’s layered analysis.</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4.3</w:t>
            </w:r>
          </w:p>
        </w:tc>
        <w:tc>
          <w:tcPr>
            <w:tcW w:w="3700" w:type="dxa"/>
            <w:vAlign w:val="top"/>
          </w:tcPr>
          <w:p>
            <w:pPr>
              <w:spacing w:before="0" w:after="20" w:line="240" w:lineRule="auto"/>
            </w:pPr>
            <w:r>
              <w:rPr>
                <w:rFonts w:ascii="Calibri" w:cs="Calibri" w:eastAsia="Calibri" w:hAnsi="Calibri"/>
                <w:sz w:val="16"/>
                <w:szCs w:val="16"/>
              </w:rPr>
              <w:t xml:space="preserve">“Lateral Earth Pressure Diagram Above Subgrade” — superseded</w:t>
            </w:r>
          </w:p>
        </w:tc>
        <w:tc>
          <w:tcPr>
            <w:tcW w:w="5020" w:type="dxa"/>
            <w:vAlign w:val="top"/>
          </w:tcPr>
          <w:p>
            <w:pPr>
              <w:spacing w:before="0" w:after="20" w:line="240" w:lineRule="auto"/>
            </w:pPr>
            <w:r>
              <w:rPr>
                <w:rFonts w:ascii="Calibri" w:cs="Calibri" w:eastAsia="Calibri" w:hAnsi="Calibri"/>
                <w:sz w:val="16"/>
                <w:szCs w:val="16"/>
              </w:rPr>
              <w:t xml:space="preserve">Water-bearing load: none, because the excavation was assumed dry (p.7)</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5</w:t>
            </w:r>
          </w:p>
        </w:tc>
        <w:tc>
          <w:tcPr>
            <w:tcW w:w="3700" w:type="dxa"/>
            <w:vAlign w:val="top"/>
          </w:tcPr>
          <w:p>
            <w:pPr>
              <w:spacing w:before="0" w:after="20" w:line="240" w:lineRule="auto"/>
            </w:pPr>
            <w:r>
              <w:rPr>
                <w:rFonts w:ascii="Calibri" w:cs="Calibri" w:eastAsia="Calibri" w:hAnsi="Calibri"/>
                <w:sz w:val="16"/>
                <w:szCs w:val="16"/>
              </w:rPr>
              <w:t xml:space="preserve">“Excavation Base Stability Verification” — superseded</w:t>
            </w:r>
          </w:p>
        </w:tc>
        <w:tc>
          <w:tcPr>
            <w:tcW w:w="5020" w:type="dxa"/>
            <w:vAlign w:val="top"/>
          </w:tcPr>
          <w:p>
            <w:pPr>
              <w:spacing w:before="0" w:after="20" w:line="240" w:lineRule="auto"/>
            </w:pPr>
            <w:r>
              <w:rPr>
                <w:rFonts w:ascii="Calibri" w:cs="Calibri" w:eastAsia="Calibri" w:hAnsi="Calibri"/>
                <w:sz w:val="16"/>
                <w:szCs w:val="16"/>
              </w:rPr>
              <w:t xml:space="preserve">Active earth pressure, blended 950 psf. R1 has no base-stability section (pp.8–9).</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6</w:t>
            </w:r>
          </w:p>
        </w:tc>
        <w:tc>
          <w:tcPr>
            <w:tcW w:w="3700" w:type="dxa"/>
            <w:vAlign w:val="top"/>
          </w:tcPr>
          <w:p>
            <w:pPr>
              <w:spacing w:before="0" w:after="20" w:line="240" w:lineRule="auto"/>
            </w:pPr>
            <w:r>
              <w:rPr>
                <w:rFonts w:ascii="Calibri" w:cs="Calibri" w:eastAsia="Calibri" w:hAnsi="Calibri"/>
                <w:sz w:val="16"/>
                <w:szCs w:val="16"/>
              </w:rPr>
              <w:t xml:space="preserve">“Sheet-Pile Toe Embedment Analysis” — superseded</w:t>
            </w:r>
          </w:p>
        </w:tc>
        <w:tc>
          <w:tcPr>
            <w:tcW w:w="5020" w:type="dxa"/>
            <w:vAlign w:val="top"/>
          </w:tcPr>
          <w:p>
            <w:pPr>
              <w:spacing w:before="0" w:after="20" w:line="240" w:lineRule="auto"/>
            </w:pPr>
            <w:r>
              <w:rPr>
                <w:rFonts w:ascii="Calibri" w:cs="Calibri" w:eastAsia="Calibri" w:hAnsi="Calibri"/>
                <w:sz w:val="16"/>
                <w:szCs w:val="16"/>
              </w:rPr>
              <w:t xml:space="preserve">Passive earth pressure (p.10)</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7</w:t>
            </w:r>
          </w:p>
        </w:tc>
        <w:tc>
          <w:tcPr>
            <w:tcW w:w="3700" w:type="dxa"/>
            <w:vAlign w:val="top"/>
          </w:tcPr>
          <w:p>
            <w:pPr>
              <w:spacing w:before="0" w:after="20" w:line="240" w:lineRule="auto"/>
            </w:pPr>
            <w:r>
              <w:rPr>
                <w:rFonts w:ascii="Calibri" w:cs="Calibri" w:eastAsia="Calibri" w:hAnsi="Calibri"/>
                <w:sz w:val="16"/>
                <w:szCs w:val="16"/>
              </w:rPr>
              <w:t xml:space="preserve">“Tieback Ground Anchor Design” — superseded</w:t>
            </w:r>
          </w:p>
        </w:tc>
        <w:tc>
          <w:tcPr>
            <w:tcW w:w="5020" w:type="dxa"/>
            <w:vAlign w:val="top"/>
          </w:tcPr>
          <w:p>
            <w:pPr>
              <w:spacing w:before="0" w:after="20" w:line="240" w:lineRule="auto"/>
            </w:pPr>
            <w:r>
              <w:rPr>
                <w:rFonts w:ascii="Calibri" w:cs="Calibri" w:eastAsia="Calibri" w:hAnsi="Calibri"/>
                <w:sz w:val="16"/>
                <w:szCs w:val="16"/>
              </w:rPr>
              <w:t xml:space="preserve">Global stability: force and moment equilibrium (pp.11–12)</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8</w:t>
            </w:r>
          </w:p>
        </w:tc>
        <w:tc>
          <w:tcPr>
            <w:tcW w:w="3700" w:type="dxa"/>
            <w:vAlign w:val="top"/>
          </w:tcPr>
          <w:p>
            <w:pPr>
              <w:spacing w:before="0" w:after="20" w:line="240" w:lineRule="auto"/>
            </w:pPr>
            <w:r>
              <w:rPr>
                <w:rFonts w:ascii="Calibri" w:cs="Calibri" w:eastAsia="Calibri" w:hAnsi="Calibri"/>
                <w:sz w:val="16"/>
                <w:szCs w:val="16"/>
              </w:rPr>
              <w:t xml:space="preserve">“Global Overturning &amp; Sliding” — in force</w:t>
            </w:r>
          </w:p>
        </w:tc>
        <w:tc>
          <w:tcPr>
            <w:tcW w:w="5020" w:type="dxa"/>
            <w:vAlign w:val="top"/>
          </w:tcPr>
          <w:p>
            <w:pPr>
              <w:spacing w:before="0" w:after="20" w:line="240" w:lineRule="auto"/>
            </w:pPr>
            <w:r>
              <w:rPr>
                <w:rFonts w:ascii="Calibri" w:cs="Calibri" w:eastAsia="Calibri" w:hAnsi="Calibri"/>
                <w:sz w:val="16"/>
                <w:szCs w:val="16"/>
              </w:rPr>
              <w:t xml:space="preserve">Sliding and overturning, computed with the §7 dry-case forces (p.13)</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9</w:t>
            </w:r>
          </w:p>
        </w:tc>
        <w:tc>
          <w:tcPr>
            <w:tcW w:w="3700" w:type="dxa"/>
            <w:vAlign w:val="top"/>
          </w:tcPr>
          <w:p>
            <w:pPr>
              <w:spacing w:before="0" w:after="20" w:line="240" w:lineRule="auto"/>
            </w:pPr>
            <w:r>
              <w:rPr>
                <w:rFonts w:ascii="Calibri" w:cs="Calibri" w:eastAsia="Calibri" w:hAnsi="Calibri"/>
                <w:sz w:val="16"/>
                <w:szCs w:val="16"/>
              </w:rPr>
              <w:t xml:space="preserve">“Sheet-Pile Structural Bending &amp; Shear” — superseded</w:t>
            </w:r>
          </w:p>
        </w:tc>
        <w:tc>
          <w:tcPr>
            <w:tcW w:w="5020" w:type="dxa"/>
            <w:vAlign w:val="top"/>
          </w:tcPr>
          <w:p>
            <w:pPr>
              <w:spacing w:before="0" w:after="20" w:line="240" w:lineRule="auto"/>
            </w:pPr>
            <w:r>
              <w:rPr>
                <w:rFonts w:ascii="Calibri" w:cs="Calibri" w:eastAsia="Calibri" w:hAnsi="Calibri"/>
                <w:sz w:val="16"/>
                <w:szCs w:val="16"/>
              </w:rPr>
              <w:t xml:space="preserve">Toe embedment check (p.14)</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10</w:t>
            </w:r>
          </w:p>
        </w:tc>
        <w:tc>
          <w:tcPr>
            <w:tcW w:w="3700" w:type="dxa"/>
            <w:vAlign w:val="top"/>
          </w:tcPr>
          <w:p>
            <w:pPr>
              <w:spacing w:before="0" w:after="20" w:line="240" w:lineRule="auto"/>
            </w:pPr>
            <w:r>
              <w:rPr>
                <w:rFonts w:ascii="Calibri" w:cs="Calibri" w:eastAsia="Calibri" w:hAnsi="Calibri"/>
                <w:sz w:val="16"/>
                <w:szCs w:val="16"/>
              </w:rPr>
              <w:t xml:space="preserve">“Wall Deflection &amp; Instrumentation Triggers” — superseded</w:t>
            </w:r>
          </w:p>
        </w:tc>
        <w:tc>
          <w:tcPr>
            <w:tcW w:w="5020" w:type="dxa"/>
            <w:vAlign w:val="top"/>
          </w:tcPr>
          <w:p>
            <w:pPr>
              <w:spacing w:before="0" w:after="20" w:line="240" w:lineRule="auto"/>
            </w:pPr>
            <w:r>
              <w:rPr>
                <w:rFonts w:ascii="Calibri" w:cs="Calibri" w:eastAsia="Calibri" w:hAnsi="Calibri"/>
                <w:sz w:val="16"/>
                <w:szCs w:val="16"/>
              </w:rPr>
              <w:t xml:space="preserve">Tieback anchor design (p.15). R2.5 still cites §10.1 and §10.4.</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11.1–11.2</w:t>
            </w:r>
          </w:p>
        </w:tc>
        <w:tc>
          <w:tcPr>
            <w:tcW w:w="3700" w:type="dxa"/>
            <w:vAlign w:val="top"/>
          </w:tcPr>
          <w:p>
            <w:pPr>
              <w:spacing w:before="0" w:after="20" w:line="240" w:lineRule="auto"/>
            </w:pPr>
            <w:r>
              <w:rPr>
                <w:rFonts w:ascii="Calibri" w:cs="Calibri" w:eastAsia="Calibri" w:hAnsi="Calibri"/>
                <w:sz w:val="16"/>
                <w:szCs w:val="16"/>
              </w:rPr>
              <w:t xml:space="preserve">Not listed</w:t>
            </w:r>
          </w:p>
        </w:tc>
        <w:tc>
          <w:tcPr>
            <w:tcW w:w="5020" w:type="dxa"/>
            <w:vAlign w:val="top"/>
          </w:tcPr>
          <w:p>
            <w:pPr>
              <w:spacing w:before="0" w:after="20" w:line="240" w:lineRule="auto"/>
            </w:pPr>
            <w:r>
              <w:rPr>
                <w:rFonts w:ascii="Calibri" w:cs="Calibri" w:eastAsia="Calibri" w:hAnsi="Calibri"/>
                <w:sz w:val="16"/>
                <w:szCs w:val="16"/>
              </w:rPr>
              <w:t xml:space="preserve">Bending check under dry loads (pp.16–17)</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11.3, 11.4</w:t>
            </w:r>
          </w:p>
        </w:tc>
        <w:tc>
          <w:tcPr>
            <w:tcW w:w="3700" w:type="dxa"/>
            <w:vAlign w:val="top"/>
          </w:tcPr>
          <w:p>
            <w:pPr>
              <w:spacing w:before="0" w:after="20" w:line="240" w:lineRule="auto"/>
            </w:pPr>
            <w:r>
              <w:rPr>
                <w:rFonts w:ascii="Calibri" w:cs="Calibri" w:eastAsia="Calibri" w:hAnsi="Calibri"/>
                <w:sz w:val="16"/>
                <w:szCs w:val="16"/>
              </w:rPr>
              <w:t xml:space="preserve">“Waler, Bearing Plate &amp; Anchor Head Details” — in force</w:t>
            </w:r>
          </w:p>
        </w:tc>
        <w:tc>
          <w:tcPr>
            <w:tcW w:w="5020" w:type="dxa"/>
            <w:vAlign w:val="top"/>
          </w:tcPr>
          <w:p>
            <w:pPr>
              <w:spacing w:before="0" w:after="20" w:line="240" w:lineRule="auto"/>
            </w:pPr>
            <w:r>
              <w:rPr>
                <w:rFonts w:ascii="Calibri" w:cs="Calibri" w:eastAsia="Calibri" w:hAnsi="Calibri"/>
                <w:sz w:val="16"/>
                <w:szCs w:val="16"/>
              </w:rPr>
              <w:t xml:space="preserve">§11.3: driveability of a 28-ft sheet to El. 722.0 in CL; §11.4: wale (pp.16–17)</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12, 13</w:t>
            </w:r>
          </w:p>
        </w:tc>
        <w:tc>
          <w:tcPr>
            <w:tcW w:w="3700" w:type="dxa"/>
            <w:vAlign w:val="top"/>
          </w:tcPr>
          <w:p>
            <w:pPr>
              <w:spacing w:before="0" w:after="20" w:line="240" w:lineRule="auto"/>
            </w:pPr>
            <w:r>
              <w:rPr>
                <w:rFonts w:ascii="Calibri" w:cs="Calibri" w:eastAsia="Calibri" w:hAnsi="Calibri"/>
                <w:sz w:val="16"/>
                <w:szCs w:val="16"/>
              </w:rPr>
              <w:t xml:space="preserve">“Construction Sequence Notes &amp; Submittal Drawings” — in force</w:t>
            </w:r>
          </w:p>
        </w:tc>
        <w:tc>
          <w:tcPr>
            <w:tcW w:w="5020" w:type="dxa"/>
            <w:vAlign w:val="top"/>
          </w:tcPr>
          <w:p>
            <w:pPr>
              <w:spacing w:before="0" w:after="20" w:line="240" w:lineRule="auto"/>
            </w:pPr>
            <w:r>
              <w:rPr>
                <w:rFonts w:ascii="Calibri" w:cs="Calibri" w:eastAsia="Calibri" w:hAnsi="Calibri"/>
                <w:sz w:val="16"/>
                <w:szCs w:val="16"/>
              </w:rPr>
              <w:t xml:space="preserve">§12: deflection 1.2 in; §13: 31-DW-A dewatering started 14 days ahead, tip El. 722.0, lock-off 75 kips, sheet extraction, piezometers “per Submittal 31-DW-A”, stop excavation at 1.20 in (pp.18–19)</w:t>
            </w:r>
          </w:p>
        </w:tc>
      </w:tr>
      <w:tr>
        <w:trPr>
          <w:cantSplit/>
        </w:trPr>
        <w:tc>
          <w:tcPr>
            <w:tcW w:w="1000" w:type="dxa"/>
            <w:vAlign w:val="top"/>
          </w:tcPr>
          <w:p>
            <w:pPr>
              <w:spacing w:before="0" w:after="20" w:line="240" w:lineRule="auto"/>
            </w:pPr>
            <w:r>
              <w:rPr>
                <w:rFonts w:ascii="Calibri" w:cs="Calibri" w:eastAsia="Calibri" w:hAnsi="Calibri"/>
                <w:sz w:val="16"/>
                <w:szCs w:val="16"/>
              </w:rPr>
              <w:t xml:space="preserve">14</w:t>
            </w:r>
          </w:p>
        </w:tc>
        <w:tc>
          <w:tcPr>
            <w:tcW w:w="3700" w:type="dxa"/>
            <w:vAlign w:val="top"/>
          </w:tcPr>
          <w:p>
            <w:pPr>
              <w:spacing w:before="0" w:after="20" w:line="240" w:lineRule="auto"/>
            </w:pPr>
            <w:r>
              <w:rPr>
                <w:rFonts w:ascii="Calibri" w:cs="Calibri" w:eastAsia="Calibri" w:hAnsi="Calibri"/>
                <w:sz w:val="16"/>
                <w:szCs w:val="16"/>
              </w:rPr>
              <w:t xml:space="preserve">Not listed</w:t>
            </w:r>
          </w:p>
        </w:tc>
        <w:tc>
          <w:tcPr>
            <w:tcW w:w="5020" w:type="dxa"/>
            <w:vAlign w:val="top"/>
          </w:tcPr>
          <w:p>
            <w:pPr>
              <w:spacing w:before="0" w:after="20" w:line="240" w:lineRule="auto"/>
            </w:pPr>
            <w:r>
              <w:rPr>
                <w:rFonts w:ascii="Calibri" w:cs="Calibri" w:eastAsia="Calibri" w:hAnsi="Calibri"/>
                <w:sz w:val="16"/>
                <w:szCs w:val="16"/>
              </w:rPr>
              <w:t xml:space="preserve">Conclusion. §14.3: the result depends on a dry excavation per 31-DW-A and a tip at El. 722.0 (p.20).</w:t>
            </w:r>
          </w:p>
        </w:tc>
      </w:tr>
    </w:tbl>
    <w:p>
      <w:pPr>
        <w:spacing w:before="80" w:after="100" w:line="252" w:lineRule="auto"/>
      </w:pPr>
      <w:r>
        <w:rPr>
          <w:rFonts w:ascii="Calibri" w:cs="Calibri" w:eastAsia="Calibri" w:hAnsi="Calibri"/>
          <w:sz w:val="20"/>
          <w:szCs w:val="20"/>
        </w:rPr>
        <w:t xml:space="preserve">In consequence, the following all remain in force:</w:t>
      </w:r>
    </w:p>
    <w:p>
      <w:pPr>
        <w:numPr>
          <w:ilvl w:val="0"/>
          <w:numId w:val="1"/>
        </w:numPr>
        <w:spacing w:before="0" w:after="50" w:line="252" w:lineRule="auto"/>
        <w:ind w:left="360" w:hanging="220"/>
      </w:pPr>
      <w:r>
        <w:rPr>
          <w:rFonts w:ascii="Calibri" w:cs="Calibri" w:eastAsia="Calibri" w:hAnsi="Calibri"/>
          <w:sz w:val="20"/>
          <w:szCs w:val="20"/>
        </w:rPr>
        <w:t xml:space="preserve">the dry-excavation basis (R1 §2; §13.1 step 2; §13.2 piezometers “per Submittal 31-DW-A”);</w:t>
      </w:r>
    </w:p>
    <w:p>
      <w:pPr>
        <w:numPr>
          <w:ilvl w:val="0"/>
          <w:numId w:val="1"/>
        </w:numPr>
        <w:spacing w:before="0" w:after="50" w:line="252" w:lineRule="auto"/>
        <w:ind w:left="360" w:hanging="220"/>
      </w:pPr>
      <w:r>
        <w:rPr>
          <w:rFonts w:ascii="Calibri" w:cs="Calibri" w:eastAsia="Calibri" w:hAnsi="Calibri"/>
          <w:sz w:val="20"/>
          <w:szCs w:val="20"/>
        </w:rPr>
        <w:t xml:space="preserve">the El. 722.0 toe, “entirely within cohesive stratigraphy” (§1.3, §11.3);</w:t>
      </w:r>
    </w:p>
    <w:p>
      <w:pPr>
        <w:numPr>
          <w:ilvl w:val="0"/>
          <w:numId w:val="1"/>
        </w:numPr>
        <w:spacing w:before="0" w:after="50" w:line="252" w:lineRule="auto"/>
        <w:ind w:left="360" w:hanging="220"/>
      </w:pPr>
      <w:r>
        <w:rPr>
          <w:rFonts w:ascii="Calibri" w:cs="Calibri" w:eastAsia="Calibri" w:hAnsi="Calibri"/>
          <w:sz w:val="20"/>
          <w:szCs w:val="20"/>
        </w:rPr>
        <w:t xml:space="preserve">a 75-kip lock-off (§13.1 step 5), against R2’s 42.2 kips;</w:t>
      </w:r>
    </w:p>
    <w:p>
      <w:pPr>
        <w:numPr>
          <w:ilvl w:val="0"/>
          <w:numId w:val="1"/>
        </w:numPr>
        <w:spacing w:before="0" w:after="50" w:line="252" w:lineRule="auto"/>
        <w:ind w:left="360" w:hanging="220"/>
      </w:pPr>
      <w:r>
        <w:rPr>
          <w:rFonts w:ascii="Calibri" w:cs="Calibri" w:eastAsia="Calibri" w:hAnsi="Calibri"/>
          <w:sz w:val="20"/>
          <w:szCs w:val="20"/>
        </w:rPr>
        <w:t xml:space="preserve">a 1.2-in deflection estimate (§12.2), against R2’s 1.3 in.</w:t>
      </w:r>
    </w:p>
    <w:p>
      <w:pPr>
        <w:spacing w:before="0" w:after="100" w:line="252" w:lineRule="auto"/>
      </w:pPr>
      <w:r>
        <w:rPr>
          <w:rFonts w:ascii="Calibri" w:cs="Calibri" w:eastAsia="Calibri" w:hAnsi="Calibri"/>
          <w:sz w:val="20"/>
          <w:szCs w:val="20"/>
        </w:rPr>
        <w:t xml:space="preserve">R1 §11.1–11.2 and §14 are neither kept nor superseded; §14.3 states that the result depends on a dry excavation and a tip at El. 722.0. Two process points: R2 claims conformance with Section 31 20 00 “Earthwork and Support of Excavation”, but 31 20 00 is Earth Moving and refers delegated shoring to Section 31 50 00. And R2 was issued by letter to Thelbridge and the Contractor rather than transmitted by the Contractor; it does not appear on the Submittal Register, where 31-SH-B ends at Rev.1 “Under review”.</w:t>
      </w:r>
    </w:p>
    <w:p>
      <w:pPr>
        <w:spacing w:before="0" w:after="120" w:line="240" w:lineRule="auto"/>
      </w:pPr>
      <w:r>
        <w:rPr>
          <w:rFonts w:ascii="Calibri" w:cs="Calibri" w:eastAsia="Calibri" w:hAnsi="Calibri"/>
          <w:i/>
          <w:iCs/>
          <w:color w:val="595959"/>
          <w:sz w:val="16"/>
          <w:szCs w:val="16"/>
        </w:rPr>
        <w:t xml:space="preserve">Record: R2 p.1 (Supersession Statement, Table 1), p.3 (R2.4 amendment of R1 §13.1 item 3), p.4 (R2.5, R2.7); R1 pp.3–20; SPEC p.1 (Art. 1.1.B.2); SR (31-SH-B entries).</w:t>
      </w:r>
    </w:p>
    <w:p>
      <w:pPr>
        <w:keepNext/>
        <w:spacing w:before="160" w:after="60"/>
      </w:pPr>
      <w:r>
        <w:rPr>
          <w:rFonts w:ascii="Calibri" w:cs="Calibri" w:eastAsia="Calibri" w:hAnsi="Calibri"/>
          <w:b/>
          <w:bCs/>
          <w:sz w:val="20"/>
          <w:szCs w:val="20"/>
        </w:rPr>
        <w:t xml:space="preserve">4.9  The design does not recognise the permanent work at the excavation location</w:t>
      </w:r>
    </w:p>
    <w:p>
      <w:pPr>
        <w:spacing w:before="0" w:after="100" w:line="252" w:lineRule="auto"/>
      </w:pPr>
      <w:r>
        <w:rPr>
          <w:rFonts w:ascii="Calibri" w:cs="Calibri" w:eastAsia="Calibri" w:hAnsi="Calibri"/>
          <w:sz w:val="20"/>
          <w:szCs w:val="20"/>
        </w:rPr>
        <w:t xml:space="preserve">Five things in the record bear on where the pit is:</w:t>
      </w:r>
    </w:p>
    <w:p>
      <w:pPr>
        <w:numPr>
          <w:ilvl w:val="0"/>
          <w:numId w:val="1"/>
        </w:numPr>
        <w:spacing w:before="0" w:after="50" w:line="252" w:lineRule="auto"/>
        <w:ind w:left="360" w:hanging="220"/>
      </w:pPr>
      <w:r>
        <w:rPr>
          <w:rFonts w:ascii="Calibri" w:cs="Calibri" w:eastAsia="Calibri" w:hAnsi="Calibri"/>
          <w:b/>
          <w:bCs/>
          <w:sz w:val="20"/>
          <w:szCs w:val="20"/>
        </w:rPr>
        <w:t xml:space="preserve">S-101 Rev.4</w:t>
      </w:r>
      <w:r>
        <w:rPr>
          <w:rFonts w:ascii="Calibri" w:cs="Calibri" w:eastAsia="Calibri" w:hAnsi="Calibri"/>
          <w:sz w:val="20"/>
          <w:szCs w:val="20"/>
        </w:rPr>
        <w:t xml:space="preserve"> (issued 05/29/2026, before R1 was sealed, and cited by R1 §1.3 for the pit geometry) outlines the plant-room excavation at grids H–L / 3–5. That is inside the Blocks A/B basement mat (grids B–L / 1–5, cast 01/12/2026). Its note says the excavation is “to be performed under a separate work package following completion of the mat above”. The southernmost (eighth) row of six Block B piles is plotted on the north line of the outline, at grid H.</w:t>
      </w:r>
    </w:p>
    <w:p>
      <w:pPr>
        <w:numPr>
          <w:ilvl w:val="0"/>
          <w:numId w:val="1"/>
        </w:numPr>
        <w:spacing w:before="0" w:after="50" w:line="252" w:lineRule="auto"/>
        <w:ind w:left="360" w:hanging="220"/>
      </w:pPr>
      <w:r>
        <w:rPr>
          <w:rFonts w:ascii="Calibri" w:cs="Calibri" w:eastAsia="Calibri" w:hAnsi="Calibri"/>
          <w:b/>
          <w:bCs/>
          <w:sz w:val="20"/>
          <w:szCs w:val="20"/>
        </w:rPr>
        <w:t xml:space="preserve">S-102 Rev.2</w:t>
      </w:r>
      <w:r>
        <w:rPr>
          <w:rFonts w:ascii="Calibri" w:cs="Calibri" w:eastAsia="Calibri" w:hAnsi="Calibri"/>
          <w:sz w:val="20"/>
          <w:szCs w:val="20"/>
        </w:rPr>
        <w:t xml:space="preserve"> shows grids H–L as basement Zone 2: mat top El. 734.5, drain K-6 and wall-to-mat joint CJ K-5, whose waterproofing was inspected on 04/09/2026 (VR Item 029). DFR No. 141 (06/28/2026) records the “finished slab-on-grade in Zone 2 (grid rows H–L)”, and DFR No. 142 (06/29/2026) records MEP rough-in in Zone 2, grid H–J.</w:t>
      </w:r>
    </w:p>
    <w:p>
      <w:pPr>
        <w:numPr>
          <w:ilvl w:val="0"/>
          <w:numId w:val="1"/>
        </w:numPr>
        <w:spacing w:before="0" w:after="50" w:line="252" w:lineRule="auto"/>
        <w:ind w:left="360" w:hanging="220"/>
      </w:pPr>
      <w:r>
        <w:rPr>
          <w:rFonts w:ascii="Calibri" w:cs="Calibri" w:eastAsia="Calibri" w:hAnsi="Calibri"/>
          <w:b/>
          <w:bCs/>
          <w:sz w:val="20"/>
          <w:szCs w:val="20"/>
        </w:rPr>
        <w:t xml:space="preserve">Kesterline’s own RFIs</w:t>
      </w:r>
      <w:r>
        <w:rPr>
          <w:rFonts w:ascii="Calibri" w:cs="Calibri" w:eastAsia="Calibri" w:hAnsi="Calibri"/>
          <w:sz w:val="20"/>
          <w:szCs w:val="20"/>
        </w:rPr>
        <w:t xml:space="preserve"> refer to a “shoring wall H-line” (RFI 058) and to coordination of tiebacks with permanent basement wall reinforcement (RFI 048).</w:t>
      </w:r>
    </w:p>
    <w:p>
      <w:pPr>
        <w:numPr>
          <w:ilvl w:val="0"/>
          <w:numId w:val="1"/>
        </w:numPr>
        <w:spacing w:before="0" w:after="50" w:line="252" w:lineRule="auto"/>
        <w:ind w:left="360" w:hanging="220"/>
      </w:pPr>
      <w:r>
        <w:rPr>
          <w:rFonts w:ascii="Calibri" w:cs="Calibri" w:eastAsia="Calibri" w:hAnsi="Calibri"/>
          <w:b/>
          <w:bCs/>
          <w:sz w:val="20"/>
          <w:szCs w:val="20"/>
        </w:rPr>
        <w:t xml:space="preserve">R1, against this,</w:t>
      </w:r>
      <w:r>
        <w:rPr>
          <w:rFonts w:ascii="Calibri" w:cs="Calibri" w:eastAsia="Calibri" w:hAnsi="Calibri"/>
          <w:sz w:val="20"/>
          <w:szCs w:val="20"/>
        </w:rPr>
        <w:t xml:space="preserve"> describes an open cut from working grade El. 750.0, 68 ft × 44 ft, “east of the shared Block A/B basement” (§1.1). It cites S-101 Rev.4 for plan dimensions that S-101 does not give (§1.3). It states that “no adjacent building loads are within the zone of influence … the nearest permanent structure is the Blocks A/B basement mat, whose exterior face is beyond the 1H:1V influence line” (§4.4), and that no structures lie within 1.5H = 36 ft (§12.3). R2 keeps all of these sections in force and adds nothing about adjacent structures.</w:t>
      </w:r>
    </w:p>
    <w:p>
      <w:pPr>
        <w:numPr>
          <w:ilvl w:val="0"/>
          <w:numId w:val="1"/>
        </w:numPr>
        <w:spacing w:before="0" w:after="50" w:line="252" w:lineRule="auto"/>
        <w:ind w:left="360" w:hanging="220"/>
      </w:pPr>
      <w:r>
        <w:rPr>
          <w:rFonts w:ascii="Calibri" w:cs="Calibri" w:eastAsia="Calibri" w:hAnsi="Calibri"/>
          <w:b/>
          <w:bCs/>
          <w:sz w:val="20"/>
          <w:szCs w:val="20"/>
        </w:rPr>
        <w:t xml:space="preserve">The record itself is unresolved.</w:t>
      </w:r>
      <w:r>
        <w:rPr>
          <w:rFonts w:ascii="Calibri" w:cs="Calibri" w:eastAsia="Calibri" w:hAnsi="Calibri"/>
          <w:sz w:val="20"/>
          <w:szCs w:val="20"/>
        </w:rPr>
        <w:t xml:space="preserve"> S-101 says groundwater control is “per Contractor’s Dewatering and Groundwater Control Plan (Rev.1)”, which excludes Block B. It refers to “S-201/4 for typical plant-room boundary section and cutoff wall interface”, but S-201 Detail 4 is the wall-to-mat waterstop and S-201 Rev.4 contains no plant-room section. DW-A §1.2 and VR Item 006 describe a cutoff wall (a slurry wall in DW-A) toed at El. 722.0, “covered under a separate submittal”, which does not appear on the Submittal Register.</w:t>
      </w:r>
    </w:p>
    <w:p>
      <w:pPr>
        <w:spacing w:before="0" w:after="100" w:line="252" w:lineRule="auto"/>
      </w:pPr>
      <w:r>
        <w:rPr>
          <w:rFonts w:ascii="Calibri" w:cs="Calibri" w:eastAsia="Calibri" w:hAnsi="Calibri"/>
          <w:sz w:val="20"/>
          <w:szCs w:val="20"/>
        </w:rPr>
        <w:t xml:space="preserve">If the pit is where S-101 Rev.4 shows it, the design cannot be built as drawn. Sheets cannot be driven from El. 750.0 through the completed basement. Tiebacks at El. 745.5 would be 11 ft above the mat top (El. 734.5), in the basement storey. The north relief wells would fall within the pile group and mat. Under either reading, the permanent Block B work lies within the influence zone of the excavation, and nothing in R1 or R2 addresses it.</w:t>
      </w:r>
    </w:p>
    <w:p>
      <w:pPr>
        <w:spacing w:before="0" w:after="120" w:line="240" w:lineRule="auto"/>
      </w:pPr>
      <w:r>
        <w:rPr>
          <w:rFonts w:ascii="Calibri" w:cs="Calibri" w:eastAsia="Calibri" w:hAnsi="Calibri"/>
          <w:i/>
          <w:iCs/>
          <w:color w:val="595959"/>
          <w:sz w:val="16"/>
          <w:szCs w:val="16"/>
        </w:rPr>
        <w:t xml:space="preserve">Record: S-101 Rev.4 (plan; notes “Block B — Plant-Room Excavation (Future)”, “Blocks A &amp; B — Basement Mat”, “Block B — Pile Group”; legend); S-102 Rev.2 (plan; elevation summary; joint schedule); S-201 Rev.4 (Details 2 and 4); DFR pp.1–2; RFI 048, RFI 058; R1 p.3 (§1.1, §1.3), p.7 (§4.4), p.18 (§12.3); DW-A p.3 (§1.2); VR Items 006, 029.</w:t>
      </w:r>
    </w:p>
    <w:p>
      <w:pPr>
        <w:keepNext/>
        <w:spacing w:before="160" w:after="60"/>
      </w:pPr>
      <w:r>
        <w:rPr>
          <w:rFonts w:ascii="Calibri" w:cs="Calibri" w:eastAsia="Calibri" w:hAnsi="Calibri"/>
          <w:b/>
          <w:bCs/>
          <w:sz w:val="20"/>
          <w:szCs w:val="20"/>
        </w:rPr>
        <w:t xml:space="preserve">4.10  What the excavation would do to the permanent work already built at Block B</w:t>
      </w:r>
    </w:p>
    <w:p>
      <w:pPr>
        <w:spacing w:before="0" w:after="100" w:line="252" w:lineRule="auto"/>
      </w:pPr>
      <w:r>
        <w:rPr>
          <w:rFonts w:ascii="Calibri" w:cs="Calibri" w:eastAsia="Calibri" w:hAnsi="Calibri"/>
          <w:sz w:val="20"/>
          <w:szCs w:val="20"/>
        </w:rPr>
        <w:t xml:space="preserve">The permanent work in place comprises:</w:t>
      </w:r>
    </w:p>
    <w:p>
      <w:pPr>
        <w:numPr>
          <w:ilvl w:val="0"/>
          <w:numId w:val="1"/>
        </w:numPr>
        <w:spacing w:before="0" w:after="50" w:line="252" w:lineRule="auto"/>
        <w:ind w:left="360" w:hanging="220"/>
      </w:pPr>
      <w:r>
        <w:rPr>
          <w:rFonts w:ascii="Calibri" w:cs="Calibri" w:eastAsia="Calibri" w:hAnsi="Calibri"/>
          <w:sz w:val="20"/>
          <w:szCs w:val="20"/>
        </w:rPr>
        <w:t xml:space="preserve">48 closed-end 16-in pipe piles, driven 11/06–11/21/2025, tipped at El. 686–690 and carrying 180 kips service each (PIR; S-101);</w:t>
      </w:r>
    </w:p>
    <w:p>
      <w:pPr>
        <w:numPr>
          <w:ilvl w:val="0"/>
          <w:numId w:val="1"/>
        </w:numPr>
        <w:spacing w:before="0" w:after="50" w:line="252" w:lineRule="auto"/>
        <w:ind w:left="360" w:hanging="220"/>
      </w:pPr>
      <w:r>
        <w:rPr>
          <w:rFonts w:ascii="Calibri" w:cs="Calibri" w:eastAsia="Calibri" w:hAnsi="Calibri"/>
          <w:sz w:val="20"/>
          <w:szCs w:val="20"/>
        </w:rPr>
        <w:t xml:space="preserve">pile caps cast 12/2025, underside El. 732.0 and top El. 734.5 (S-201 Detail 2; VR Item 018);</w:t>
      </w:r>
    </w:p>
    <w:p>
      <w:pPr>
        <w:numPr>
          <w:ilvl w:val="0"/>
          <w:numId w:val="1"/>
        </w:numPr>
        <w:spacing w:before="0" w:after="50" w:line="252" w:lineRule="auto"/>
        <w:ind w:left="360" w:hanging="220"/>
      </w:pPr>
      <w:r>
        <w:rPr>
          <w:rFonts w:ascii="Calibri" w:cs="Calibri" w:eastAsia="Calibri" w:hAnsi="Calibri"/>
          <w:sz w:val="20"/>
          <w:szCs w:val="20"/>
        </w:rPr>
        <w:t xml:space="preserve">the shared basement mat, cast 01/12/2026, underside El. 731.5 and bearing on the CL clay (FOR §2.2–2.3, p.2), designed as a plate on an elastic subgrade (STR-011 §4.1, p.6);</w:t>
      </w:r>
    </w:p>
    <w:p>
      <w:pPr>
        <w:numPr>
          <w:ilvl w:val="0"/>
          <w:numId w:val="1"/>
        </w:numPr>
        <w:spacing w:before="0" w:after="50" w:line="252" w:lineRule="auto"/>
        <w:ind w:left="360" w:hanging="220"/>
      </w:pPr>
      <w:r>
        <w:rPr>
          <w:rFonts w:ascii="Calibri" w:cs="Calibri" w:eastAsia="Calibri" w:hAnsi="Calibri"/>
          <w:sz w:val="20"/>
          <w:szCs w:val="20"/>
        </w:rPr>
        <w:t xml:space="preserve">the exterior basement walls of 03/2026, with wall-to-mat joints B-2, F-2 and K-5, and the Zone 2 fit-out.</w:t>
      </w:r>
    </w:p>
    <w:p>
      <w:pPr>
        <w:spacing w:before="0" w:after="100" w:line="252" w:lineRule="auto"/>
      </w:pPr>
      <w:r>
        <w:rPr>
          <w:rFonts w:ascii="Calibri" w:cs="Calibri" w:eastAsia="Calibri" w:hAnsi="Calibri"/>
          <w:sz w:val="20"/>
          <w:szCs w:val="20"/>
        </w:rPr>
        <w:t xml:space="preserve">The excavation as designed would affect them as follows:</w:t>
      </w:r>
    </w:p>
    <w:p>
      <w:pPr>
        <w:spacing w:before="0" w:after="60" w:line="252" w:lineRule="auto"/>
        <w:ind w:left="560" w:hanging="400"/>
      </w:pPr>
      <w:r>
        <w:rPr>
          <w:rFonts w:ascii="Calibri" w:cs="Calibri" w:eastAsia="Calibri" w:hAnsi="Calibri"/>
          <w:sz w:val="20"/>
          <w:szCs w:val="20"/>
        </w:rPr>
        <w:t xml:space="preserve">(a)</w:t>
        <w:tab/>
      </w:r>
      <w:r>
        <w:rPr>
          <w:rFonts w:ascii="Calibri" w:cs="Calibri" w:eastAsia="Calibri" w:hAnsi="Calibri"/>
          <w:b/>
          <w:bCs/>
          <w:sz w:val="20"/>
          <w:szCs w:val="20"/>
        </w:rPr>
        <w:t xml:space="preserve">Depressurisation beneath the pile group and mat.</w:t>
      </w:r>
      <w:r>
        <w:rPr>
          <w:rFonts w:ascii="Calibri" w:cs="Calibri" w:eastAsia="Calibri" w:hAnsi="Calibri"/>
          <w:sz w:val="20"/>
          <w:szCs w:val="20"/>
        </w:rPr>
        <w:t xml:space="preserve"> R2.1 holds the confined head 11.5 ft down (El. 738.0 to El. 726.5) for the excavation and substructure period. The aquifer is laterally continuous (GIR §7.2), so the drawdown is not confined to the pit, and Kesterline has not computed its extent. Where the full drawdown acts, effective stress at the base of the normally consolidated clay (OCR 1.03) rises by 11.5 × 62.4 = 717.6 psf. I estimated the resulting consolidation with the GIR §8.1 parameters (C</w:t>
      </w:r>
      <w:r>
        <w:rPr>
          <w:rFonts w:ascii="Calibri" w:cs="Calibri" w:eastAsia="Calibri" w:hAnsi="Calibri"/>
          <w:sz w:val="20"/>
          <w:szCs w:val="20"/>
          <w:vertAlign w:val="subscript"/>
        </w:rPr>
        <w:t xml:space="preserve">c</w:t>
      </w:r>
      <w:r>
        <w:rPr>
          <w:rFonts w:ascii="Calibri" w:cs="Calibri" w:eastAsia="Calibri" w:hAnsi="Calibri"/>
          <w:sz w:val="20"/>
          <w:szCs w:val="20"/>
        </w:rPr>
        <w:t xml:space="preserve"> 0.28, e</w:t>
      </w:r>
      <w:r>
        <w:rPr>
          <w:rFonts w:ascii="Calibri" w:cs="Calibri" w:eastAsia="Calibri" w:hAnsi="Calibri"/>
          <w:sz w:val="20"/>
          <w:szCs w:val="20"/>
          <w:vertAlign w:val="subscript"/>
        </w:rPr>
        <w:t xml:space="preserve">0</w:t>
      </w:r>
      <w:r>
        <w:rPr>
          <w:rFonts w:ascii="Calibri" w:cs="Calibri" w:eastAsia="Calibri" w:hAnsi="Calibri"/>
          <w:sz w:val="20"/>
          <w:szCs w:val="20"/>
        </w:rPr>
        <w:t xml:space="preserve"> 0.92, H 18 ft,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1,850 psf) and the Vantree virgin c</w:t>
      </w:r>
      <w:r>
        <w:rPr>
          <w:rFonts w:ascii="Calibri" w:cs="Calibri" w:eastAsia="Calibri" w:hAnsi="Calibri"/>
          <w:sz w:val="20"/>
          <w:szCs w:val="20"/>
          <w:vertAlign w:val="subscript"/>
        </w:rPr>
        <w:t xml:space="preserve">v</w:t>
      </w:r>
      <w:r>
        <w:rPr>
          <w:rFonts w:ascii="Calibri" w:cs="Calibri" w:eastAsia="Calibri" w:hAnsi="Calibri"/>
          <w:sz w:val="20"/>
          <w:szCs w:val="20"/>
        </w:rPr>
        <w:t xml:space="preserve">: about </w:t>
      </w:r>
      <w:r>
        <w:rPr>
          <w:rFonts w:ascii="Calibri" w:cs="Calibri" w:eastAsia="Calibri" w:hAnsi="Calibri"/>
          <w:b/>
          <w:bCs/>
          <w:sz w:val="20"/>
          <w:szCs w:val="20"/>
        </w:rPr>
        <w:t xml:space="preserve">0.7 in after 4 months of pumping, 0.8 in after 6 months and 1.2 in after 12 months</w:t>
      </w:r>
      <w:r>
        <w:rPr>
          <w:rFonts w:ascii="Calibri" w:cs="Calibri" w:eastAsia="Calibri" w:hAnsi="Calibri"/>
          <w:sz w:val="20"/>
          <w:szCs w:val="20"/>
        </w:rPr>
        <w:t xml:space="preserve">, rising towards about </w:t>
      </w:r>
      <w:r>
        <w:rPr>
          <w:rFonts w:ascii="Calibri" w:cs="Calibri" w:eastAsia="Calibri" w:hAnsi="Calibri"/>
          <w:b/>
          <w:bCs/>
          <w:sz w:val="20"/>
          <w:szCs w:val="20"/>
        </w:rPr>
        <w:t xml:space="preserve">2.4 in</w:t>
      </w:r>
      <w:r>
        <w:rPr>
          <w:rFonts w:ascii="Calibri" w:cs="Calibri" w:eastAsia="Calibri" w:hAnsi="Calibri"/>
          <w:sz w:val="20"/>
          <w:szCs w:val="20"/>
        </w:rPr>
        <w:t xml:space="preserve"> if the drawdown were held to equilibrium (GIR Table 8-1 gives 2.1 in for 300 psf). Virgin compression is largely not recovered when pumping stops (C</w:t>
      </w:r>
      <w:r>
        <w:rPr>
          <w:rFonts w:ascii="Calibri" w:cs="Calibri" w:eastAsia="Calibri" w:hAnsi="Calibri"/>
          <w:sz w:val="20"/>
          <w:szCs w:val="20"/>
          <w:vertAlign w:val="subscript"/>
        </w:rPr>
        <w:t xml:space="preserve">r</w:t>
      </w:r>
      <w:r>
        <w:rPr>
          <w:rFonts w:ascii="Calibri" w:cs="Calibri" w:eastAsia="Calibri" w:hAnsi="Calibri"/>
          <w:sz w:val="20"/>
          <w:szCs w:val="20"/>
        </w:rPr>
        <w:t xml:space="preserve">/C</w:t>
      </w:r>
      <w:r>
        <w:rPr>
          <w:rFonts w:ascii="Calibri" w:cs="Calibri" w:eastAsia="Calibri" w:hAnsi="Calibri"/>
          <w:sz w:val="20"/>
          <w:szCs w:val="20"/>
          <w:vertAlign w:val="subscript"/>
        </w:rPr>
        <w:t xml:space="preserve">c</w:t>
      </w:r>
      <w:r>
        <w:rPr>
          <w:rFonts w:ascii="Calibri" w:cs="Calibri" w:eastAsia="Calibri" w:hAnsi="Calibri"/>
          <w:sz w:val="20"/>
          <w:szCs w:val="20"/>
        </w:rPr>
        <w:t xml:space="preserve"> = 0.16). These amounts are of the same order as the Spec 31 20 00 tolerances of 1.0 in total and 0.5 in differential over 30 ft.</w:t>
      </w:r>
    </w:p>
    <w:p>
      <w:pPr>
        <w:numPr>
          <w:ilvl w:val="0"/>
          <w:numId w:val="1"/>
        </w:numPr>
        <w:spacing w:before="0" w:after="50" w:line="252" w:lineRule="auto"/>
        <w:ind w:left="660" w:hanging="220"/>
      </w:pPr>
      <w:r>
        <w:rPr>
          <w:rFonts w:ascii="Calibri" w:cs="Calibri" w:eastAsia="Calibri" w:hAnsi="Calibri"/>
          <w:i/>
          <w:iCs/>
          <w:sz w:val="20"/>
          <w:szCs w:val="20"/>
        </w:rPr>
        <w:t xml:space="preserve">On the piles:</w:t>
      </w:r>
      <w:r>
        <w:rPr>
          <w:rFonts w:ascii="Calibri" w:cs="Calibri" w:eastAsia="Calibri" w:hAnsi="Calibri"/>
          <w:sz w:val="20"/>
          <w:szCs w:val="20"/>
        </w:rPr>
        <w:t xml:space="preserve"> clay settling past the shafts turns shaft resistance that CB-GEO-004 counts as capacity (85 kips per pile between El. 750.0 and El. 720.0) into drag load, and adds settlement. That is the mechanism already under review in open Item 049; the drawdown is a second cause that neither CB-GEO-004 nor R2 considers.</w:t>
      </w:r>
    </w:p>
    <w:p>
      <w:pPr>
        <w:numPr>
          <w:ilvl w:val="0"/>
          <w:numId w:val="1"/>
        </w:numPr>
        <w:spacing w:before="0" w:after="50" w:line="252" w:lineRule="auto"/>
        <w:ind w:left="660" w:hanging="220"/>
      </w:pPr>
      <w:r>
        <w:rPr>
          <w:rFonts w:ascii="Calibri" w:cs="Calibri" w:eastAsia="Calibri" w:hAnsi="Calibri"/>
          <w:i/>
          <w:iCs/>
          <w:sz w:val="20"/>
          <w:szCs w:val="20"/>
        </w:rPr>
        <w:t xml:space="preserve">On the mat and walls:</w:t>
      </w:r>
      <w:r>
        <w:rPr>
          <w:rFonts w:ascii="Calibri" w:cs="Calibri" w:eastAsia="Calibri" w:hAnsi="Calibri"/>
          <w:sz w:val="20"/>
          <w:szCs w:val="20"/>
        </w:rPr>
        <w:t xml:space="preserve"> soil-bearing areas of the shared mat settle relative to the pile-supported Block B caps. That produces differential movement across the mat and at the wall-to-mat joints, in a basement already seeping at C-4 since 07/01/2026 (Item 056).</w:t>
      </w:r>
    </w:p>
    <w:p>
      <w:pPr>
        <w:numPr>
          <w:ilvl w:val="0"/>
          <w:numId w:val="1"/>
        </w:numPr>
        <w:spacing w:before="0" w:after="50" w:line="252" w:lineRule="auto"/>
        <w:ind w:left="660" w:hanging="220"/>
      </w:pPr>
      <w:r>
        <w:rPr>
          <w:rFonts w:ascii="Calibri" w:cs="Calibri" w:eastAsia="Calibri" w:hAnsi="Calibri"/>
          <w:sz w:val="20"/>
          <w:szCs w:val="20"/>
        </w:rPr>
        <w:t xml:space="preserve">The drawdown may also extend under Block A and under Block C, where settlement had already reached 0.61 in against the 1.0-in tolerance on 06/26/2026 (Item 051).</w:t>
      </w:r>
    </w:p>
    <w:p>
      <w:pPr>
        <w:spacing w:before="0" w:after="60" w:line="252" w:lineRule="auto"/>
        <w:ind w:left="560" w:hanging="400"/>
      </w:pPr>
      <w:r>
        <w:rPr>
          <w:rFonts w:ascii="Calibri" w:cs="Calibri" w:eastAsia="Calibri" w:hAnsi="Calibri"/>
          <w:sz w:val="20"/>
          <w:szCs w:val="20"/>
        </w:rPr>
        <w:t xml:space="preserve">(b)</w:t>
        <w:tab/>
      </w:r>
      <w:r>
        <w:rPr>
          <w:rFonts w:ascii="Calibri" w:cs="Calibri" w:eastAsia="Calibri" w:hAnsi="Calibri"/>
          <w:b/>
          <w:bCs/>
          <w:sz w:val="20"/>
          <w:szCs w:val="20"/>
        </w:rPr>
        <w:t xml:space="preserve">Ground movement and loss of support at the pit edge.</w:t>
      </w:r>
      <w:r>
        <w:rPr>
          <w:rFonts w:ascii="Calibri" w:cs="Calibri" w:eastAsia="Calibri" w:hAnsi="Calibri"/>
          <w:sz w:val="20"/>
          <w:szCs w:val="20"/>
        </w:rPr>
        <w:t xml:space="preserve"> The design predicts 1.3 in of wall deflection (R2.7) and settlement behind the wall out to about 1.5H = 36 ft (R1 §12.3). On S-101 Rev.4, the eighth-row piles on line H, the rows behind them, their caps and the mat all lie inside that zone. Excavating to El. 726.0 along line H would remove lateral support and shaft contact on the excavation side of the eighth-row piles over the excavated depth. The mat was designed as a plate on continuous elastic subgrade (STR-011 §4.1); nothing in the record analyses loss of that subgrade beside or beneath a 24-ft cut.</w:t>
      </w:r>
    </w:p>
    <w:p>
      <w:pPr>
        <w:spacing w:before="0" w:after="60" w:line="252" w:lineRule="auto"/>
        <w:ind w:left="560" w:hanging="400"/>
      </w:pPr>
      <w:r>
        <w:rPr>
          <w:rFonts w:ascii="Calibri" w:cs="Calibri" w:eastAsia="Calibri" w:hAnsi="Calibri"/>
          <w:sz w:val="20"/>
          <w:szCs w:val="20"/>
        </w:rPr>
        <w:t xml:space="preserve">(c)</w:t>
        <w:tab/>
      </w:r>
      <w:r>
        <w:rPr>
          <w:rFonts w:ascii="Calibri" w:cs="Calibri" w:eastAsia="Calibri" w:hAnsi="Calibri"/>
          <w:b/>
          <w:bCs/>
          <w:sz w:val="20"/>
          <w:szCs w:val="20"/>
        </w:rPr>
        <w:t xml:space="preserve">Tiebacks.</w:t>
      </w:r>
      <w:r>
        <w:rPr>
          <w:rFonts w:ascii="Calibri" w:cs="Calibri" w:eastAsia="Calibri" w:hAnsi="Calibri"/>
          <w:sz w:val="20"/>
          <w:szCs w:val="20"/>
        </w:rPr>
        <w:t xml:space="preserve"> At 6-ft spacing, reaching about 46 ft behind the H-line wall, the tiebacks would be drilled into the plotted footprint of the pile group. No as-built pile survey or clash check has been made.</w:t>
      </w:r>
    </w:p>
    <w:p>
      <w:pPr>
        <w:spacing w:before="0" w:after="60" w:line="252" w:lineRule="auto"/>
        <w:ind w:left="560" w:hanging="400"/>
      </w:pPr>
      <w:r>
        <w:rPr>
          <w:rFonts w:ascii="Calibri" w:cs="Calibri" w:eastAsia="Calibri" w:hAnsi="Calibri"/>
          <w:sz w:val="20"/>
          <w:szCs w:val="20"/>
        </w:rPr>
        <w:t xml:space="preserve">(d)</w:t>
        <w:tab/>
      </w:r>
      <w:r>
        <w:rPr>
          <w:rFonts w:ascii="Calibri" w:cs="Calibri" w:eastAsia="Calibri" w:hAnsi="Calibri"/>
          <w:b/>
          <w:bCs/>
          <w:sz w:val="20"/>
          <w:szCs w:val="20"/>
        </w:rPr>
        <w:t xml:space="preserve">Pumping failure.</w:t>
      </w:r>
      <w:r>
        <w:rPr>
          <w:rFonts w:ascii="Calibri" w:cs="Calibri" w:eastAsia="Calibri" w:hAnsi="Calibri"/>
          <w:sz w:val="20"/>
          <w:szCs w:val="20"/>
        </w:rPr>
        <w:t xml:space="preserve"> If pumping is lost at subgrade, the plug’s factored resistance falls to 0.58 of the uplift (Finding 4.6). The likely sequence is base heave or blow-out, flooding, loss of the passive zone of a wall that already lacks toe capacity (Findings 4.3–4.4), and loss of ground behind the wall beneath the mat edge and pile caps.</w:t>
      </w:r>
    </w:p>
    <w:p>
      <w:pPr>
        <w:spacing w:before="0" w:after="60" w:line="252" w:lineRule="auto"/>
        <w:ind w:left="560" w:hanging="400"/>
      </w:pPr>
      <w:r>
        <w:rPr>
          <w:rFonts w:ascii="Calibri" w:cs="Calibri" w:eastAsia="Calibri" w:hAnsi="Calibri"/>
          <w:sz w:val="20"/>
          <w:szCs w:val="20"/>
        </w:rPr>
        <w:t xml:space="preserve">(e)</w:t>
        <w:tab/>
      </w:r>
      <w:r>
        <w:rPr>
          <w:rFonts w:ascii="Calibri" w:cs="Calibri" w:eastAsia="Calibri" w:hAnsi="Calibri"/>
          <w:b/>
          <w:bCs/>
          <w:sz w:val="20"/>
          <w:szCs w:val="20"/>
        </w:rPr>
        <w:t xml:space="preserve">Breaches of the aquitard.</w:t>
      </w:r>
      <w:r>
        <w:rPr>
          <w:rFonts w:ascii="Calibri" w:cs="Calibri" w:eastAsia="Calibri" w:hAnsi="Calibri"/>
          <w:sz w:val="20"/>
          <w:szCs w:val="20"/>
        </w:rPr>
        <w:t xml:space="preserve"> The sheets driven to El. 719.5, the relief wells and the in-pit piezometers all penetrate the aquitard. Sealing is specified only for the well annuli and the sheet interlocks, not for the steel–clay interface or the piezometers (GIR §9.6). R1 §13.1 step 9 also allows the sheets to be extracted, which would leave open paths through the clay plug next to the permanent structure.</w:t>
      </w:r>
    </w:p>
    <w:p>
      <w:pPr>
        <w:spacing w:before="0" w:after="120" w:line="240" w:lineRule="auto"/>
      </w:pPr>
      <w:r>
        <w:rPr>
          <w:rFonts w:ascii="Calibri" w:cs="Calibri" w:eastAsia="Calibri" w:hAnsi="Calibri"/>
          <w:i/>
          <w:iCs/>
          <w:color w:val="595959"/>
          <w:sz w:val="16"/>
          <w:szCs w:val="16"/>
        </w:rPr>
        <w:t xml:space="preserve">Record: PIR (Cover; Pile Log); S-101 Rev.4; S-201 Rev.4 Detail 2; FOR p.2; STR-011 p.6; GEO-004 Sheet 3 §3.3; GIR p.11 (Table 5-1), p.13 (§7.2), pp.14–15 (§8.1, Table 8-1), p.19 (§9.6); CON (Summary sheet); SPEC p.5 (Art. 3.6); R2 p.2 (R2.1), p.4 (R2.7); R1 p.18 (§12.3), p.19 (§13.1); VR Items 018, 023, 049, 051, 056; DFR pp.4–5.</w:t>
      </w:r>
    </w:p>
    <w:p>
      <w:pPr>
        <w:keepNext/>
        <w:spacing w:before="160" w:after="60"/>
      </w:pPr>
      <w:r>
        <w:rPr>
          <w:rFonts w:ascii="Calibri" w:cs="Calibri" w:eastAsia="Calibri" w:hAnsi="Calibri"/>
          <w:b/>
          <w:bCs/>
          <w:sz w:val="20"/>
          <w:szCs w:val="20"/>
        </w:rPr>
        <w:t xml:space="preserve">4.11  Which checks can be carried forward</w:t>
      </w:r>
    </w:p>
    <w:tbl>
      <w:tblPr>
        <w:tblW w:w="9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80" w:type="dxa"/>
          <w:bottom w:w="30" w:type="dxa"/>
          <w:right w:w="80" w:type="dxa"/>
        </w:tblCellMar>
      </w:tblPr>
      <w:tblGrid>
        <w:gridCol w:w="2700"/>
        <w:gridCol w:w="1300"/>
        <w:gridCol w:w="1700"/>
        <w:gridCol w:w="4020"/>
      </w:tblGrid>
      <w:tr>
        <w:trPr>
          <w:cantSplit/>
          <w:tblHeader/>
        </w:trPr>
        <w:tc>
          <w:tcPr>
            <w:tcW w:w="2700" w:type="dxa"/>
            <w:shd w:val="clear" w:color="auto" w:fill="D9D9D9"/>
            <w:vAlign w:val="top"/>
          </w:tcPr>
          <w:p>
            <w:pPr>
              <w:spacing w:before="0" w:after="20" w:line="240" w:lineRule="auto"/>
            </w:pPr>
            <w:r>
              <w:rPr>
                <w:rFonts w:ascii="Calibri" w:cs="Calibri" w:eastAsia="Calibri" w:hAnsi="Calibri"/>
                <w:b/>
                <w:bCs/>
                <w:sz w:val="16"/>
                <w:szCs w:val="16"/>
              </w:rPr>
              <w:t xml:space="preserve">Check or provision</w:t>
            </w:r>
          </w:p>
        </w:tc>
        <w:tc>
          <w:tcPr>
            <w:tcW w:w="1300" w:type="dxa"/>
            <w:shd w:val="clear" w:color="auto" w:fill="D9D9D9"/>
            <w:vAlign w:val="top"/>
          </w:tcPr>
          <w:p>
            <w:pPr>
              <w:spacing w:before="0" w:after="20" w:line="240" w:lineRule="auto"/>
            </w:pPr>
            <w:r>
              <w:rPr>
                <w:rFonts w:ascii="Calibri" w:cs="Calibri" w:eastAsia="Calibri" w:hAnsi="Calibri"/>
                <w:b/>
                <w:bCs/>
                <w:sz w:val="16"/>
                <w:szCs w:val="16"/>
              </w:rPr>
              <w:t xml:space="preserve">Where</w:t>
            </w:r>
          </w:p>
        </w:tc>
        <w:tc>
          <w:tcPr>
            <w:tcW w:w="1700" w:type="dxa"/>
            <w:shd w:val="clear" w:color="auto" w:fill="D9D9D9"/>
            <w:vAlign w:val="top"/>
          </w:tcPr>
          <w:p>
            <w:pPr>
              <w:spacing w:before="0" w:after="20" w:line="240" w:lineRule="auto"/>
            </w:pPr>
            <w:r>
              <w:rPr>
                <w:rFonts w:ascii="Calibri" w:cs="Calibri" w:eastAsia="Calibri" w:hAnsi="Calibri"/>
                <w:b/>
                <w:bCs/>
                <w:sz w:val="16"/>
                <w:szCs w:val="16"/>
              </w:rPr>
              <w:t xml:space="preserve">Carry forward as it stands?</w:t>
            </w:r>
          </w:p>
        </w:tc>
        <w:tc>
          <w:tcPr>
            <w:tcW w:w="4020" w:type="dxa"/>
            <w:shd w:val="clear" w:color="auto" w:fill="D9D9D9"/>
            <w:vAlign w:val="top"/>
          </w:tcPr>
          <w:p>
            <w:pPr>
              <w:spacing w:before="0" w:after="20" w:line="240" w:lineRule="auto"/>
            </w:pPr>
            <w:r>
              <w:rPr>
                <w:rFonts w:ascii="Calibri" w:cs="Calibri" w:eastAsia="Calibri" w:hAnsi="Calibri"/>
                <w:b/>
                <w:bCs/>
                <w:sz w:val="16"/>
                <w:szCs w:val="16"/>
              </w:rPr>
              <w:t xml:space="preserve">Reason</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Groundwater and stratigraphy inputs: water table El. 742.0; confined head El. 738.0; clay El. 738.0–720.0; aquifer top El. 720.0</w:t>
            </w:r>
          </w:p>
        </w:tc>
        <w:tc>
          <w:tcPr>
            <w:tcW w:w="1300" w:type="dxa"/>
            <w:vAlign w:val="top"/>
          </w:tcPr>
          <w:p>
            <w:pPr>
              <w:spacing w:before="0" w:after="20" w:line="240" w:lineRule="auto"/>
            </w:pPr>
            <w:r>
              <w:rPr>
                <w:rFonts w:ascii="Calibri" w:cs="Calibri" w:eastAsia="Calibri" w:hAnsi="Calibri"/>
                <w:sz w:val="16"/>
                <w:szCs w:val="16"/>
              </w:rPr>
              <w:t xml:space="preserve">R2.1</w:t>
            </w:r>
          </w:p>
        </w:tc>
        <w:tc>
          <w:tcPr>
            <w:tcW w:w="1700" w:type="dxa"/>
            <w:vAlign w:val="top"/>
          </w:tcPr>
          <w:p>
            <w:pPr>
              <w:spacing w:before="0" w:after="20" w:line="240" w:lineRule="auto"/>
            </w:pPr>
            <w:r>
              <w:rPr>
                <w:rFonts w:ascii="Calibri" w:cs="Calibri" w:eastAsia="Calibri" w:hAnsi="Calibri"/>
                <w:b/>
                <w:bCs/>
                <w:sz w:val="16"/>
                <w:szCs w:val="16"/>
              </w:rPr>
              <w:t xml:space="preserve">Yes</w:t>
            </w:r>
          </w:p>
        </w:tc>
        <w:tc>
          <w:tcPr>
            <w:tcW w:w="4020" w:type="dxa"/>
            <w:vAlign w:val="top"/>
          </w:tcPr>
          <w:p>
            <w:pPr>
              <w:spacing w:before="0" w:after="20" w:line="240" w:lineRule="auto"/>
            </w:pPr>
            <w:r>
              <w:rPr>
                <w:rFonts w:ascii="Calibri" w:cs="Calibri" w:eastAsia="Calibri" w:hAnsi="Calibri"/>
                <w:sz w:val="16"/>
                <w:szCs w:val="16"/>
              </w:rPr>
              <w:t xml:space="preserve">Agree with GIR §6–7, borings B-04 and B-06, and 19 rounds of monitoring (use El. 738.3 for loss-of-pumping cases) — 4.1</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Unit weights: clay 120 pcf, SW-GW 130 pcf</w:t>
            </w:r>
          </w:p>
        </w:tc>
        <w:tc>
          <w:tcPr>
            <w:tcW w:w="1300" w:type="dxa"/>
            <w:vAlign w:val="top"/>
          </w:tcPr>
          <w:p>
            <w:pPr>
              <w:spacing w:before="0" w:after="20" w:line="240" w:lineRule="auto"/>
            </w:pPr>
            <w:r>
              <w:rPr>
                <w:rFonts w:ascii="Calibri" w:cs="Calibri" w:eastAsia="Calibri" w:hAnsi="Calibri"/>
                <w:sz w:val="16"/>
                <w:szCs w:val="16"/>
              </w:rPr>
              <w:t xml:space="preserve">R1 §3.2, R2.3</w:t>
            </w:r>
          </w:p>
        </w:tc>
        <w:tc>
          <w:tcPr>
            <w:tcW w:w="1700" w:type="dxa"/>
            <w:vAlign w:val="top"/>
          </w:tcPr>
          <w:p>
            <w:pPr>
              <w:spacing w:before="0" w:after="20" w:line="240" w:lineRule="auto"/>
            </w:pPr>
            <w:r>
              <w:rPr>
                <w:rFonts w:ascii="Calibri" w:cs="Calibri" w:eastAsia="Calibri" w:hAnsi="Calibri"/>
                <w:b/>
                <w:bCs/>
                <w:sz w:val="16"/>
                <w:szCs w:val="16"/>
              </w:rPr>
              <w:t xml:space="preserve">Yes</w:t>
            </w:r>
          </w:p>
        </w:tc>
        <w:tc>
          <w:tcPr>
            <w:tcW w:w="4020" w:type="dxa"/>
            <w:vAlign w:val="top"/>
          </w:tcPr>
          <w:p>
            <w:pPr>
              <w:spacing w:before="0" w:after="20" w:line="240" w:lineRule="auto"/>
            </w:pPr>
            <w:r>
              <w:rPr>
                <w:rFonts w:ascii="Calibri" w:cs="Calibri" w:eastAsia="Calibri" w:hAnsi="Calibri"/>
                <w:sz w:val="16"/>
                <w:szCs w:val="16"/>
              </w:rPr>
              <w:t xml:space="preserve">GIR Table 6-1; IDX — 4.1</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Construction surcharge 250 psf</w:t>
            </w:r>
          </w:p>
        </w:tc>
        <w:tc>
          <w:tcPr>
            <w:tcW w:w="1300" w:type="dxa"/>
            <w:vAlign w:val="top"/>
          </w:tcPr>
          <w:p>
            <w:pPr>
              <w:spacing w:before="0" w:after="20" w:line="240" w:lineRule="auto"/>
            </w:pPr>
            <w:r>
              <w:rPr>
                <w:rFonts w:ascii="Calibri" w:cs="Calibri" w:eastAsia="Calibri" w:hAnsi="Calibri"/>
                <w:sz w:val="16"/>
                <w:szCs w:val="16"/>
              </w:rPr>
              <w:t xml:space="preserve">R1 §4.1 (RFI 058)</w:t>
            </w:r>
          </w:p>
        </w:tc>
        <w:tc>
          <w:tcPr>
            <w:tcW w:w="1700" w:type="dxa"/>
            <w:vAlign w:val="top"/>
          </w:tcPr>
          <w:p>
            <w:pPr>
              <w:spacing w:before="0" w:after="20" w:line="240" w:lineRule="auto"/>
            </w:pPr>
            <w:r>
              <w:rPr>
                <w:rFonts w:ascii="Calibri" w:cs="Calibri" w:eastAsia="Calibri" w:hAnsi="Calibri"/>
                <w:b/>
                <w:bCs/>
                <w:sz w:val="16"/>
                <w:szCs w:val="16"/>
              </w:rPr>
              <w:t xml:space="preserve">Yes</w:t>
            </w:r>
            <w:r>
              <w:rPr>
                <w:rFonts w:ascii="Calibri" w:cs="Calibri" w:eastAsia="Calibri" w:hAnsi="Calibri"/>
                <w:sz w:val="16"/>
                <w:szCs w:val="16"/>
              </w:rPr>
              <w:t xml:space="preserve">, for construction surcharge only</w:t>
            </w:r>
          </w:p>
        </w:tc>
        <w:tc>
          <w:tcPr>
            <w:tcW w:w="4020" w:type="dxa"/>
            <w:vAlign w:val="top"/>
          </w:tcPr>
          <w:p>
            <w:pPr>
              <w:spacing w:before="0" w:after="20" w:line="240" w:lineRule="auto"/>
            </w:pPr>
            <w:r>
              <w:rPr>
                <w:rFonts w:ascii="Calibri" w:cs="Calibri" w:eastAsia="Calibri" w:hAnsi="Calibri"/>
                <w:sz w:val="16"/>
                <w:szCs w:val="16"/>
              </w:rPr>
              <w:t xml:space="preserve">Does not cover any load from adjacent permanent work — 4.9</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PZ-35 Gr 50 section capacity, M</w:t>
            </w:r>
            <w:r>
              <w:rPr>
                <w:rFonts w:ascii="Calibri" w:cs="Calibri" w:eastAsia="Calibri" w:hAnsi="Calibri"/>
                <w:sz w:val="16"/>
                <w:szCs w:val="16"/>
                <w:vertAlign w:val="subscript"/>
              </w:rPr>
              <w:t xml:space="preserve">allow</w:t>
            </w:r>
            <w:r>
              <w:rPr>
                <w:rFonts w:ascii="Calibri" w:cs="Calibri" w:eastAsia="Calibri" w:hAnsi="Calibri"/>
                <w:sz w:val="16"/>
                <w:szCs w:val="16"/>
              </w:rPr>
              <w:t xml:space="preserve"> = 121 kip-ft/ft</w:t>
            </w:r>
          </w:p>
        </w:tc>
        <w:tc>
          <w:tcPr>
            <w:tcW w:w="1300" w:type="dxa"/>
            <w:vAlign w:val="top"/>
          </w:tcPr>
          <w:p>
            <w:pPr>
              <w:spacing w:before="0" w:after="20" w:line="240" w:lineRule="auto"/>
            </w:pPr>
            <w:r>
              <w:rPr>
                <w:rFonts w:ascii="Calibri" w:cs="Calibri" w:eastAsia="Calibri" w:hAnsi="Calibri"/>
                <w:sz w:val="16"/>
                <w:szCs w:val="16"/>
              </w:rPr>
              <w:t xml:space="preserve">R2.6, R1 §11.2</w:t>
            </w:r>
          </w:p>
        </w:tc>
        <w:tc>
          <w:tcPr>
            <w:tcW w:w="1700" w:type="dxa"/>
            <w:vAlign w:val="top"/>
          </w:tcPr>
          <w:p>
            <w:pPr>
              <w:spacing w:before="0" w:after="20" w:line="240" w:lineRule="auto"/>
            </w:pPr>
            <w:r>
              <w:rPr>
                <w:rFonts w:ascii="Calibri" w:cs="Calibri" w:eastAsia="Calibri" w:hAnsi="Calibri"/>
                <w:b/>
                <w:bCs/>
                <w:sz w:val="16"/>
                <w:szCs w:val="16"/>
              </w:rPr>
              <w:t xml:space="preserve">Yes</w:t>
            </w:r>
            <w:r>
              <w:rPr>
                <w:rFonts w:ascii="Calibri" w:cs="Calibri" w:eastAsia="Calibri" w:hAnsi="Calibri"/>
                <w:sz w:val="16"/>
                <w:szCs w:val="16"/>
              </w:rPr>
              <w:t xml:space="preserve"> (capacity only)</w:t>
            </w:r>
          </w:p>
        </w:tc>
        <w:tc>
          <w:tcPr>
            <w:tcW w:w="4020" w:type="dxa"/>
            <w:vAlign w:val="top"/>
          </w:tcPr>
          <w:p>
            <w:pPr>
              <w:spacing w:before="0" w:after="20" w:line="240" w:lineRule="auto"/>
            </w:pPr>
            <w:r>
              <w:rPr>
                <w:rFonts w:ascii="Calibri" w:cs="Calibri" w:eastAsia="Calibri" w:hAnsi="Calibri"/>
                <w:sz w:val="16"/>
                <w:szCs w:val="16"/>
              </w:rPr>
              <w:t xml:space="preserve">Section and allowable stress unchanged — 4.7</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Wale, 2 MC12×50 at 6-ft anchor spacing</w:t>
            </w:r>
          </w:p>
        </w:tc>
        <w:tc>
          <w:tcPr>
            <w:tcW w:w="1300" w:type="dxa"/>
            <w:vAlign w:val="top"/>
          </w:tcPr>
          <w:p>
            <w:pPr>
              <w:spacing w:before="0" w:after="20" w:line="240" w:lineRule="auto"/>
            </w:pPr>
            <w:r>
              <w:rPr>
                <w:rFonts w:ascii="Calibri" w:cs="Calibri" w:eastAsia="Calibri" w:hAnsi="Calibri"/>
                <w:sz w:val="16"/>
                <w:szCs w:val="16"/>
              </w:rPr>
              <w:t xml:space="preserve">R1 §11.4</w:t>
            </w:r>
          </w:p>
        </w:tc>
        <w:tc>
          <w:tcPr>
            <w:tcW w:w="1700" w:type="dxa"/>
            <w:vAlign w:val="top"/>
          </w:tcPr>
          <w:p>
            <w:pPr>
              <w:spacing w:before="0" w:after="20" w:line="240" w:lineRule="auto"/>
            </w:pPr>
            <w:r>
              <w:rPr>
                <w:rFonts w:ascii="Calibri" w:cs="Calibri" w:eastAsia="Calibri" w:hAnsi="Calibri"/>
                <w:b/>
                <w:bCs/>
                <w:sz w:val="16"/>
                <w:szCs w:val="16"/>
              </w:rPr>
              <w:t xml:space="preserve">Yes</w:t>
            </w:r>
            <w:r>
              <w:rPr>
                <w:rFonts w:ascii="Calibri" w:cs="Calibri" w:eastAsia="Calibri" w:hAnsi="Calibri"/>
                <w:sz w:val="16"/>
                <w:szCs w:val="16"/>
              </w:rPr>
              <w:t xml:space="preserve">, as a capacity up to 15,700 lb/ft</w:t>
            </w:r>
          </w:p>
        </w:tc>
        <w:tc>
          <w:tcPr>
            <w:tcW w:w="4020" w:type="dxa"/>
            <w:vAlign w:val="top"/>
          </w:tcPr>
          <w:p>
            <w:pPr>
              <w:spacing w:before="0" w:after="20" w:line="240" w:lineRule="auto"/>
            </w:pPr>
            <w:r>
              <w:rPr>
                <w:rFonts w:ascii="Calibri" w:cs="Calibri" w:eastAsia="Calibri" w:hAnsi="Calibri"/>
                <w:sz w:val="16"/>
                <w:szCs w:val="16"/>
              </w:rPr>
              <w:t xml:space="preserve">Confirm against the re-derived anchor reaction — 4.7</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Layered active plus hydrostatic loading above subgrade</w:t>
            </w:r>
          </w:p>
        </w:tc>
        <w:tc>
          <w:tcPr>
            <w:tcW w:w="1300" w:type="dxa"/>
            <w:vAlign w:val="top"/>
          </w:tcPr>
          <w:p>
            <w:pPr>
              <w:spacing w:before="0" w:after="20" w:line="240" w:lineRule="auto"/>
            </w:pPr>
            <w:r>
              <w:rPr>
                <w:rFonts w:ascii="Calibri" w:cs="Calibri" w:eastAsia="Calibri" w:hAnsi="Calibri"/>
                <w:sz w:val="16"/>
                <w:szCs w:val="16"/>
              </w:rPr>
              <w:t xml:space="preserve">R2.3</w:t>
            </w:r>
          </w:p>
        </w:tc>
        <w:tc>
          <w:tcPr>
            <w:tcW w:w="1700" w:type="dxa"/>
            <w:vAlign w:val="top"/>
          </w:tcPr>
          <w:p>
            <w:pPr>
              <w:spacing w:before="0" w:after="20" w:line="240" w:lineRule="auto"/>
            </w:pPr>
            <w:r>
              <w:rPr>
                <w:rFonts w:ascii="Calibri" w:cs="Calibri" w:eastAsia="Calibri" w:hAnsi="Calibri"/>
                <w:b/>
                <w:bCs/>
                <w:sz w:val="16"/>
                <w:szCs w:val="16"/>
              </w:rPr>
              <w:t xml:space="preserve">No</w:t>
            </w:r>
            <w:r>
              <w:rPr>
                <w:rFonts w:ascii="Calibri" w:cs="Calibri" w:eastAsia="Calibri" w:hAnsi="Calibri"/>
                <w:sz w:val="16"/>
                <w:szCs w:val="16"/>
              </w:rPr>
              <w:t xml:space="preserve"> (method and arithmetic reusable)</w:t>
            </w:r>
          </w:p>
        </w:tc>
        <w:tc>
          <w:tcPr>
            <w:tcW w:w="4020" w:type="dxa"/>
            <w:vAlign w:val="top"/>
          </w:tcPr>
          <w:p>
            <w:pPr>
              <w:spacing w:before="0" w:after="20" w:line="240" w:lineRule="auto"/>
            </w:pPr>
            <w:r>
              <w:rPr>
                <w:rFonts w:ascii="Calibri" w:cs="Calibri" w:eastAsia="Calibri" w:hAnsi="Calibri"/>
                <w:sz w:val="16"/>
                <w:szCs w:val="16"/>
              </w:rPr>
              <w:t xml:space="preserve">Fill taken at 118 pcf; as placed it is ≥ 132 pcf moist and ≈ 139 pcf saturated, giving +6% load and +195 psf σ</w:t>
            </w:r>
            <w:r>
              <w:rPr>
                <w:rFonts w:ascii="Calibri" w:cs="Calibri" w:eastAsia="Calibri" w:hAnsi="Calibri"/>
                <w:sz w:val="16"/>
                <w:szCs w:val="16"/>
                <w:vertAlign w:val="subscript"/>
              </w:rPr>
              <w:t xml:space="preserve">v0</w:t>
            </w:r>
            <w:r>
              <w:rPr>
                <w:rFonts w:ascii="Calibri" w:cs="Calibri" w:eastAsia="Calibri" w:hAnsi="Calibri"/>
                <w:sz w:val="16"/>
                <w:szCs w:val="16"/>
              </w:rPr>
              <w:t xml:space="preserve"> — 4.2</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Base-heave check</w:t>
            </w:r>
          </w:p>
        </w:tc>
        <w:tc>
          <w:tcPr>
            <w:tcW w:w="1300" w:type="dxa"/>
            <w:vAlign w:val="top"/>
          </w:tcPr>
          <w:p>
            <w:pPr>
              <w:spacing w:before="0" w:after="20" w:line="240" w:lineRule="auto"/>
            </w:pPr>
            <w:r>
              <w:rPr>
                <w:rFonts w:ascii="Calibri" w:cs="Calibri" w:eastAsia="Calibri" w:hAnsi="Calibri"/>
                <w:sz w:val="16"/>
                <w:szCs w:val="16"/>
              </w:rPr>
              <w:t xml:space="preserve">R2.2</w:t>
            </w:r>
          </w:p>
        </w:tc>
        <w:tc>
          <w:tcPr>
            <w:tcW w:w="1700" w:type="dxa"/>
            <w:vAlign w:val="top"/>
          </w:tcPr>
          <w:p>
            <w:pPr>
              <w:spacing w:before="0" w:after="20" w:line="240" w:lineRule="auto"/>
            </w:pPr>
            <w:r>
              <w:rPr>
                <w:rFonts w:ascii="Calibri" w:cs="Calibri" w:eastAsia="Calibri" w:hAnsi="Calibri"/>
                <w:b/>
                <w:bCs/>
                <w:sz w:val="16"/>
                <w:szCs w:val="16"/>
              </w:rPr>
              <w:t xml:space="preserve">No</w:t>
            </w:r>
            <w:r>
              <w:rPr>
                <w:rFonts w:ascii="Calibri" w:cs="Calibri" w:eastAsia="Calibri" w:hAnsi="Calibri"/>
                <w:sz w:val="16"/>
                <w:szCs w:val="16"/>
              </w:rPr>
              <w:t xml:space="preserve"> (arithmetic reusable)</w:t>
            </w:r>
          </w:p>
        </w:tc>
        <w:tc>
          <w:tcPr>
            <w:tcW w:w="4020" w:type="dxa"/>
            <w:vAlign w:val="top"/>
          </w:tcPr>
          <w:p>
            <w:pPr>
              <w:spacing w:before="0" w:after="20" w:line="240" w:lineRule="auto"/>
            </w:pPr>
            <w:r>
              <w:rPr>
                <w:rFonts w:ascii="Calibri" w:cs="Calibri" w:eastAsia="Calibri" w:hAnsi="Calibri"/>
                <w:sz w:val="16"/>
                <w:szCs w:val="16"/>
              </w:rPr>
              <w:t xml:space="preserve">Trigger allows FS 1.48; no loss-of-pumping case; depressurisation undesigned — 4.6</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Relief wells, 72-hour hold, piezometer trigger</w:t>
            </w:r>
          </w:p>
        </w:tc>
        <w:tc>
          <w:tcPr>
            <w:tcW w:w="1300" w:type="dxa"/>
            <w:vAlign w:val="top"/>
          </w:tcPr>
          <w:p>
            <w:pPr>
              <w:spacing w:before="0" w:after="20" w:line="240" w:lineRule="auto"/>
            </w:pPr>
            <w:r>
              <w:rPr>
                <w:rFonts w:ascii="Calibri" w:cs="Calibri" w:eastAsia="Calibri" w:hAnsi="Calibri"/>
                <w:sz w:val="16"/>
                <w:szCs w:val="16"/>
              </w:rPr>
              <w:t xml:space="preserve">R2.1, R2.7</w:t>
            </w:r>
          </w:p>
        </w:tc>
        <w:tc>
          <w:tcPr>
            <w:tcW w:w="1700" w:type="dxa"/>
            <w:vAlign w:val="top"/>
          </w:tcPr>
          <w:p>
            <w:pPr>
              <w:spacing w:before="0" w:after="20" w:line="240" w:lineRule="auto"/>
            </w:pPr>
            <w:r>
              <w:rPr>
                <w:rFonts w:ascii="Calibri" w:cs="Calibri" w:eastAsia="Calibri" w:hAnsi="Calibri"/>
                <w:b/>
                <w:bCs/>
                <w:sz w:val="16"/>
                <w:szCs w:val="16"/>
              </w:rPr>
              <w:t xml:space="preserve">No</w:t>
            </w:r>
          </w:p>
        </w:tc>
        <w:tc>
          <w:tcPr>
            <w:tcW w:w="4020" w:type="dxa"/>
            <w:vAlign w:val="top"/>
          </w:tcPr>
          <w:p>
            <w:pPr>
              <w:spacing w:before="0" w:after="20" w:line="240" w:lineRule="auto"/>
            </w:pPr>
            <w:r>
              <w:rPr>
                <w:rFonts w:ascii="Calibri" w:cs="Calibri" w:eastAsia="Calibri" w:hAnsi="Calibri"/>
                <w:sz w:val="16"/>
                <w:szCs w:val="16"/>
              </w:rPr>
              <w:t xml:space="preserve">Not designed; hold elevation too low (El. 732.0 against El. 735.6); trigger above El. 726.9 — 4.6</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Toe embedment</w:t>
            </w:r>
          </w:p>
        </w:tc>
        <w:tc>
          <w:tcPr>
            <w:tcW w:w="1300" w:type="dxa"/>
            <w:vAlign w:val="top"/>
          </w:tcPr>
          <w:p>
            <w:pPr>
              <w:spacing w:before="0" w:after="20" w:line="240" w:lineRule="auto"/>
            </w:pPr>
            <w:r>
              <w:rPr>
                <w:rFonts w:ascii="Calibri" w:cs="Calibri" w:eastAsia="Calibri" w:hAnsi="Calibri"/>
                <w:sz w:val="16"/>
                <w:szCs w:val="16"/>
              </w:rPr>
              <w:t xml:space="preserve">R2.4</w:t>
            </w:r>
          </w:p>
        </w:tc>
        <w:tc>
          <w:tcPr>
            <w:tcW w:w="1700" w:type="dxa"/>
            <w:vAlign w:val="top"/>
          </w:tcPr>
          <w:p>
            <w:pPr>
              <w:spacing w:before="0" w:after="20" w:line="240" w:lineRule="auto"/>
            </w:pPr>
            <w:r>
              <w:rPr>
                <w:rFonts w:ascii="Calibri" w:cs="Calibri" w:eastAsia="Calibri" w:hAnsi="Calibri"/>
                <w:b/>
                <w:bCs/>
                <w:sz w:val="16"/>
                <w:szCs w:val="16"/>
              </w:rPr>
              <w:t xml:space="preserve">No</w:t>
            </w:r>
          </w:p>
        </w:tc>
        <w:tc>
          <w:tcPr>
            <w:tcW w:w="4020" w:type="dxa"/>
            <w:vAlign w:val="top"/>
          </w:tcPr>
          <w:p>
            <w:pPr>
              <w:spacing w:before="0" w:after="20" w:line="240" w:lineRule="auto"/>
            </w:pPr>
            <w:r>
              <w:rPr>
                <w:rFonts w:ascii="Calibri" w:cs="Calibri" w:eastAsia="Calibri" w:hAnsi="Calibri"/>
                <w:sz w:val="16"/>
                <w:szCs w:val="16"/>
              </w:rPr>
              <w:t xml:space="preserve">s</w:t>
            </w:r>
            <w:r>
              <w:rPr>
                <w:rFonts w:ascii="Calibri" w:cs="Calibri" w:eastAsia="Calibri" w:hAnsi="Calibri"/>
                <w:sz w:val="16"/>
                <w:szCs w:val="16"/>
                <w:vertAlign w:val="subscript"/>
              </w:rPr>
              <w:t xml:space="preserve">u</w:t>
            </w:r>
            <w:r>
              <w:rPr>
                <w:rFonts w:ascii="Calibri" w:cs="Calibri" w:eastAsia="Calibri" w:hAnsi="Calibri"/>
                <w:sz w:val="16"/>
                <w:szCs w:val="16"/>
              </w:rPr>
              <w:t xml:space="preserve"> not supported (FS 0.31–0.81); no net drained toe resistance; refusal and driveability not addressed — 4.3, 4.4</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Tieback anchors: load, bond, testing</w:t>
            </w:r>
          </w:p>
        </w:tc>
        <w:tc>
          <w:tcPr>
            <w:tcW w:w="1300" w:type="dxa"/>
            <w:vAlign w:val="top"/>
          </w:tcPr>
          <w:p>
            <w:pPr>
              <w:spacing w:before="0" w:after="20" w:line="240" w:lineRule="auto"/>
            </w:pPr>
            <w:r>
              <w:rPr>
                <w:rFonts w:ascii="Calibri" w:cs="Calibri" w:eastAsia="Calibri" w:hAnsi="Calibri"/>
                <w:sz w:val="16"/>
                <w:szCs w:val="16"/>
              </w:rPr>
              <w:t xml:space="preserve">R2.5</w:t>
            </w:r>
          </w:p>
        </w:tc>
        <w:tc>
          <w:tcPr>
            <w:tcW w:w="1700" w:type="dxa"/>
            <w:vAlign w:val="top"/>
          </w:tcPr>
          <w:p>
            <w:pPr>
              <w:spacing w:before="0" w:after="20" w:line="240" w:lineRule="auto"/>
            </w:pPr>
            <w:r>
              <w:rPr>
                <w:rFonts w:ascii="Calibri" w:cs="Calibri" w:eastAsia="Calibri" w:hAnsi="Calibri"/>
                <w:b/>
                <w:bCs/>
                <w:sz w:val="16"/>
                <w:szCs w:val="16"/>
              </w:rPr>
              <w:t xml:space="preserve">No</w:t>
            </w:r>
          </w:p>
        </w:tc>
        <w:tc>
          <w:tcPr>
            <w:tcW w:w="4020" w:type="dxa"/>
            <w:vAlign w:val="top"/>
          </w:tcPr>
          <w:p>
            <w:pPr>
              <w:spacing w:before="0" w:after="20" w:line="240" w:lineRule="auto"/>
            </w:pPr>
            <w:r>
              <w:rPr>
                <w:rFonts w:ascii="Calibri" w:cs="Calibri" w:eastAsia="Calibri" w:hAnsi="Calibri"/>
                <w:sz w:val="16"/>
                <w:szCs w:val="16"/>
              </w:rPr>
              <w:t xml:space="preserve">Bond zone in clay; capacity ≤ 41.5 kips against 56.2-kip design and 74.8-kip proof loads — 4.5</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Bending demand, 62.4 kip-ft/ft</w:t>
            </w:r>
          </w:p>
        </w:tc>
        <w:tc>
          <w:tcPr>
            <w:tcW w:w="1300" w:type="dxa"/>
            <w:vAlign w:val="top"/>
          </w:tcPr>
          <w:p>
            <w:pPr>
              <w:spacing w:before="0" w:after="20" w:line="240" w:lineRule="auto"/>
            </w:pPr>
            <w:r>
              <w:rPr>
                <w:rFonts w:ascii="Calibri" w:cs="Calibri" w:eastAsia="Calibri" w:hAnsi="Calibri"/>
                <w:sz w:val="16"/>
                <w:szCs w:val="16"/>
              </w:rPr>
              <w:t xml:space="preserve">R2.6</w:t>
            </w:r>
          </w:p>
        </w:tc>
        <w:tc>
          <w:tcPr>
            <w:tcW w:w="1700" w:type="dxa"/>
            <w:vAlign w:val="top"/>
          </w:tcPr>
          <w:p>
            <w:pPr>
              <w:spacing w:before="0" w:after="20" w:line="240" w:lineRule="auto"/>
            </w:pPr>
            <w:r>
              <w:rPr>
                <w:rFonts w:ascii="Calibri" w:cs="Calibri" w:eastAsia="Calibri" w:hAnsi="Calibri"/>
                <w:b/>
                <w:bCs/>
                <w:sz w:val="16"/>
                <w:szCs w:val="16"/>
              </w:rPr>
              <w:t xml:space="preserve">No</w:t>
            </w:r>
          </w:p>
        </w:tc>
        <w:tc>
          <w:tcPr>
            <w:tcW w:w="4020" w:type="dxa"/>
            <w:vAlign w:val="top"/>
          </w:tcPr>
          <w:p>
            <w:pPr>
              <w:spacing w:before="0" w:after="20" w:line="240" w:lineRule="auto"/>
            </w:pPr>
            <w:r>
              <w:rPr>
                <w:rFonts w:ascii="Calibri" w:cs="Calibri" w:eastAsia="Calibri" w:hAnsi="Calibri"/>
                <w:sz w:val="16"/>
                <w:szCs w:val="16"/>
              </w:rPr>
              <w:t xml:space="preserve">Depends on the failed toe and anchor support — 4.7</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Deflection, 1.3 in against H/200</w:t>
            </w:r>
          </w:p>
        </w:tc>
        <w:tc>
          <w:tcPr>
            <w:tcW w:w="1300" w:type="dxa"/>
            <w:vAlign w:val="top"/>
          </w:tcPr>
          <w:p>
            <w:pPr>
              <w:spacing w:before="0" w:after="20" w:line="240" w:lineRule="auto"/>
            </w:pPr>
            <w:r>
              <w:rPr>
                <w:rFonts w:ascii="Calibri" w:cs="Calibri" w:eastAsia="Calibri" w:hAnsi="Calibri"/>
                <w:sz w:val="16"/>
                <w:szCs w:val="16"/>
              </w:rPr>
              <w:t xml:space="preserve">R2.7</w:t>
            </w:r>
          </w:p>
        </w:tc>
        <w:tc>
          <w:tcPr>
            <w:tcW w:w="1700" w:type="dxa"/>
            <w:vAlign w:val="top"/>
          </w:tcPr>
          <w:p>
            <w:pPr>
              <w:spacing w:before="0" w:after="20" w:line="240" w:lineRule="auto"/>
            </w:pPr>
            <w:r>
              <w:rPr>
                <w:rFonts w:ascii="Calibri" w:cs="Calibri" w:eastAsia="Calibri" w:hAnsi="Calibri"/>
                <w:b/>
                <w:bCs/>
                <w:sz w:val="16"/>
                <w:szCs w:val="16"/>
              </w:rPr>
              <w:t xml:space="preserve">No</w:t>
            </w:r>
          </w:p>
        </w:tc>
        <w:tc>
          <w:tcPr>
            <w:tcW w:w="4020" w:type="dxa"/>
            <w:vAlign w:val="top"/>
          </w:tcPr>
          <w:p>
            <w:pPr>
              <w:spacing w:before="0" w:after="20" w:line="240" w:lineRule="auto"/>
            </w:pPr>
            <w:r>
              <w:rPr>
                <w:rFonts w:ascii="Calibri" w:cs="Calibri" w:eastAsia="Calibri" w:hAnsi="Calibri"/>
                <w:sz w:val="16"/>
                <w:szCs w:val="16"/>
              </w:rPr>
              <w:t xml:space="preserve">Depends on failed support; exceeds R1’s own 1.20-in stop level; not related to the permanent work — 4.7</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Sliding and overturning</w:t>
            </w:r>
          </w:p>
        </w:tc>
        <w:tc>
          <w:tcPr>
            <w:tcW w:w="1300" w:type="dxa"/>
            <w:vAlign w:val="top"/>
          </w:tcPr>
          <w:p>
            <w:pPr>
              <w:spacing w:before="0" w:after="20" w:line="240" w:lineRule="auto"/>
            </w:pPr>
            <w:r>
              <w:rPr>
                <w:rFonts w:ascii="Calibri" w:cs="Calibri" w:eastAsia="Calibri" w:hAnsi="Calibri"/>
                <w:sz w:val="16"/>
                <w:szCs w:val="16"/>
              </w:rPr>
              <w:t xml:space="preserve">R1 §8</w:t>
            </w:r>
          </w:p>
        </w:tc>
        <w:tc>
          <w:tcPr>
            <w:tcW w:w="1700" w:type="dxa"/>
            <w:vAlign w:val="top"/>
          </w:tcPr>
          <w:p>
            <w:pPr>
              <w:spacing w:before="0" w:after="20" w:line="240" w:lineRule="auto"/>
            </w:pPr>
            <w:r>
              <w:rPr>
                <w:rFonts w:ascii="Calibri" w:cs="Calibri" w:eastAsia="Calibri" w:hAnsi="Calibri"/>
                <w:b/>
                <w:bCs/>
                <w:sz w:val="16"/>
                <w:szCs w:val="16"/>
              </w:rPr>
              <w:t xml:space="preserve">No</w:t>
            </w:r>
          </w:p>
        </w:tc>
        <w:tc>
          <w:tcPr>
            <w:tcW w:w="4020" w:type="dxa"/>
            <w:vAlign w:val="top"/>
          </w:tcPr>
          <w:p>
            <w:pPr>
              <w:spacing w:before="0" w:after="20" w:line="240" w:lineRule="auto"/>
            </w:pPr>
            <w:r>
              <w:rPr>
                <w:rFonts w:ascii="Calibri" w:cs="Calibri" w:eastAsia="Calibri" w:hAnsi="Calibri"/>
                <w:sz w:val="16"/>
                <w:szCs w:val="16"/>
              </w:rPr>
              <w:t xml:space="preserve">Uses dry-case forces of 17,844 and 15,354 lb/ft — 4.7</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Driveability</w:t>
            </w:r>
          </w:p>
        </w:tc>
        <w:tc>
          <w:tcPr>
            <w:tcW w:w="1300" w:type="dxa"/>
            <w:vAlign w:val="top"/>
          </w:tcPr>
          <w:p>
            <w:pPr>
              <w:spacing w:before="0" w:after="20" w:line="240" w:lineRule="auto"/>
            </w:pPr>
            <w:r>
              <w:rPr>
                <w:rFonts w:ascii="Calibri" w:cs="Calibri" w:eastAsia="Calibri" w:hAnsi="Calibri"/>
                <w:sz w:val="16"/>
                <w:szCs w:val="16"/>
              </w:rPr>
              <w:t xml:space="preserve">R1 §11.3</w:t>
            </w:r>
          </w:p>
        </w:tc>
        <w:tc>
          <w:tcPr>
            <w:tcW w:w="1700" w:type="dxa"/>
            <w:vAlign w:val="top"/>
          </w:tcPr>
          <w:p>
            <w:pPr>
              <w:spacing w:before="0" w:after="20" w:line="240" w:lineRule="auto"/>
            </w:pPr>
            <w:r>
              <w:rPr>
                <w:rFonts w:ascii="Calibri" w:cs="Calibri" w:eastAsia="Calibri" w:hAnsi="Calibri"/>
                <w:b/>
                <w:bCs/>
                <w:sz w:val="16"/>
                <w:szCs w:val="16"/>
              </w:rPr>
              <w:t xml:space="preserve">No</w:t>
            </w:r>
          </w:p>
        </w:tc>
        <w:tc>
          <w:tcPr>
            <w:tcW w:w="4020" w:type="dxa"/>
            <w:vAlign w:val="top"/>
          </w:tcPr>
          <w:p>
            <w:pPr>
              <w:spacing w:before="0" w:after="20" w:line="240" w:lineRule="auto"/>
            </w:pPr>
            <w:r>
              <w:rPr>
                <w:rFonts w:ascii="Calibri" w:cs="Calibri" w:eastAsia="Calibri" w:hAnsi="Calibri"/>
                <w:sz w:val="16"/>
                <w:szCs w:val="16"/>
              </w:rPr>
              <w:t xml:space="preserve">Covers only a 28-ft sheet to El. 722.0 in clay — 4.3</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Sequence and monitoring</w:t>
            </w:r>
          </w:p>
        </w:tc>
        <w:tc>
          <w:tcPr>
            <w:tcW w:w="1300" w:type="dxa"/>
            <w:vAlign w:val="top"/>
          </w:tcPr>
          <w:p>
            <w:pPr>
              <w:spacing w:before="0" w:after="20" w:line="240" w:lineRule="auto"/>
            </w:pPr>
            <w:r>
              <w:rPr>
                <w:rFonts w:ascii="Calibri" w:cs="Calibri" w:eastAsia="Calibri" w:hAnsi="Calibri"/>
                <w:sz w:val="16"/>
                <w:szCs w:val="16"/>
              </w:rPr>
              <w:t xml:space="preserve">R1 §13</w:t>
            </w:r>
          </w:p>
        </w:tc>
        <w:tc>
          <w:tcPr>
            <w:tcW w:w="1700" w:type="dxa"/>
            <w:vAlign w:val="top"/>
          </w:tcPr>
          <w:p>
            <w:pPr>
              <w:spacing w:before="0" w:after="20" w:line="240" w:lineRule="auto"/>
            </w:pPr>
            <w:r>
              <w:rPr>
                <w:rFonts w:ascii="Calibri" w:cs="Calibri" w:eastAsia="Calibri" w:hAnsi="Calibri"/>
                <w:b/>
                <w:bCs/>
                <w:sz w:val="16"/>
                <w:szCs w:val="16"/>
              </w:rPr>
              <w:t xml:space="preserve">No</w:t>
            </w:r>
          </w:p>
        </w:tc>
        <w:tc>
          <w:tcPr>
            <w:tcW w:w="4020" w:type="dxa"/>
            <w:vAlign w:val="top"/>
          </w:tcPr>
          <w:p>
            <w:pPr>
              <w:spacing w:before="0" w:after="20" w:line="240" w:lineRule="auto"/>
            </w:pPr>
            <w:r>
              <w:rPr>
                <w:rFonts w:ascii="Calibri" w:cs="Calibri" w:eastAsia="Calibri" w:hAnsi="Calibri"/>
                <w:sz w:val="16"/>
                <w:szCs w:val="16"/>
              </w:rPr>
              <w:t xml:space="preserve">Refers to 31-DW-A; 75-kip lock-off against 42.2 kips; toe El. 722.0; sheet extraction — 4.8</w:t>
            </w:r>
          </w:p>
        </w:tc>
      </w:tr>
      <w:tr>
        <w:trPr>
          <w:cantSplit/>
        </w:trPr>
        <w:tc>
          <w:tcPr>
            <w:tcW w:w="2700" w:type="dxa"/>
            <w:vAlign w:val="top"/>
          </w:tcPr>
          <w:p>
            <w:pPr>
              <w:spacing w:before="0" w:after="20" w:line="240" w:lineRule="auto"/>
            </w:pPr>
            <w:r>
              <w:rPr>
                <w:rFonts w:ascii="Calibri" w:cs="Calibri" w:eastAsia="Calibri" w:hAnsi="Calibri"/>
                <w:sz w:val="16"/>
                <w:szCs w:val="16"/>
              </w:rPr>
              <w:t xml:space="preserve">Location and adjacent-structure statements</w:t>
            </w:r>
          </w:p>
        </w:tc>
        <w:tc>
          <w:tcPr>
            <w:tcW w:w="1300" w:type="dxa"/>
            <w:vAlign w:val="top"/>
          </w:tcPr>
          <w:p>
            <w:pPr>
              <w:spacing w:before="0" w:after="20" w:line="240" w:lineRule="auto"/>
            </w:pPr>
            <w:r>
              <w:rPr>
                <w:rFonts w:ascii="Calibri" w:cs="Calibri" w:eastAsia="Calibri" w:hAnsi="Calibri"/>
                <w:sz w:val="16"/>
                <w:szCs w:val="16"/>
              </w:rPr>
              <w:t xml:space="preserve">R1 §1.1, §1.3, §4.4, §12.3</w:t>
            </w:r>
          </w:p>
        </w:tc>
        <w:tc>
          <w:tcPr>
            <w:tcW w:w="1700" w:type="dxa"/>
            <w:vAlign w:val="top"/>
          </w:tcPr>
          <w:p>
            <w:pPr>
              <w:spacing w:before="0" w:after="20" w:line="240" w:lineRule="auto"/>
            </w:pPr>
            <w:r>
              <w:rPr>
                <w:rFonts w:ascii="Calibri" w:cs="Calibri" w:eastAsia="Calibri" w:hAnsi="Calibri"/>
                <w:b/>
                <w:bCs/>
                <w:sz w:val="16"/>
                <w:szCs w:val="16"/>
              </w:rPr>
              <w:t xml:space="preserve">No</w:t>
            </w:r>
          </w:p>
        </w:tc>
        <w:tc>
          <w:tcPr>
            <w:tcW w:w="4020" w:type="dxa"/>
            <w:vAlign w:val="top"/>
          </w:tcPr>
          <w:p>
            <w:pPr>
              <w:spacing w:before="0" w:after="20" w:line="240" w:lineRule="auto"/>
            </w:pPr>
            <w:r>
              <w:rPr>
                <w:rFonts w:ascii="Calibri" w:cs="Calibri" w:eastAsia="Calibri" w:hAnsi="Calibri"/>
                <w:sz w:val="16"/>
                <w:szCs w:val="16"/>
              </w:rPr>
              <w:t xml:space="preserve">Contradicted by S-101 Rev.4, S-102 Rev.2 and DFR 141–142 — 4.9</w:t>
            </w:r>
          </w:p>
        </w:tc>
      </w:tr>
    </w:tbl>
    <w:p>
      <w:pPr>
        <w:spacing w:before="0" w:after="40"/>
      </w:pPr>
    </w:p>
    <w:p>
      <w:pPr>
        <w:spacing w:after="60" w:before="200"/>
      </w:pPr>
      <w:r>
        <w:rPr>
          <w:rFonts w:ascii="Calibri" w:cs="Calibri" w:eastAsia="Calibri" w:hAnsi="Calibri"/>
          <w:b/>
          <w:bCs/>
          <w:sz w:val="21"/>
          <w:szCs w:val="21"/>
        </w:rPr>
        <w:t xml:space="preserve">5.  CONCLUSION AND RECOMMENDATION</w:t>
      </w:r>
    </w:p>
    <w:p>
      <w:pPr>
        <w:keepNext/>
        <w:spacing w:before="160" w:after="60"/>
      </w:pPr>
      <w:r>
        <w:rPr>
          <w:rFonts w:ascii="Calibri" w:cs="Calibri" w:eastAsia="Calibri" w:hAnsi="Calibri"/>
          <w:b/>
          <w:bCs/>
          <w:sz w:val="20"/>
          <w:szCs w:val="20"/>
        </w:rPr>
        <w:t xml:space="preserve">5.1  Determination</w:t>
      </w:r>
    </w:p>
    <w:p>
      <w:pPr>
        <w:spacing w:before="0" w:after="100" w:line="252" w:lineRule="auto"/>
      </w:pPr>
      <w:r>
        <w:rPr>
          <w:rFonts w:ascii="Calibri" w:cs="Calibri" w:eastAsia="Calibri" w:hAnsi="Calibri"/>
          <w:sz w:val="20"/>
          <w:szCs w:val="20"/>
        </w:rPr>
        <w:t xml:space="preserve">Submittal 31-SH-B Rev.1, as supplemented by Rev.2 (Kesterline letter KE-L-2026-0713), is </w:t>
      </w:r>
      <w:r>
        <w:rPr>
          <w:rFonts w:ascii="Calibri" w:cs="Calibri" w:eastAsia="Calibri" w:hAnsi="Calibri"/>
          <w:b/>
          <w:bCs/>
          <w:sz w:val="20"/>
          <w:szCs w:val="20"/>
        </w:rPr>
        <w:t xml:space="preserve">NOT VERIFIED</w:t>
      </w:r>
      <w:r>
        <w:rPr>
          <w:rFonts w:ascii="Calibri" w:cs="Calibri" w:eastAsia="Calibri" w:hAnsi="Calibri"/>
          <w:sz w:val="20"/>
          <w:szCs w:val="20"/>
        </w:rPr>
        <w:t xml:space="preserve">. Its groundwater and stratigraphy inputs agree with the logged record, but the design built on them does not demonstrate adequacy:</w:t>
      </w:r>
    </w:p>
    <w:p>
      <w:pPr>
        <w:numPr>
          <w:ilvl w:val="0"/>
          <w:numId w:val="1"/>
        </w:numPr>
        <w:spacing w:before="0" w:after="50" w:line="252" w:lineRule="auto"/>
        <w:ind w:left="360" w:hanging="220"/>
      </w:pPr>
      <w:r>
        <w:rPr>
          <w:rFonts w:ascii="Calibri" w:cs="Calibri" w:eastAsia="Calibri" w:hAnsi="Calibri"/>
          <w:sz w:val="20"/>
          <w:szCs w:val="20"/>
        </w:rPr>
        <w:t xml:space="preserve">The toe check fails on the logged shear strength (FS 0.31–0.81 against 1.50), and in the drained condition there is no net toe resistance.</w:t>
      </w:r>
    </w:p>
    <w:p>
      <w:pPr>
        <w:numPr>
          <w:ilvl w:val="0"/>
          <w:numId w:val="1"/>
        </w:numPr>
        <w:spacing w:before="0" w:after="50" w:line="252" w:lineRule="auto"/>
        <w:ind w:left="360" w:hanging="220"/>
      </w:pPr>
      <w:r>
        <w:rPr>
          <w:rFonts w:ascii="Calibri" w:cs="Calibri" w:eastAsia="Calibri" w:hAnsi="Calibri"/>
          <w:sz w:val="20"/>
          <w:szCs w:val="20"/>
        </w:rPr>
        <w:t xml:space="preserve">The anchor bond lies in clay, with an ultimate capacity of at most 33.9–41.5 kips against a 56.2-kip design load.</w:t>
      </w:r>
    </w:p>
    <w:p>
      <w:pPr>
        <w:numPr>
          <w:ilvl w:val="0"/>
          <w:numId w:val="1"/>
        </w:numPr>
        <w:spacing w:before="0" w:after="50" w:line="252" w:lineRule="auto"/>
        <w:ind w:left="360" w:hanging="220"/>
      </w:pPr>
      <w:r>
        <w:rPr>
          <w:rFonts w:ascii="Calibri" w:cs="Calibri" w:eastAsia="Calibri" w:hAnsi="Calibri"/>
          <w:sz w:val="20"/>
          <w:szCs w:val="20"/>
        </w:rPr>
        <w:t xml:space="preserve">Base-heave stability depends on an undesigned depressurisation system. Its trigger allows FS 1.48, and loss of pumping leaves FS 0.58.</w:t>
      </w:r>
    </w:p>
    <w:p>
      <w:pPr>
        <w:numPr>
          <w:ilvl w:val="0"/>
          <w:numId w:val="1"/>
        </w:numPr>
        <w:spacing w:before="0" w:after="50" w:line="252" w:lineRule="auto"/>
        <w:ind w:left="360" w:hanging="220"/>
      </w:pPr>
      <w:r>
        <w:rPr>
          <w:rFonts w:ascii="Calibri" w:cs="Calibri" w:eastAsia="Calibri" w:hAnsi="Calibri"/>
          <w:sz w:val="20"/>
          <w:szCs w:val="20"/>
        </w:rPr>
        <w:t xml:space="preserve">The composite document keeps the withdrawn dry basis in force.</w:t>
      </w:r>
    </w:p>
    <w:p>
      <w:pPr>
        <w:numPr>
          <w:ilvl w:val="0"/>
          <w:numId w:val="1"/>
        </w:numPr>
        <w:spacing w:before="0" w:after="50" w:line="252" w:lineRule="auto"/>
        <w:ind w:left="360" w:hanging="220"/>
      </w:pPr>
      <w:r>
        <w:rPr>
          <w:rFonts w:ascii="Calibri" w:cs="Calibri" w:eastAsia="Calibri" w:hAnsi="Calibri"/>
          <w:sz w:val="20"/>
          <w:szCs w:val="20"/>
        </w:rPr>
        <w:t xml:space="preserve">The design takes no account of the Block B piles, mat and basement that the record places at and around the pit.</w:t>
      </w:r>
    </w:p>
    <w:p>
      <w:pPr>
        <w:spacing w:before="0" w:after="100" w:line="252" w:lineRule="auto"/>
      </w:pPr>
      <w:r>
        <w:rPr>
          <w:rFonts w:ascii="Calibri" w:cs="Calibri" w:eastAsia="Calibri" w:hAnsi="Calibri"/>
          <w:sz w:val="20"/>
          <w:szCs w:val="20"/>
        </w:rPr>
        <w:t xml:space="preserve">These are deficiencies in the basis of the design, not in its presentation, so VERIFIED WITH COMMENT is not available.</w:t>
      </w:r>
    </w:p>
    <w:p>
      <w:pPr>
        <w:keepNext/>
        <w:spacing w:before="160" w:after="60"/>
      </w:pPr>
      <w:r>
        <w:rPr>
          <w:rFonts w:ascii="Calibri" w:cs="Calibri" w:eastAsia="Calibri" w:hAnsi="Calibri"/>
          <w:b/>
          <w:bCs/>
          <w:sz w:val="20"/>
          <w:szCs w:val="20"/>
        </w:rPr>
        <w:t xml:space="preserve">5.2  Disposition and register status</w:t>
      </w:r>
    </w:p>
    <w:p>
      <w:pPr>
        <w:spacing w:before="0" w:after="100" w:line="252" w:lineRule="auto"/>
      </w:pPr>
      <w:r>
        <w:rPr>
          <w:rFonts w:ascii="Calibri" w:cs="Calibri" w:eastAsia="Calibri" w:hAnsi="Calibri"/>
          <w:sz w:val="20"/>
          <w:szCs w:val="20"/>
        </w:rPr>
        <w:t xml:space="preserve">Disposition: NOT VERIFIED. Item 048 is not closed; it remains </w:t>
      </w:r>
      <w:r>
        <w:rPr>
          <w:rFonts w:ascii="Calibri" w:cs="Calibri" w:eastAsia="Calibri" w:hAnsi="Calibri"/>
          <w:b/>
          <w:bCs/>
          <w:sz w:val="20"/>
          <w:szCs w:val="20"/>
        </w:rPr>
        <w:t xml:space="preserve">Open</w:t>
      </w:r>
      <w:r>
        <w:rPr>
          <w:rFonts w:ascii="Calibri" w:cs="Calibri" w:eastAsia="Calibri" w:hAnsi="Calibri"/>
          <w:sz w:val="20"/>
          <w:szCs w:val="20"/>
        </w:rPr>
        <w:t xml:space="preserve"> until a resubmittal meeting 5.3 has been reviewed and verified in writing.</w:t>
      </w:r>
    </w:p>
    <w:p>
      <w:pPr>
        <w:keepNext/>
        <w:spacing w:before="160" w:after="60"/>
      </w:pPr>
      <w:r>
        <w:rPr>
          <w:rFonts w:ascii="Calibri" w:cs="Calibri" w:eastAsia="Calibri" w:hAnsi="Calibri"/>
          <w:b/>
          <w:bCs/>
          <w:sz w:val="20"/>
          <w:szCs w:val="20"/>
        </w:rPr>
        <w:t xml:space="preserve">5.3  What has to be produced before the excavation can start, and by whom</w:t>
      </w:r>
    </w:p>
    <w:p>
      <w:pPr>
        <w:spacing w:before="0" w:after="100" w:line="252" w:lineRule="auto"/>
      </w:pPr>
      <w:r>
        <w:rPr>
          <w:rFonts w:ascii="Calibri" w:cs="Calibri" w:eastAsia="Calibri" w:hAnsi="Calibri"/>
          <w:sz w:val="20"/>
          <w:szCs w:val="20"/>
        </w:rPr>
        <w:t xml:space="preserve">The excavation may not start until each of the following has been produced, reviewed and verified:</w:t>
      </w:r>
    </w:p>
    <w:tbl>
      <w:tblPr>
        <w:tblW w:w="9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80" w:type="dxa"/>
          <w:bottom w:w="30" w:type="dxa"/>
          <w:right w:w="80" w:type="dxa"/>
        </w:tblCellMar>
      </w:tblPr>
      <w:tblGrid>
        <w:gridCol w:w="500"/>
        <w:gridCol w:w="2350"/>
        <w:gridCol w:w="1750"/>
        <w:gridCol w:w="5120"/>
      </w:tblGrid>
      <w:tr>
        <w:trPr>
          <w:cantSplit/>
          <w:tblHeader/>
        </w:trPr>
        <w:tc>
          <w:tcPr>
            <w:tcW w:w="500" w:type="dxa"/>
            <w:shd w:val="clear" w:color="auto" w:fill="D9D9D9"/>
            <w:vAlign w:val="top"/>
          </w:tcPr>
          <w:p>
            <w:pPr>
              <w:spacing w:before="0" w:after="20" w:line="240" w:lineRule="auto"/>
            </w:pPr>
            <w:r>
              <w:rPr>
                <w:rFonts w:ascii="Calibri" w:cs="Calibri" w:eastAsia="Calibri" w:hAnsi="Calibri"/>
                <w:b/>
                <w:bCs/>
                <w:sz w:val="16"/>
                <w:szCs w:val="16"/>
              </w:rPr>
              <w:t xml:space="preserve">No.</w:t>
            </w:r>
          </w:p>
        </w:tc>
        <w:tc>
          <w:tcPr>
            <w:tcW w:w="2350" w:type="dxa"/>
            <w:shd w:val="clear" w:color="auto" w:fill="D9D9D9"/>
            <w:vAlign w:val="top"/>
          </w:tcPr>
          <w:p>
            <w:pPr>
              <w:spacing w:before="0" w:after="20" w:line="240" w:lineRule="auto"/>
            </w:pPr>
            <w:r>
              <w:rPr>
                <w:rFonts w:ascii="Calibri" w:cs="Calibri" w:eastAsia="Calibri" w:hAnsi="Calibri"/>
                <w:b/>
                <w:bCs/>
                <w:sz w:val="16"/>
                <w:szCs w:val="16"/>
              </w:rPr>
              <w:t xml:space="preserve">To be produced</w:t>
            </w:r>
          </w:p>
        </w:tc>
        <w:tc>
          <w:tcPr>
            <w:tcW w:w="1750" w:type="dxa"/>
            <w:shd w:val="clear" w:color="auto" w:fill="D9D9D9"/>
            <w:vAlign w:val="top"/>
          </w:tcPr>
          <w:p>
            <w:pPr>
              <w:spacing w:before="0" w:after="20" w:line="240" w:lineRule="auto"/>
            </w:pPr>
            <w:r>
              <w:rPr>
                <w:rFonts w:ascii="Calibri" w:cs="Calibri" w:eastAsia="Calibri" w:hAnsi="Calibri"/>
                <w:b/>
                <w:bCs/>
                <w:sz w:val="16"/>
                <w:szCs w:val="16"/>
              </w:rPr>
              <w:t xml:space="preserve">By</w:t>
            </w:r>
          </w:p>
        </w:tc>
        <w:tc>
          <w:tcPr>
            <w:tcW w:w="5120" w:type="dxa"/>
            <w:shd w:val="clear" w:color="auto" w:fill="D9D9D9"/>
            <w:vAlign w:val="top"/>
          </w:tcPr>
          <w:p>
            <w:pPr>
              <w:spacing w:before="0" w:after="20" w:line="240" w:lineRule="auto"/>
            </w:pPr>
            <w:r>
              <w:rPr>
                <w:rFonts w:ascii="Calibri" w:cs="Calibri" w:eastAsia="Calibri" w:hAnsi="Calibri"/>
                <w:b/>
                <w:bCs/>
                <w:sz w:val="16"/>
                <w:szCs w:val="16"/>
              </w:rPr>
              <w:t xml:space="preserve">Minimum content</w:t>
            </w:r>
          </w:p>
        </w:tc>
      </w:tr>
      <w:tr>
        <w:trPr>
          <w:cantSplit/>
        </w:trPr>
        <w:tc>
          <w:tcPr>
            <w:tcW w:w="500" w:type="dxa"/>
            <w:vAlign w:val="top"/>
          </w:tcPr>
          <w:p>
            <w:pPr>
              <w:spacing w:before="0" w:after="20" w:line="240" w:lineRule="auto"/>
            </w:pPr>
            <w:r>
              <w:rPr>
                <w:rFonts w:ascii="Calibri" w:cs="Calibri" w:eastAsia="Calibri" w:hAnsi="Calibri"/>
                <w:sz w:val="16"/>
                <w:szCs w:val="16"/>
              </w:rPr>
              <w:t xml:space="preserve">1</w:t>
            </w:r>
          </w:p>
        </w:tc>
        <w:tc>
          <w:tcPr>
            <w:tcW w:w="2350" w:type="dxa"/>
            <w:vAlign w:val="top"/>
          </w:tcPr>
          <w:p>
            <w:pPr>
              <w:spacing w:before="0" w:after="20" w:line="240" w:lineRule="auto"/>
            </w:pPr>
            <w:r>
              <w:rPr>
                <w:rFonts w:ascii="Calibri" w:cs="Calibri" w:eastAsia="Calibri" w:hAnsi="Calibri"/>
                <w:sz w:val="16"/>
                <w:szCs w:val="16"/>
              </w:rPr>
              <w:t xml:space="preserve">Submittal 31-SH-B, a complete, consolidated and sealed reissue that replaces R1 in full (not a supplement), transmitted by the Contractor under the submittal procedures</w:t>
            </w:r>
          </w:p>
        </w:tc>
        <w:tc>
          <w:tcPr>
            <w:tcW w:w="1750" w:type="dxa"/>
            <w:vAlign w:val="top"/>
          </w:tcPr>
          <w:p>
            <w:pPr>
              <w:spacing w:before="0" w:after="20" w:line="240" w:lineRule="auto"/>
            </w:pPr>
            <w:r>
              <w:rPr>
                <w:rFonts w:ascii="Calibri" w:cs="Calibri" w:eastAsia="Calibri" w:hAnsi="Calibri"/>
                <w:sz w:val="16"/>
                <w:szCs w:val="16"/>
              </w:rPr>
              <w:t xml:space="preserve">Kesterline Engineering, PC (delegated designer), through Rowan Bay Constructors</w:t>
            </w:r>
          </w:p>
        </w:tc>
        <w:tc>
          <w:tcPr>
            <w:tcW w:w="5120" w:type="dxa"/>
            <w:vAlign w:val="top"/>
          </w:tcPr>
          <w:p>
            <w:pPr>
              <w:spacing w:before="0" w:after="20" w:line="240" w:lineRule="auto"/>
              <w:ind w:left="170" w:hanging="170"/>
            </w:pPr>
            <w:r>
              <w:rPr>
                <w:rFonts w:ascii="Calibri" w:cs="Calibri" w:eastAsia="Calibri" w:hAnsi="Calibri"/>
                <w:sz w:val="16"/>
                <w:szCs w:val="16"/>
              </w:rPr>
              <w:t xml:space="preserve">•</w:t>
              <w:tab/>
              <w:t xml:space="preserve">Pit location, geometry and excavation start level tied to S-101 Rev.4, S-102 Rev.2 and the as-built survey (item 4).</w:t>
            </w:r>
          </w:p>
          <w:p>
            <w:pPr>
              <w:spacing w:before="0" w:after="20" w:line="240" w:lineRule="auto"/>
              <w:ind w:left="170" w:hanging="170"/>
            </w:pPr>
            <w:r>
              <w:rPr>
                <w:rFonts w:ascii="Calibri" w:cs="Calibri" w:eastAsia="Calibri" w:hAnsi="Calibri"/>
                <w:sz w:val="16"/>
                <w:szCs w:val="16"/>
              </w:rPr>
              <w:t xml:space="preserve">•</w:t>
              <w:tab/>
              <w:t xml:space="preserve">Soil parameters from the GIR: s</w:t>
            </w:r>
            <w:r>
              <w:rPr>
                <w:rFonts w:ascii="Calibri" w:cs="Calibri" w:eastAsia="Calibri" w:hAnsi="Calibri"/>
                <w:sz w:val="16"/>
                <w:szCs w:val="16"/>
                <w:vertAlign w:val="subscript"/>
              </w:rPr>
              <w:t xml:space="preserve">u</w:t>
            </w:r>
            <w:r>
              <w:rPr>
                <w:rFonts w:ascii="Calibri" w:cs="Calibri" w:eastAsia="Calibri" w:hAnsi="Calibri"/>
                <w:sz w:val="16"/>
                <w:szCs w:val="16"/>
              </w:rPr>
              <w:t xml:space="preserve"> 900–1,100 psf; drained parameters confirmed by Kelbrook; the as-placed fill unit weight.</w:t>
            </w:r>
          </w:p>
          <w:p>
            <w:pPr>
              <w:spacing w:before="0" w:after="20" w:line="240" w:lineRule="auto"/>
              <w:ind w:left="170" w:hanging="170"/>
            </w:pPr>
            <w:r>
              <w:rPr>
                <w:rFonts w:ascii="Calibri" w:cs="Calibri" w:eastAsia="Calibri" w:hAnsi="Calibri"/>
                <w:sz w:val="16"/>
                <w:szCs w:val="16"/>
              </w:rPr>
              <w:t xml:space="preserve">•</w:t>
              <w:tab/>
              <w:t xml:space="preserve">Toe and support system checked undrained and drained for the full exposure period, with water pressures across the sheet in the pumped and unpumped states (GIR §8.2(3)), at FS ≥ 1.5. Driveability shown for the selected tip.</w:t>
            </w:r>
          </w:p>
          <w:p>
            <w:pPr>
              <w:spacing w:before="0" w:after="20" w:line="240" w:lineRule="auto"/>
              <w:ind w:left="170" w:hanging="170"/>
            </w:pPr>
            <w:r>
              <w:rPr>
                <w:rFonts w:ascii="Calibri" w:cs="Calibri" w:eastAsia="Calibri" w:hAnsi="Calibri"/>
                <w:sz w:val="16"/>
                <w:szCs w:val="16"/>
              </w:rPr>
              <w:t xml:space="preserve">•</w:t>
              <w:tab/>
              <w:t xml:space="preserve">Anchors redesigned for the stratum the bond actually occupies, with a project-specific bond basis, performance and proof testing, and a clash check against the as-built piles. Alternatively, a support system that does not rely on anchors through the pile group.</w:t>
            </w:r>
          </w:p>
          <w:p>
            <w:pPr>
              <w:spacing w:before="0" w:after="20" w:line="240" w:lineRule="auto"/>
              <w:ind w:left="170" w:hanging="170"/>
            </w:pPr>
            <w:r>
              <w:rPr>
                <w:rFonts w:ascii="Calibri" w:cs="Calibri" w:eastAsia="Calibri" w:hAnsi="Calibri"/>
                <w:sz w:val="16"/>
                <w:szCs w:val="16"/>
              </w:rPr>
              <w:t xml:space="preserve">•</w:t>
              <w:tab/>
              <w:t xml:space="preserve">Base heave to DBM §6.2 at every stage: depressurisation confirmed before excavation passes El. 735.6 (or the revised equivalent); stop-work trigger at or below El. 726.9 less instrument tolerance; a loss-of-pumping case with an emergency response.</w:t>
            </w:r>
          </w:p>
          <w:p>
            <w:pPr>
              <w:spacing w:before="0" w:after="20" w:line="240" w:lineRule="auto"/>
              <w:ind w:left="170" w:hanging="170"/>
            </w:pPr>
            <w:r>
              <w:rPr>
                <w:rFonts w:ascii="Calibri" w:cs="Calibri" w:eastAsia="Calibri" w:hAnsi="Calibri"/>
                <w:sz w:val="16"/>
                <w:szCs w:val="16"/>
              </w:rPr>
              <w:t xml:space="preserve">•</w:t>
              <w:tab/>
              <w:t xml:space="preserve">Every aquitard penetration sealed (GIR §9.6); sheets not extracted through the aquitard unless the void is grouted.</w:t>
            </w:r>
          </w:p>
          <w:p>
            <w:pPr>
              <w:spacing w:before="0" w:after="20" w:line="240" w:lineRule="auto"/>
              <w:ind w:left="170" w:hanging="170"/>
            </w:pPr>
            <w:r>
              <w:rPr>
                <w:rFonts w:ascii="Calibri" w:cs="Calibri" w:eastAsia="Calibri" w:hAnsi="Calibri"/>
                <w:sz w:val="16"/>
                <w:szCs w:val="16"/>
              </w:rPr>
              <w:t xml:space="preserve">•</w:t>
              <w:tab/>
              <w:t xml:space="preserve">Monitoring and action levels tied to the EOR’s movement limits (item 3); sequence, lock-off and proof loads made consistent.</w:t>
            </w:r>
          </w:p>
        </w:tc>
      </w:tr>
      <w:tr>
        <w:trPr>
          <w:cantSplit/>
        </w:trPr>
        <w:tc>
          <w:tcPr>
            <w:tcW w:w="500" w:type="dxa"/>
            <w:vAlign w:val="top"/>
          </w:tcPr>
          <w:p>
            <w:pPr>
              <w:spacing w:before="0" w:after="20" w:line="240" w:lineRule="auto"/>
            </w:pPr>
            <w:r>
              <w:rPr>
                <w:rFonts w:ascii="Calibri" w:cs="Calibri" w:eastAsia="Calibri" w:hAnsi="Calibri"/>
                <w:sz w:val="16"/>
                <w:szCs w:val="16"/>
              </w:rPr>
              <w:t xml:space="preserve">2</w:t>
            </w:r>
          </w:p>
        </w:tc>
        <w:tc>
          <w:tcPr>
            <w:tcW w:w="2350" w:type="dxa"/>
            <w:vAlign w:val="top"/>
          </w:tcPr>
          <w:p>
            <w:pPr>
              <w:spacing w:before="0" w:after="20" w:line="240" w:lineRule="auto"/>
            </w:pPr>
            <w:r>
              <w:rPr>
                <w:rFonts w:ascii="Calibri" w:cs="Calibri" w:eastAsia="Calibri" w:hAnsi="Calibri"/>
                <w:sz w:val="16"/>
                <w:szCs w:val="16"/>
              </w:rPr>
              <w:t xml:space="preserve">Block B Dewatering and Groundwater Control Plan, separately sealed (Section 31 23 19); not a supplement to 31-DW-A</w:t>
            </w:r>
          </w:p>
        </w:tc>
        <w:tc>
          <w:tcPr>
            <w:tcW w:w="1750" w:type="dxa"/>
            <w:vAlign w:val="top"/>
          </w:tcPr>
          <w:p>
            <w:pPr>
              <w:spacing w:before="0" w:after="20" w:line="240" w:lineRule="auto"/>
            </w:pPr>
            <w:r>
              <w:rPr>
                <w:rFonts w:ascii="Calibri" w:cs="Calibri" w:eastAsia="Calibri" w:hAnsi="Calibri"/>
                <w:sz w:val="16"/>
                <w:szCs w:val="16"/>
              </w:rPr>
              <w:t xml:space="preserve">Rowan Bay Constructors, through its dewatering designer</w:t>
            </w:r>
          </w:p>
        </w:tc>
        <w:tc>
          <w:tcPr>
            <w:tcW w:w="5120" w:type="dxa"/>
            <w:vAlign w:val="top"/>
          </w:tcPr>
          <w:p>
            <w:pPr>
              <w:spacing w:before="0" w:after="20" w:line="240" w:lineRule="auto"/>
              <w:ind w:left="170" w:hanging="170"/>
            </w:pPr>
            <w:r>
              <w:rPr>
                <w:rFonts w:ascii="Calibri" w:cs="Calibri" w:eastAsia="Calibri" w:hAnsi="Calibri"/>
                <w:sz w:val="16"/>
                <w:szCs w:val="16"/>
              </w:rPr>
              <w:t xml:space="preserve">•</w:t>
              <w:tab/>
              <w:t xml:space="preserve">Pumping test and aquifer parameters.</w:t>
            </w:r>
          </w:p>
          <w:p>
            <w:pPr>
              <w:spacing w:before="0" w:after="20" w:line="240" w:lineRule="auto"/>
              <w:ind w:left="170" w:hanging="170"/>
            </w:pPr>
            <w:r>
              <w:rPr>
                <w:rFonts w:ascii="Calibri" w:cs="Calibri" w:eastAsia="Calibri" w:hAnsi="Calibri"/>
                <w:sz w:val="16"/>
                <w:szCs w:val="16"/>
              </w:rPr>
              <w:t xml:space="preserve">•</w:t>
              <w:tab/>
              <w:t xml:space="preserve">Well design with redundancy: standby pumps and power, alarms.</w:t>
            </w:r>
          </w:p>
          <w:p>
            <w:pPr>
              <w:spacing w:before="0" w:after="20" w:line="240" w:lineRule="auto"/>
              <w:ind w:left="170" w:hanging="170"/>
            </w:pPr>
            <w:r>
              <w:rPr>
                <w:rFonts w:ascii="Calibri" w:cs="Calibri" w:eastAsia="Calibri" w:hAnsi="Calibri"/>
                <w:sz w:val="16"/>
                <w:szCs w:val="16"/>
              </w:rPr>
              <w:t xml:space="preserve">•</w:t>
              <w:tab/>
              <w:t xml:space="preserve">Predicted drawdown in plan beneath the pit, the Block B pile group, the mat and Blocks A and C.</w:t>
            </w:r>
          </w:p>
          <w:p>
            <w:pPr>
              <w:spacing w:before="0" w:after="20" w:line="240" w:lineRule="auto"/>
              <w:ind w:left="170" w:hanging="170"/>
            </w:pPr>
            <w:r>
              <w:rPr>
                <w:rFonts w:ascii="Calibri" w:cs="Calibri" w:eastAsia="Calibri" w:hAnsi="Calibri"/>
                <w:sz w:val="16"/>
                <w:szCs w:val="16"/>
              </w:rPr>
              <w:t xml:space="preserve">•</w:t>
              <w:tab/>
              <w:t xml:space="preserve">Monitoring piezometers inside and outside the pit, including beneath the pile group.</w:t>
            </w:r>
          </w:p>
          <w:p>
            <w:pPr>
              <w:spacing w:before="0" w:after="20" w:line="240" w:lineRule="auto"/>
              <w:ind w:left="170" w:hanging="170"/>
            </w:pPr>
            <w:r>
              <w:rPr>
                <w:rFonts w:ascii="Calibri" w:cs="Calibri" w:eastAsia="Calibri" w:hAnsi="Calibri"/>
                <w:sz w:val="16"/>
                <w:szCs w:val="16"/>
              </w:rPr>
              <w:t xml:space="preserve">•</w:t>
              <w:tab/>
              <w:t xml:space="preserve">Response to loss of pumping.</w:t>
            </w:r>
          </w:p>
          <w:p>
            <w:pPr>
              <w:spacing w:before="0" w:after="20" w:line="240" w:lineRule="auto"/>
              <w:ind w:left="170" w:hanging="170"/>
            </w:pPr>
            <w:r>
              <w:rPr>
                <w:rFonts w:ascii="Calibri" w:cs="Calibri" w:eastAsia="Calibri" w:hAnsi="Calibri"/>
                <w:sz w:val="16"/>
                <w:szCs w:val="16"/>
              </w:rPr>
              <w:t xml:space="preserve">•</w:t>
              <w:tab/>
              <w:t xml:space="preserve">Discharge estimate and permit.</w:t>
            </w:r>
          </w:p>
          <w:p>
            <w:pPr>
              <w:spacing w:before="0" w:after="20" w:line="240" w:lineRule="auto"/>
              <w:ind w:left="170" w:hanging="170"/>
            </w:pPr>
            <w:r>
              <w:rPr>
                <w:rFonts w:ascii="Calibri" w:cs="Calibri" w:eastAsia="Calibri" w:hAnsi="Calibri"/>
                <w:sz w:val="16"/>
                <w:szCs w:val="16"/>
              </w:rPr>
              <w:t xml:space="preserve">•</w:t>
              <w:tab/>
              <w:t xml:space="preserve">Shutdown criterion agreed with the EOR.</w:t>
            </w:r>
          </w:p>
        </w:tc>
      </w:tr>
      <w:tr>
        <w:trPr>
          <w:cantSplit/>
        </w:trPr>
        <w:tc>
          <w:tcPr>
            <w:tcW w:w="500" w:type="dxa"/>
            <w:vAlign w:val="top"/>
          </w:tcPr>
          <w:p>
            <w:pPr>
              <w:spacing w:before="0" w:after="20" w:line="240" w:lineRule="auto"/>
            </w:pPr>
            <w:r>
              <w:rPr>
                <w:rFonts w:ascii="Calibri" w:cs="Calibri" w:eastAsia="Calibri" w:hAnsi="Calibri"/>
                <w:sz w:val="16"/>
                <w:szCs w:val="16"/>
              </w:rPr>
              <w:t xml:space="preserve">3</w:t>
            </w:r>
          </w:p>
        </w:tc>
        <w:tc>
          <w:tcPr>
            <w:tcW w:w="2350" w:type="dxa"/>
            <w:vAlign w:val="top"/>
          </w:tcPr>
          <w:p>
            <w:pPr>
              <w:spacing w:before="0" w:after="20" w:line="240" w:lineRule="auto"/>
            </w:pPr>
            <w:r>
              <w:rPr>
                <w:rFonts w:ascii="Calibri" w:cs="Calibri" w:eastAsia="Calibri" w:hAnsi="Calibri"/>
                <w:sz w:val="16"/>
                <w:szCs w:val="16"/>
              </w:rPr>
              <w:t xml:space="preserve">Written assessment of the effects on the permanent structure, with clarification of the plant-room location and interface</w:t>
            </w:r>
          </w:p>
        </w:tc>
        <w:tc>
          <w:tcPr>
            <w:tcW w:w="1750" w:type="dxa"/>
            <w:vAlign w:val="top"/>
          </w:tcPr>
          <w:p>
            <w:pPr>
              <w:spacing w:before="0" w:after="20" w:line="240" w:lineRule="auto"/>
            </w:pPr>
            <w:r>
              <w:rPr>
                <w:rFonts w:ascii="Calibri" w:cs="Calibri" w:eastAsia="Calibri" w:hAnsi="Calibri"/>
                <w:sz w:val="16"/>
                <w:szCs w:val="16"/>
              </w:rPr>
              <w:t xml:space="preserve">Calloway Braddock (G. Nash, PE, EOR)</w:t>
            </w:r>
          </w:p>
        </w:tc>
        <w:tc>
          <w:tcPr>
            <w:tcW w:w="5120" w:type="dxa"/>
            <w:vAlign w:val="top"/>
          </w:tcPr>
          <w:p>
            <w:pPr>
              <w:spacing w:before="0" w:after="20" w:line="240" w:lineRule="auto"/>
              <w:ind w:left="170" w:hanging="170"/>
            </w:pPr>
            <w:r>
              <w:rPr>
                <w:rFonts w:ascii="Calibri" w:cs="Calibri" w:eastAsia="Calibri" w:hAnsi="Calibri"/>
                <w:sz w:val="16"/>
                <w:szCs w:val="16"/>
              </w:rPr>
              <w:t xml:space="preserve">•</w:t>
              <w:tab/>
              <w:t xml:space="preserve">Drawdown-induced settlement and drag load on the 48 piles, coordinated with Item 049.</w:t>
            </w:r>
          </w:p>
          <w:p>
            <w:pPr>
              <w:spacing w:before="0" w:after="20" w:line="240" w:lineRule="auto"/>
              <w:ind w:left="170" w:hanging="170"/>
            </w:pPr>
            <w:r>
              <w:rPr>
                <w:rFonts w:ascii="Calibri" w:cs="Calibri" w:eastAsia="Calibri" w:hAnsi="Calibri"/>
                <w:sz w:val="16"/>
                <w:szCs w:val="16"/>
              </w:rPr>
              <w:t xml:space="preserve">•</w:t>
              <w:tab/>
              <w:t xml:space="preserve">Mat and basement-wall settlement against Spec 31 20 00 Art. 3.6.</w:t>
            </w:r>
          </w:p>
          <w:p>
            <w:pPr>
              <w:spacing w:before="0" w:after="20" w:line="240" w:lineRule="auto"/>
              <w:ind w:left="170" w:hanging="170"/>
            </w:pPr>
            <w:r>
              <w:rPr>
                <w:rFonts w:ascii="Calibri" w:cs="Calibri" w:eastAsia="Calibri" w:hAnsi="Calibri"/>
                <w:sz w:val="16"/>
                <w:szCs w:val="16"/>
              </w:rPr>
              <w:t xml:space="preserve">•</w:t>
              <w:tab/>
              <w:t xml:space="preserve">Effects of ground movement, anchors and excavation on the eighth-row piles, caps and mat.</w:t>
            </w:r>
          </w:p>
          <w:p>
            <w:pPr>
              <w:spacing w:before="0" w:after="20" w:line="240" w:lineRule="auto"/>
              <w:ind w:left="170" w:hanging="170"/>
            </w:pPr>
            <w:r>
              <w:rPr>
                <w:rFonts w:ascii="Calibri" w:cs="Calibri" w:eastAsia="Calibri" w:hAnsi="Calibri"/>
                <w:sz w:val="16"/>
                <w:szCs w:val="16"/>
              </w:rPr>
              <w:t xml:space="preserve">•</w:t>
              <w:tab/>
              <w:t xml:space="preserve">Allowable movements and trigger values for the permanent work.</w:t>
            </w:r>
          </w:p>
          <w:p>
            <w:pPr>
              <w:spacing w:before="0" w:after="20" w:line="240" w:lineRule="auto"/>
              <w:ind w:left="170" w:hanging="170"/>
            </w:pPr>
            <w:r>
              <w:rPr>
                <w:rFonts w:ascii="Calibri" w:cs="Calibri" w:eastAsia="Calibri" w:hAnsi="Calibri"/>
                <w:sz w:val="16"/>
                <w:szCs w:val="16"/>
              </w:rPr>
              <w:t xml:space="preserve">•</w:t>
              <w:tab/>
              <w:t xml:space="preserve">Plant-room location and interface with the completed mat, resolving the S-101 notes, the missing “S-201/4” boundary section and the cutoff-wall reference.</w:t>
            </w:r>
          </w:p>
          <w:p>
            <w:pPr>
              <w:spacing w:before="0" w:after="20" w:line="240" w:lineRule="auto"/>
              <w:ind w:left="170" w:hanging="170"/>
            </w:pPr>
            <w:r>
              <w:rPr>
                <w:rFonts w:ascii="Calibri" w:cs="Calibri" w:eastAsia="Calibri" w:hAnsi="Calibri"/>
                <w:sz w:val="16"/>
                <w:szCs w:val="16"/>
              </w:rPr>
              <w:t xml:space="preserve">•</w:t>
              <w:tab/>
              <w:t xml:space="preserve">The criterion for ending depressurisation, based on the permanent plant-room structure’s resistance to the El. 738.0 uplift under DBM §6.2.</w:t>
            </w:r>
          </w:p>
        </w:tc>
      </w:tr>
      <w:tr>
        <w:trPr>
          <w:cantSplit/>
        </w:trPr>
        <w:tc>
          <w:tcPr>
            <w:tcW w:w="500" w:type="dxa"/>
            <w:vAlign w:val="top"/>
          </w:tcPr>
          <w:p>
            <w:pPr>
              <w:spacing w:before="0" w:after="20" w:line="240" w:lineRule="auto"/>
            </w:pPr>
            <w:r>
              <w:rPr>
                <w:rFonts w:ascii="Calibri" w:cs="Calibri" w:eastAsia="Calibri" w:hAnsi="Calibri"/>
                <w:sz w:val="16"/>
                <w:szCs w:val="16"/>
              </w:rPr>
              <w:t xml:space="preserve">4</w:t>
            </w:r>
          </w:p>
        </w:tc>
        <w:tc>
          <w:tcPr>
            <w:tcW w:w="2350" w:type="dxa"/>
            <w:vAlign w:val="top"/>
          </w:tcPr>
          <w:p>
            <w:pPr>
              <w:spacing w:before="0" w:after="20" w:line="240" w:lineRule="auto"/>
            </w:pPr>
            <w:r>
              <w:rPr>
                <w:rFonts w:ascii="Calibri" w:cs="Calibri" w:eastAsia="Calibri" w:hAnsi="Calibri"/>
                <w:sz w:val="16"/>
                <w:szCs w:val="16"/>
              </w:rPr>
              <w:t xml:space="preserve">As-built survey, condition survey, baseline monitoring and revised schedule</w:t>
            </w:r>
          </w:p>
        </w:tc>
        <w:tc>
          <w:tcPr>
            <w:tcW w:w="1750" w:type="dxa"/>
            <w:vAlign w:val="top"/>
          </w:tcPr>
          <w:p>
            <w:pPr>
              <w:spacing w:before="0" w:after="20" w:line="240" w:lineRule="auto"/>
            </w:pPr>
            <w:r>
              <w:rPr>
                <w:rFonts w:ascii="Calibri" w:cs="Calibri" w:eastAsia="Calibri" w:hAnsi="Calibri"/>
                <w:sz w:val="16"/>
                <w:szCs w:val="16"/>
              </w:rPr>
              <w:t xml:space="preserve">Rowan Bay Constructors</w:t>
            </w:r>
          </w:p>
        </w:tc>
        <w:tc>
          <w:tcPr>
            <w:tcW w:w="5120" w:type="dxa"/>
            <w:vAlign w:val="top"/>
          </w:tcPr>
          <w:p>
            <w:pPr>
              <w:spacing w:before="0" w:after="20" w:line="240" w:lineRule="auto"/>
              <w:ind w:left="170" w:hanging="170"/>
            </w:pPr>
            <w:r>
              <w:rPr>
                <w:rFonts w:ascii="Calibri" w:cs="Calibri" w:eastAsia="Calibri" w:hAnsi="Calibri"/>
                <w:sz w:val="16"/>
                <w:szCs w:val="16"/>
              </w:rPr>
              <w:t xml:space="preserve">•</w:t>
              <w:tab/>
              <w:t xml:space="preserve">As-built survey of the Block B piles and caps, mat edge, basement walls and joint K-5 relative to the pit.</w:t>
            </w:r>
          </w:p>
          <w:p>
            <w:pPr>
              <w:spacing w:before="0" w:after="20" w:line="240" w:lineRule="auto"/>
              <w:ind w:left="170" w:hanging="170"/>
            </w:pPr>
            <w:r>
              <w:rPr>
                <w:rFonts w:ascii="Calibri" w:cs="Calibri" w:eastAsia="Calibri" w:hAnsi="Calibri"/>
                <w:sz w:val="16"/>
                <w:szCs w:val="16"/>
              </w:rPr>
              <w:t xml:space="preserve">•</w:t>
              <w:tab/>
              <w:t xml:space="preserve">Pre-construction condition survey of the basement.</w:t>
            </w:r>
          </w:p>
          <w:p>
            <w:pPr>
              <w:spacing w:before="0" w:after="20" w:line="240" w:lineRule="auto"/>
              <w:ind w:left="170" w:hanging="170"/>
            </w:pPr>
            <w:r>
              <w:rPr>
                <w:rFonts w:ascii="Calibri" w:cs="Calibri" w:eastAsia="Calibri" w:hAnsi="Calibri"/>
                <w:sz w:val="16"/>
                <w:szCs w:val="16"/>
              </w:rPr>
              <w:t xml:space="preserve">•</w:t>
              <w:tab/>
              <w:t xml:space="preserve">Settlement points on the mat and caps, inclinometers and piezometers installed and read to baseline before any support-of-excavation work.</w:t>
            </w:r>
          </w:p>
          <w:p>
            <w:pPr>
              <w:spacing w:before="0" w:after="20" w:line="240" w:lineRule="auto"/>
              <w:ind w:left="170" w:hanging="170"/>
            </w:pPr>
            <w:r>
              <w:rPr>
                <w:rFonts w:ascii="Calibri" w:cs="Calibri" w:eastAsia="Calibri" w:hAnsi="Calibri"/>
                <w:sz w:val="16"/>
                <w:szCs w:val="16"/>
              </w:rPr>
              <w:t xml:space="preserve">•</w:t>
              <w:tab/>
              <w:t xml:space="preserve">Revised schedule for the plant-room excavation.</w:t>
            </w:r>
          </w:p>
        </w:tc>
      </w:tr>
      <w:tr>
        <w:trPr>
          <w:cantSplit/>
        </w:trPr>
        <w:tc>
          <w:tcPr>
            <w:tcW w:w="500" w:type="dxa"/>
            <w:vAlign w:val="top"/>
          </w:tcPr>
          <w:p>
            <w:pPr>
              <w:spacing w:before="0" w:after="20" w:line="240" w:lineRule="auto"/>
            </w:pPr>
            <w:r>
              <w:rPr>
                <w:rFonts w:ascii="Calibri" w:cs="Calibri" w:eastAsia="Calibri" w:hAnsi="Calibri"/>
                <w:sz w:val="16"/>
                <w:szCs w:val="16"/>
              </w:rPr>
              <w:t xml:space="preserve">5</w:t>
            </w:r>
          </w:p>
        </w:tc>
        <w:tc>
          <w:tcPr>
            <w:tcW w:w="2350" w:type="dxa"/>
            <w:vAlign w:val="top"/>
          </w:tcPr>
          <w:p>
            <w:pPr>
              <w:spacing w:before="0" w:after="20" w:line="240" w:lineRule="auto"/>
            </w:pPr>
            <w:r>
              <w:rPr>
                <w:rFonts w:ascii="Calibri" w:cs="Calibri" w:eastAsia="Calibri" w:hAnsi="Calibri"/>
                <w:sz w:val="16"/>
                <w:szCs w:val="16"/>
              </w:rPr>
              <w:t xml:space="preserve">Confirmation of design parameters</w:t>
            </w:r>
          </w:p>
        </w:tc>
        <w:tc>
          <w:tcPr>
            <w:tcW w:w="1750" w:type="dxa"/>
            <w:vAlign w:val="top"/>
          </w:tcPr>
          <w:p>
            <w:pPr>
              <w:spacing w:before="0" w:after="20" w:line="240" w:lineRule="auto"/>
            </w:pPr>
            <w:r>
              <w:rPr>
                <w:rFonts w:ascii="Calibri" w:cs="Calibri" w:eastAsia="Calibri" w:hAnsi="Calibri"/>
                <w:sz w:val="16"/>
                <w:szCs w:val="16"/>
              </w:rPr>
              <w:t xml:space="preserve">Kelbrook Geotechnical (Owner’s consultant), on the Owner’s instruction</w:t>
            </w:r>
          </w:p>
        </w:tc>
        <w:tc>
          <w:tcPr>
            <w:tcW w:w="5120" w:type="dxa"/>
            <w:vAlign w:val="top"/>
          </w:tcPr>
          <w:p>
            <w:pPr>
              <w:spacing w:before="0" w:after="20" w:line="240" w:lineRule="auto"/>
              <w:ind w:left="170" w:hanging="170"/>
            </w:pPr>
            <w:r>
              <w:rPr>
                <w:rFonts w:ascii="Calibri" w:cs="Calibri" w:eastAsia="Calibri" w:hAnsi="Calibri"/>
                <w:sz w:val="16"/>
                <w:szCs w:val="16"/>
              </w:rPr>
              <w:t xml:space="preserve">•</w:t>
              <w:tab/>
              <w:t xml:space="preserve">Confirmation of s</w:t>
            </w:r>
            <w:r>
              <w:rPr>
                <w:rFonts w:ascii="Calibri" w:cs="Calibri" w:eastAsia="Calibri" w:hAnsi="Calibri"/>
                <w:sz w:val="16"/>
                <w:szCs w:val="16"/>
                <w:vertAlign w:val="subscript"/>
              </w:rPr>
              <w:t xml:space="preserve">u</w:t>
            </w:r>
            <w:r>
              <w:rPr>
                <w:rFonts w:ascii="Calibri" w:cs="Calibri" w:eastAsia="Calibri" w:hAnsi="Calibri"/>
                <w:sz w:val="16"/>
                <w:szCs w:val="16"/>
              </w:rPr>
              <w:t xml:space="preserve"> and the drained CL parameters, and the SW-GW parameters, for the support-of-excavation design.</w:t>
            </w:r>
          </w:p>
          <w:p>
            <w:pPr>
              <w:spacing w:before="0" w:after="20" w:line="240" w:lineRule="auto"/>
              <w:ind w:left="170" w:hanging="170"/>
            </w:pPr>
            <w:r>
              <w:rPr>
                <w:rFonts w:ascii="Calibri" w:cs="Calibri" w:eastAsia="Calibri" w:hAnsi="Calibri"/>
                <w:sz w:val="16"/>
                <w:szCs w:val="16"/>
              </w:rPr>
              <w:t xml:space="preserve">•</w:t>
              <w:tab/>
              <w:t xml:space="preserve">Review of the drawdown-induced consolidation (Finding 4.10(a)).</w:t>
            </w:r>
          </w:p>
        </w:tc>
      </w:tr>
      <w:tr>
        <w:trPr>
          <w:cantSplit/>
        </w:trPr>
        <w:tc>
          <w:tcPr>
            <w:tcW w:w="500" w:type="dxa"/>
            <w:vAlign w:val="top"/>
          </w:tcPr>
          <w:p>
            <w:pPr>
              <w:spacing w:before="0" w:after="20" w:line="240" w:lineRule="auto"/>
            </w:pPr>
            <w:r>
              <w:rPr>
                <w:rFonts w:ascii="Calibri" w:cs="Calibri" w:eastAsia="Calibri" w:hAnsi="Calibri"/>
                <w:sz w:val="16"/>
                <w:szCs w:val="16"/>
              </w:rPr>
              <w:t xml:space="preserve">6</w:t>
            </w:r>
          </w:p>
        </w:tc>
        <w:tc>
          <w:tcPr>
            <w:tcW w:w="2350" w:type="dxa"/>
            <w:vAlign w:val="top"/>
          </w:tcPr>
          <w:p>
            <w:pPr>
              <w:spacing w:before="0" w:after="20" w:line="240" w:lineRule="auto"/>
            </w:pPr>
            <w:r>
              <w:rPr>
                <w:rFonts w:ascii="Calibri" w:cs="Calibri" w:eastAsia="Calibri" w:hAnsi="Calibri"/>
                <w:sz w:val="16"/>
                <w:szCs w:val="16"/>
              </w:rPr>
              <w:t xml:space="preserve">Re-review and written verification</w:t>
            </w:r>
          </w:p>
        </w:tc>
        <w:tc>
          <w:tcPr>
            <w:tcW w:w="1750" w:type="dxa"/>
            <w:vAlign w:val="top"/>
          </w:tcPr>
          <w:p>
            <w:pPr>
              <w:spacing w:before="0" w:after="20" w:line="240" w:lineRule="auto"/>
            </w:pPr>
            <w:r>
              <w:rPr>
                <w:rFonts w:ascii="Calibri" w:cs="Calibri" w:eastAsia="Calibri" w:hAnsi="Calibri"/>
                <w:sz w:val="16"/>
                <w:szCs w:val="16"/>
              </w:rPr>
              <w:t xml:space="preserve">Thelbridge (A. Vance)</w:t>
            </w:r>
          </w:p>
        </w:tc>
        <w:tc>
          <w:tcPr>
            <w:tcW w:w="5120" w:type="dxa"/>
            <w:vAlign w:val="top"/>
          </w:tcPr>
          <w:p>
            <w:pPr>
              <w:spacing w:before="0" w:after="20" w:line="240" w:lineRule="auto"/>
              <w:ind w:left="170" w:hanging="170"/>
            </w:pPr>
            <w:r>
              <w:rPr>
                <w:rFonts w:ascii="Calibri" w:cs="Calibri" w:eastAsia="Calibri" w:hAnsi="Calibri"/>
                <w:sz w:val="16"/>
                <w:szCs w:val="16"/>
              </w:rPr>
              <w:t xml:space="preserve">•</w:t>
              <w:tab/>
              <w:t xml:space="preserve">Review of items 1–5 against this memorandum within the Contract review period.</w:t>
            </w:r>
          </w:p>
          <w:p>
            <w:pPr>
              <w:spacing w:before="0" w:after="20" w:line="240" w:lineRule="auto"/>
              <w:ind w:left="170" w:hanging="170"/>
            </w:pPr>
            <w:r>
              <w:rPr>
                <w:rFonts w:ascii="Calibri" w:cs="Calibri" w:eastAsia="Calibri" w:hAnsi="Calibri"/>
                <w:sz w:val="16"/>
                <w:szCs w:val="16"/>
              </w:rPr>
              <w:t xml:space="preserve">•</w:t>
              <w:tab/>
              <w:t xml:space="preserve">Hold-point release issued in writing only after Item 048 closes, together with Item 049 and the groundwater component of Item 056.</w:t>
            </w:r>
          </w:p>
        </w:tc>
      </w:tr>
    </w:tbl>
    <w:p>
      <w:pPr>
        <w:keepNext/>
        <w:spacing w:before="160" w:after="60"/>
      </w:pPr>
      <w:r>
        <w:rPr>
          <w:rFonts w:ascii="Calibri" w:cs="Calibri" w:eastAsia="Calibri" w:hAnsi="Calibri"/>
          <w:b/>
          <w:bCs/>
          <w:sz w:val="20"/>
          <w:szCs w:val="20"/>
        </w:rPr>
        <w:t xml:space="preserve">5.4  What this means for the 08/10/2026 excavation start</w:t>
      </w:r>
    </w:p>
    <w:p>
      <w:pPr>
        <w:numPr>
          <w:ilvl w:val="0"/>
          <w:numId w:val="1"/>
        </w:numPr>
        <w:spacing w:before="0" w:after="50" w:line="252" w:lineRule="auto"/>
        <w:ind w:left="360" w:hanging="220"/>
      </w:pPr>
      <w:r>
        <w:rPr>
          <w:rFonts w:ascii="Calibri" w:cs="Calibri" w:eastAsia="Calibri" w:hAnsi="Calibri"/>
          <w:b/>
          <w:bCs/>
          <w:sz w:val="20"/>
          <w:szCs w:val="20"/>
        </w:rPr>
        <w:t xml:space="preserve">The start is not released.</w:t>
      </w:r>
      <w:r>
        <w:rPr>
          <w:rFonts w:ascii="Calibri" w:cs="Calibri" w:eastAsia="Calibri" w:hAnsi="Calibri"/>
          <w:sz w:val="20"/>
          <w:szCs w:val="20"/>
        </w:rPr>
        <w:t xml:space="preserve"> The plant-room excavation is a hold point. With Item 048 NOT VERIFIED, the 08/10/2026 start is not released. That covers mobilisation for the excavation, sheet driving, relief-well or tieback drilling and any excavation at the plant room (OD; VR SCHEDULE item 4; MIN26 item 26.5.2). Item 049 and the groundwater component of Item 056 also have to close first.</w:t>
      </w:r>
    </w:p>
    <w:p>
      <w:pPr>
        <w:numPr>
          <w:ilvl w:val="0"/>
          <w:numId w:val="1"/>
        </w:numPr>
        <w:spacing w:before="0" w:after="50" w:line="252" w:lineRule="auto"/>
        <w:ind w:left="360" w:hanging="220"/>
      </w:pPr>
      <w:r>
        <w:rPr>
          <w:rFonts w:ascii="Calibri" w:cs="Calibri" w:eastAsia="Calibri" w:hAnsi="Calibri"/>
          <w:b/>
          <w:bCs/>
          <w:sz w:val="20"/>
          <w:szCs w:val="20"/>
        </w:rPr>
        <w:t xml:space="preserve">08/10/2026 cannot be achieved.</w:t>
      </w:r>
      <w:r>
        <w:rPr>
          <w:rFonts w:ascii="Calibri" w:cs="Calibri" w:eastAsia="Calibri" w:hAnsi="Calibri"/>
          <w:sz w:val="20"/>
          <w:szCs w:val="20"/>
        </w:rPr>
        <w:t xml:space="preserve"> The work in 5.3 is redesign (and, for dewatering, first design) by four parties, not correction. For scale, a complete package received on 07/27/2026 would leave the Contract’s 21-day review period running to 08/17/2026. Once a design is verified, the depressurisation system must still be installed, pump-tested and confirmed before the excavation passes El. 735.6.</w:t>
      </w:r>
    </w:p>
    <w:p>
      <w:pPr>
        <w:numPr>
          <w:ilvl w:val="0"/>
          <w:numId w:val="1"/>
        </w:numPr>
        <w:spacing w:before="0" w:after="50" w:line="252" w:lineRule="auto"/>
        <w:ind w:left="360" w:hanging="220"/>
      </w:pPr>
      <w:r>
        <w:rPr>
          <w:rFonts w:ascii="Calibri" w:cs="Calibri" w:eastAsia="Calibri" w:hAnsi="Calibri"/>
          <w:b/>
          <w:bCs/>
          <w:sz w:val="20"/>
          <w:szCs w:val="20"/>
        </w:rPr>
        <w:t xml:space="preserve">Schedule.</w:t>
      </w:r>
      <w:r>
        <w:rPr>
          <w:rFonts w:ascii="Calibri" w:cs="Calibri" w:eastAsia="Calibri" w:hAnsi="Calibri"/>
          <w:sz w:val="20"/>
          <w:szCs w:val="20"/>
        </w:rPr>
        <w:t xml:space="preserve"> The critical path runs through this excavation and the plant-room mat (MPR14 §3.1). I recommend that the Owner direct the Contractor to submit a revised schedule, with the new start date set once a complete resubmittal is received. The scope of CO-19 (Block B dewatering) should follow the sealed plan in 5.3 item 2.</w:t>
      </w:r>
    </w:p>
    <w:p>
      <w:pPr>
        <w:numPr>
          <w:ilvl w:val="0"/>
          <w:numId w:val="1"/>
        </w:numPr>
        <w:spacing w:before="0" w:after="50" w:line="252" w:lineRule="auto"/>
        <w:ind w:left="360" w:hanging="220"/>
      </w:pPr>
      <w:r>
        <w:rPr>
          <w:rFonts w:ascii="Calibri" w:cs="Calibri" w:eastAsia="Calibri" w:hAnsi="Calibri"/>
          <w:b/>
          <w:bCs/>
          <w:sz w:val="20"/>
          <w:szCs w:val="20"/>
        </w:rPr>
        <w:t xml:space="preserve">Level-3 pour.</w:t>
      </w:r>
      <w:r>
        <w:rPr>
          <w:rFonts w:ascii="Calibri" w:cs="Calibri" w:eastAsia="Calibri" w:hAnsi="Calibri"/>
          <w:sz w:val="20"/>
          <w:szCs w:val="20"/>
        </w:rPr>
        <w:t xml:space="preserve"> This determination does not affect the 07/22/2026 Level-3 hold point, which depends on other register items.</w:t>
      </w:r>
    </w:p>
    <w:p>
      <w:pPr>
        <w:keepNext/>
        <w:spacing w:before="160" w:after="60"/>
      </w:pPr>
      <w:r>
        <w:rPr>
          <w:rFonts w:ascii="Calibri" w:cs="Calibri" w:eastAsia="Calibri" w:hAnsi="Calibri"/>
          <w:b/>
          <w:bCs/>
          <w:sz w:val="20"/>
          <w:szCs w:val="20"/>
        </w:rPr>
        <w:t xml:space="preserve">5.5  Register response to be recorded under Item 048</w:t>
      </w:r>
    </w:p>
    <w:tbl>
      <w:tblPr>
        <w:tblW w:w="972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80" w:type="dxa"/>
          <w:bottom w:w="30" w:type="dxa"/>
          <w:right w:w="80" w:type="dxa"/>
        </w:tblCellMar>
      </w:tblPr>
      <w:tblGrid>
        <w:gridCol w:w="2000"/>
        <w:gridCol w:w="7720"/>
      </w:tblGrid>
      <w:tr>
        <w:trPr>
          <w:cantSplit/>
          <w:tblHeader/>
        </w:trPr>
        <w:tc>
          <w:tcPr>
            <w:tcW w:w="2000" w:type="dxa"/>
            <w:shd w:val="clear" w:color="auto" w:fill="D9D9D9"/>
            <w:vAlign w:val="top"/>
          </w:tcPr>
          <w:p>
            <w:pPr>
              <w:spacing w:before="0" w:after="20" w:line="240" w:lineRule="auto"/>
            </w:pPr>
            <w:r>
              <w:rPr>
                <w:rFonts w:ascii="Calibri" w:cs="Calibri" w:eastAsia="Calibri" w:hAnsi="Calibri"/>
                <w:b/>
                <w:bCs/>
                <w:sz w:val="16"/>
                <w:szCs w:val="16"/>
              </w:rPr>
              <w:t xml:space="preserve">Register field</w:t>
            </w:r>
          </w:p>
        </w:tc>
        <w:tc>
          <w:tcPr>
            <w:tcW w:w="7720" w:type="dxa"/>
            <w:shd w:val="clear" w:color="auto" w:fill="D9D9D9"/>
            <w:vAlign w:val="top"/>
          </w:tcPr>
          <w:p>
            <w:pPr>
              <w:spacing w:before="0" w:after="20" w:line="240" w:lineRule="auto"/>
            </w:pPr>
            <w:r>
              <w:rPr>
                <w:rFonts w:ascii="Calibri" w:cs="Calibri" w:eastAsia="Calibri" w:hAnsi="Calibri"/>
                <w:b/>
                <w:bCs/>
                <w:sz w:val="16"/>
                <w:szCs w:val="16"/>
              </w:rPr>
              <w:t xml:space="preserve">Entry for Item 048</w:t>
            </w:r>
          </w:p>
        </w:tc>
      </w:tr>
      <w:tr>
        <w:trPr>
          <w:cantSplit/>
        </w:trPr>
        <w:tc>
          <w:tcPr>
            <w:tcW w:w="2000" w:type="dxa"/>
            <w:shd w:val="clear" w:color="auto" w:fill="F2F2F2"/>
            <w:vAlign w:val="top"/>
          </w:tcPr>
          <w:p>
            <w:pPr>
              <w:spacing w:before="0" w:after="20" w:line="240" w:lineRule="auto"/>
            </w:pPr>
            <w:r>
              <w:rPr>
                <w:rFonts w:ascii="Calibri" w:cs="Calibri" w:eastAsia="Calibri" w:hAnsi="Calibri"/>
                <w:b/>
                <w:bCs/>
                <w:sz w:val="16"/>
                <w:szCs w:val="16"/>
              </w:rPr>
              <w:t xml:space="preserve">Response / Disposition</w:t>
            </w:r>
          </w:p>
        </w:tc>
        <w:tc>
          <w:tcPr>
            <w:tcW w:w="7720" w:type="dxa"/>
            <w:vAlign w:val="top"/>
          </w:tcPr>
          <w:p>
            <w:pPr>
              <w:spacing w:before="0" w:after="20" w:line="240" w:lineRule="auto"/>
            </w:pPr>
            <w:r>
              <w:rPr>
                <w:rFonts w:ascii="Calibri" w:cs="Calibri" w:eastAsia="Calibri" w:hAnsi="Calibri"/>
                <w:sz w:val="16"/>
                <w:szCs w:val="16"/>
              </w:rPr>
              <w:t xml:space="preserve">NOT VERIFIED — Thelbridge Verification Memorandum, A. Vance, 07/20/2026 (item taken over from R. Nimkar). Reviewed 31-SH-B Rev.1 (sealed 06/11/2026) as supplemented by Rev.2, Kesterline letter KE-L-2026-0713 (sealed 07/13/2026).</w:t>
            </w:r>
          </w:p>
          <w:p>
            <w:pPr>
              <w:spacing w:before="0" w:after="20" w:line="240" w:lineRule="auto"/>
            </w:pPr>
            <w:r>
              <w:rPr>
                <w:rFonts w:ascii="Calibri" w:cs="Calibri" w:eastAsia="Calibri" w:hAnsi="Calibri"/>
                <w:sz w:val="16"/>
                <w:szCs w:val="16"/>
              </w:rPr>
              <w:t xml:space="preserve">Consistent: the groundwater and stratigraphy inputs (WT El. 742.0; confined head El. 738.0; clay El. 738.0–720.0) agree with the logged record, and the R2.3 load arithmetic reproduces.</w:t>
            </w:r>
          </w:p>
          <w:p>
            <w:pPr>
              <w:spacing w:before="0" w:after="20" w:line="240" w:lineRule="auto"/>
            </w:pPr>
            <w:r>
              <w:rPr>
                <w:rFonts w:ascii="Calibri" w:cs="Calibri" w:eastAsia="Calibri" w:hAnsi="Calibri"/>
                <w:sz w:val="16"/>
                <w:szCs w:val="16"/>
              </w:rPr>
              <w:t xml:space="preserve">Deficiencies:</w:t>
            </w:r>
          </w:p>
          <w:p>
            <w:pPr>
              <w:spacing w:before="0" w:after="20" w:line="240" w:lineRule="auto"/>
              <w:ind w:left="170" w:hanging="170"/>
            </w:pPr>
            <w:r>
              <w:rPr>
                <w:rFonts w:ascii="Calibri" w:cs="Calibri" w:eastAsia="Calibri" w:hAnsi="Calibri"/>
                <w:sz w:val="16"/>
                <w:szCs w:val="16"/>
              </w:rPr>
              <w:t xml:space="preserve">•</w:t>
              <w:tab/>
              <w:t xml:space="preserve">(1) The toe check uses s</w:t>
            </w:r>
            <w:r>
              <w:rPr>
                <w:rFonts w:ascii="Calibri" w:cs="Calibri" w:eastAsia="Calibri" w:hAnsi="Calibri"/>
                <w:sz w:val="16"/>
                <w:szCs w:val="16"/>
                <w:vertAlign w:val="subscript"/>
              </w:rPr>
              <w:t xml:space="preserve">u</w:t>
            </w:r>
            <w:r>
              <w:rPr>
                <w:rFonts w:ascii="Calibri" w:cs="Calibri" w:eastAsia="Calibri" w:hAnsi="Calibri"/>
                <w:sz w:val="16"/>
                <w:szCs w:val="16"/>
              </w:rPr>
              <w:t xml:space="preserve"> 1,400 psf against the GIR’s 900–1,100 psf, giving FS 0.31–0.81 (1.50 required); drained, there is no net toe resistance.</w:t>
            </w:r>
          </w:p>
          <w:p>
            <w:pPr>
              <w:spacing w:before="0" w:after="20" w:line="240" w:lineRule="auto"/>
              <w:ind w:left="170" w:hanging="170"/>
            </w:pPr>
            <w:r>
              <w:rPr>
                <w:rFonts w:ascii="Calibri" w:cs="Calibri" w:eastAsia="Calibri" w:hAnsi="Calibri"/>
                <w:sz w:val="16"/>
                <w:szCs w:val="16"/>
              </w:rPr>
              <w:t xml:space="preserve">•</w:t>
              <w:tab/>
              <w:t xml:space="preserve">(2) The anchor bond zone (El. 737.0–728.7) lies in CL clay; capacity is at most 41.5 kips against a 56.2-kip design load and a 74.8-kip proof load.</w:t>
            </w:r>
          </w:p>
          <w:p>
            <w:pPr>
              <w:spacing w:before="0" w:after="20" w:line="240" w:lineRule="auto"/>
              <w:ind w:left="170" w:hanging="170"/>
            </w:pPr>
            <w:r>
              <w:rPr>
                <w:rFonts w:ascii="Calibri" w:cs="Calibri" w:eastAsia="Calibri" w:hAnsi="Calibri"/>
                <w:sz w:val="16"/>
                <w:szCs w:val="16"/>
              </w:rPr>
              <w:t xml:space="preserve">•</w:t>
              <w:tab/>
              <w:t xml:space="preserve">(3) Base heave: the El. 727.0 trigger gives FS 1.48 &lt; 1.5 (DBM §6.2); unpumped FS is 0.58; the relief wells are undesigned and there is no sealed Block B dewatering plan.</w:t>
            </w:r>
          </w:p>
          <w:p>
            <w:pPr>
              <w:spacing w:before="0" w:after="20" w:line="240" w:lineRule="auto"/>
              <w:ind w:left="170" w:hanging="170"/>
            </w:pPr>
            <w:r>
              <w:rPr>
                <w:rFonts w:ascii="Calibri" w:cs="Calibri" w:eastAsia="Calibri" w:hAnsi="Calibri"/>
                <w:sz w:val="16"/>
                <w:szCs w:val="16"/>
              </w:rPr>
              <w:t xml:space="preserve">•</w:t>
              <w:tab/>
              <w:t xml:space="preserve">(4) The supersession matrix keeps the dry-excavation basis and the El. 722.0 toe in force.</w:t>
            </w:r>
          </w:p>
          <w:p>
            <w:pPr>
              <w:spacing w:before="0" w:after="20" w:line="240" w:lineRule="auto"/>
              <w:ind w:left="170" w:hanging="170"/>
            </w:pPr>
            <w:r>
              <w:rPr>
                <w:rFonts w:ascii="Calibri" w:cs="Calibri" w:eastAsia="Calibri" w:hAnsi="Calibri"/>
                <w:sz w:val="16"/>
                <w:szCs w:val="16"/>
              </w:rPr>
              <w:t xml:space="preserve">•</w:t>
              <w:tab/>
              <w:t xml:space="preserve">(5) No assessment of the Block B piles, mat and basement shown at the pit by S-101 Rev.4 / S-102 Rev.2, nor of drawdown settlement and drag load (about 0.8 in in 6 months at full drawdown).</w:t>
            </w:r>
          </w:p>
          <w:p>
            <w:pPr>
              <w:spacing w:before="0" w:after="20" w:line="240" w:lineRule="auto"/>
            </w:pPr>
            <w:r>
              <w:rPr>
                <w:rFonts w:ascii="Calibri" w:cs="Calibri" w:eastAsia="Calibri" w:hAnsi="Calibri"/>
                <w:sz w:val="16"/>
                <w:szCs w:val="16"/>
              </w:rPr>
              <w:t xml:space="preserve">Required: a complete sealed 31-SH-B reissue (Kesterline, via Rowan Bay); a sealed Block B dewatering plan (Rowan Bay); an EOR assessment of the permanent works and the plant-room interface (Calloway Braddock); an as-built survey and baseline monitoring (Rowan Bay); confirmation of design parameters (Kelbrook).</w:t>
            </w:r>
          </w:p>
          <w:p>
            <w:pPr>
              <w:spacing w:before="0" w:after="20" w:line="240" w:lineRule="auto"/>
            </w:pPr>
            <w:r>
              <w:rPr>
                <w:rFonts w:ascii="Calibri" w:cs="Calibri" w:eastAsia="Calibri" w:hAnsi="Calibri"/>
                <w:sz w:val="16"/>
                <w:szCs w:val="16"/>
              </w:rPr>
              <w:t xml:space="preserve">The 08/10/2026 excavation is not released.</w:t>
            </w:r>
          </w:p>
        </w:tc>
      </w:tr>
      <w:tr>
        <w:trPr>
          <w:cantSplit/>
        </w:trPr>
        <w:tc>
          <w:tcPr>
            <w:tcW w:w="2000" w:type="dxa"/>
            <w:shd w:val="clear" w:color="auto" w:fill="F2F2F2"/>
            <w:vAlign w:val="top"/>
          </w:tcPr>
          <w:p>
            <w:pPr>
              <w:spacing w:before="0" w:after="20" w:line="240" w:lineRule="auto"/>
            </w:pPr>
            <w:r>
              <w:rPr>
                <w:rFonts w:ascii="Calibri" w:cs="Calibri" w:eastAsia="Calibri" w:hAnsi="Calibri"/>
                <w:b/>
                <w:bCs/>
                <w:sz w:val="16"/>
                <w:szCs w:val="16"/>
              </w:rPr>
              <w:t xml:space="preserve">Response by</w:t>
            </w:r>
          </w:p>
        </w:tc>
        <w:tc>
          <w:tcPr>
            <w:tcW w:w="7720" w:type="dxa"/>
            <w:vAlign w:val="top"/>
          </w:tcPr>
          <w:p>
            <w:pPr>
              <w:spacing w:before="0" w:after="20" w:line="240" w:lineRule="auto"/>
            </w:pPr>
            <w:r>
              <w:rPr>
                <w:rFonts w:ascii="Calibri" w:cs="Calibri" w:eastAsia="Calibri" w:hAnsi="Calibri"/>
                <w:sz w:val="16"/>
                <w:szCs w:val="16"/>
              </w:rPr>
              <w:t xml:space="preserve">A. Vance (Thelbridge)</w:t>
            </w:r>
          </w:p>
        </w:tc>
      </w:tr>
      <w:tr>
        <w:trPr>
          <w:cantSplit/>
        </w:trPr>
        <w:tc>
          <w:tcPr>
            <w:tcW w:w="2000" w:type="dxa"/>
            <w:shd w:val="clear" w:color="auto" w:fill="F2F2F2"/>
            <w:vAlign w:val="top"/>
          </w:tcPr>
          <w:p>
            <w:pPr>
              <w:spacing w:before="0" w:after="20" w:line="240" w:lineRule="auto"/>
            </w:pPr>
            <w:r>
              <w:rPr>
                <w:rFonts w:ascii="Calibri" w:cs="Calibri" w:eastAsia="Calibri" w:hAnsi="Calibri"/>
                <w:b/>
                <w:bCs/>
                <w:sz w:val="16"/>
                <w:szCs w:val="16"/>
              </w:rPr>
              <w:t xml:space="preserve">Response date</w:t>
            </w:r>
          </w:p>
        </w:tc>
        <w:tc>
          <w:tcPr>
            <w:tcW w:w="7720" w:type="dxa"/>
            <w:vAlign w:val="top"/>
          </w:tcPr>
          <w:p>
            <w:pPr>
              <w:spacing w:before="0" w:after="20" w:line="240" w:lineRule="auto"/>
            </w:pPr>
            <w:r>
              <w:rPr>
                <w:rFonts w:ascii="Calibri" w:cs="Calibri" w:eastAsia="Calibri" w:hAnsi="Calibri"/>
                <w:sz w:val="16"/>
                <w:szCs w:val="16"/>
              </w:rPr>
              <w:t xml:space="preserve">07/20/2026</w:t>
            </w:r>
          </w:p>
        </w:tc>
      </w:tr>
      <w:tr>
        <w:trPr>
          <w:cantSplit/>
        </w:trPr>
        <w:tc>
          <w:tcPr>
            <w:tcW w:w="2000" w:type="dxa"/>
            <w:shd w:val="clear" w:color="auto" w:fill="F2F2F2"/>
            <w:vAlign w:val="top"/>
          </w:tcPr>
          <w:p>
            <w:pPr>
              <w:spacing w:before="0" w:after="20" w:line="240" w:lineRule="auto"/>
            </w:pPr>
            <w:r>
              <w:rPr>
                <w:rFonts w:ascii="Calibri" w:cs="Calibri" w:eastAsia="Calibri" w:hAnsi="Calibri"/>
                <w:b/>
                <w:bCs/>
                <w:sz w:val="16"/>
                <w:szCs w:val="16"/>
              </w:rPr>
              <w:t xml:space="preserve">Status</w:t>
            </w:r>
          </w:p>
        </w:tc>
        <w:tc>
          <w:tcPr>
            <w:tcW w:w="7720" w:type="dxa"/>
            <w:vAlign w:val="top"/>
          </w:tcPr>
          <w:p>
            <w:pPr>
              <w:spacing w:before="0" w:after="20" w:line="240" w:lineRule="auto"/>
            </w:pPr>
            <w:r>
              <w:rPr>
                <w:rFonts w:ascii="Calibri" w:cs="Calibri" w:eastAsia="Calibri" w:hAnsi="Calibri"/>
                <w:b/>
                <w:bCs/>
                <w:sz w:val="16"/>
                <w:szCs w:val="16"/>
              </w:rPr>
              <w:t xml:space="preserve">Open</w:t>
            </w:r>
          </w:p>
        </w:tc>
      </w:tr>
      <w:tr>
        <w:trPr>
          <w:cantSplit/>
        </w:trPr>
        <w:tc>
          <w:tcPr>
            <w:tcW w:w="2000" w:type="dxa"/>
            <w:shd w:val="clear" w:color="auto" w:fill="F2F2F2"/>
            <w:vAlign w:val="top"/>
          </w:tcPr>
          <w:p>
            <w:pPr>
              <w:spacing w:before="0" w:after="20" w:line="240" w:lineRule="auto"/>
            </w:pPr>
            <w:r>
              <w:rPr>
                <w:rFonts w:ascii="Calibri" w:cs="Calibri" w:eastAsia="Calibri" w:hAnsi="Calibri"/>
                <w:b/>
                <w:bCs/>
                <w:sz w:val="16"/>
                <w:szCs w:val="16"/>
              </w:rPr>
              <w:t xml:space="preserve">Verification date</w:t>
            </w:r>
          </w:p>
        </w:tc>
        <w:tc>
          <w:tcPr>
            <w:tcW w:w="7720" w:type="dxa"/>
            <w:vAlign w:val="top"/>
          </w:tcPr>
          <w:p>
            <w:pPr>
              <w:spacing w:before="0" w:after="20" w:line="240" w:lineRule="auto"/>
            </w:pPr>
            <w:r>
              <w:rPr>
                <w:rFonts w:ascii="Calibri" w:cs="Calibri" w:eastAsia="Calibri" w:hAnsi="Calibri"/>
                <w:sz w:val="16"/>
                <w:szCs w:val="16"/>
              </w:rPr>
              <w:t xml:space="preserve">— (not verified)</w:t>
            </w:r>
          </w:p>
        </w:tc>
      </w:tr>
    </w:tbl>
    <w:p>
      <w:pPr>
        <w:keepNext/>
        <w:spacing w:before="160" w:after="60"/>
      </w:pPr>
      <w:r>
        <w:rPr>
          <w:rFonts w:ascii="Calibri" w:cs="Calibri" w:eastAsia="Calibri" w:hAnsi="Calibri"/>
          <w:b/>
          <w:bCs/>
          <w:sz w:val="20"/>
          <w:szCs w:val="20"/>
        </w:rPr>
        <w:t xml:space="preserve">5.6  Distribution</w:t>
      </w:r>
    </w:p>
    <w:p>
      <w:pPr>
        <w:spacing w:before="0" w:after="100" w:line="252" w:lineRule="auto"/>
      </w:pPr>
      <w:r>
        <w:rPr>
          <w:rFonts w:ascii="Calibri" w:cs="Calibri" w:eastAsia="Calibri" w:hAnsi="Calibri"/>
          <w:sz w:val="20"/>
          <w:szCs w:val="20"/>
        </w:rPr>
        <w:t xml:space="preserve">Addressee: R. Marlbeck (Owner). Copies per Project Directory list 5.4, Hold-Point Release (DIR): G. Nash, PE (Calloway Braddock, EOR); S. Kendrow and M. Whitfield (Rowan Bay Constructors), with Rowan Bay to transmit to Kesterline Engineering, PC; T. Brennard, PE (Vantree, records). Internal: R. Nimkar (Thelbridge).</w:t>
      </w:r>
    </w:p>
    <w:p>
      <w:pPr>
        <w:keepNext/>
        <w:pBdr>
          <w:bottom w:val="single" w:color="7F7F7F" w:sz="6" w:space="6"/>
        </w:pBdr>
        <w:spacing w:before="340"/>
      </w:pPr>
      <w:r>
        <w:rPr>
          <w:rFonts w:ascii="Calibri" w:cs="Calibri" w:eastAsia="Calibri" w:hAnsi="Calibri"/>
          <w:sz w:val="20"/>
          <w:szCs w:val="20"/>
        </w:rPr>
        <w:t xml:space="preserve"/>
      </w:r>
    </w:p>
    <w:p>
      <w:pPr>
        <w:keepNext/>
        <w:spacing w:before="120"/>
      </w:pPr>
      <w:r>
        <w:rPr>
          <w:rFonts w:ascii="Calibri" w:cs="Calibri" w:eastAsia="Calibri" w:hAnsi="Calibri"/>
          <w:sz w:val="20"/>
          <w:szCs w:val="20"/>
        </w:rPr>
        <w:t xml:space="preserve">Adrian Vance</w:t>
      </w:r>
    </w:p>
    <w:p>
      <w:pPr>
        <w:keepNext/>
      </w:pPr>
      <w:r>
        <w:rPr>
          <w:rFonts w:ascii="Calibri" w:cs="Calibri" w:eastAsia="Calibri" w:hAnsi="Calibri"/>
          <w:sz w:val="20"/>
          <w:szCs w:val="20"/>
        </w:rPr>
        <w:t xml:space="preserve">Project Engineer (Structural/Geotechnical)</w:t>
      </w:r>
    </w:p>
    <w:p>
      <w:pPr>
        <w:keepNext/>
      </w:pPr>
      <w:r>
        <w:rPr>
          <w:rFonts w:ascii="Calibri" w:cs="Calibri" w:eastAsia="Calibri" w:hAnsi="Calibri"/>
          <w:sz w:val="20"/>
          <w:szCs w:val="20"/>
        </w:rPr>
        <w:t xml:space="preserve">Thelbridge Project Management Services - Owner's Representative</w:t>
      </w:r>
    </w:p>
    <w:p>
      <w:r>
        <w:rPr>
          <w:rFonts w:ascii="Calibri" w:cs="Calibri" w:eastAsia="Calibri" w:hAnsi="Calibri"/>
          <w:sz w:val="20"/>
          <w:szCs w:val="20"/>
        </w:rPr>
        <w:t xml:space="preserve">07/20/2026</w:t>
      </w:r>
    </w:p>
    <w:sectPr>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A6A6A6"/>
      </w:pBdr>
      <w:tabs>
        <w:tab w:val="right" w:pos="9720"/>
      </w:tabs>
    </w:pPr>
    <w:r>
      <w:rPr>
        <w:rFonts w:ascii="Calibri" w:cs="Calibri" w:eastAsia="Calibri" w:hAnsi="Calibri"/>
        <w:color w:val="595959"/>
        <w:sz w:val="15"/>
        <w:szCs w:val="15"/>
      </w:rPr>
      <w:t xml:space="preserve">Thelbridge Verification Memorandum — Register Item 048 (Block B plant-room shoring) — 07/20/2026</w:t>
    </w:r>
    <w:r>
      <w:rPr>
        <w:rFonts w:ascii="Calibri" w:cs="Calibri" w:eastAsia="Calibri" w:hAnsi="Calibri"/>
        <w:color w:val="595959"/>
        <w:sz w:val="15"/>
        <w:szCs w:val="15"/>
      </w:rPr>
      <w:t xml:space="preserve">	Page </w:t>
    </w:r>
    <w:r>
      <w:rPr>
        <w:rFonts w:ascii="Calibri" w:cs="Calibri" w:eastAsia="Calibri" w:hAnsi="Calibri"/>
        <w:color w:val="595959"/>
        <w:sz w:val="15"/>
        <w:szCs w:val="15"/>
      </w:rPr>
      <w:fldChar w:fldCharType="begin"/>
    </w:r>
    <w:r>
      <w:rPr>
        <w:rFonts w:ascii="Calibri" w:cs="Calibri" w:eastAsia="Calibri" w:hAnsi="Calibri"/>
        <w:color w:val="595959"/>
        <w:sz w:val="15"/>
        <w:szCs w:val="15"/>
      </w:rPr>
      <w:instrText xml:space="preserve"> PAGE </w:instrText>
    </w:r>
    <w:r>
      <w:rPr>
        <w:rFonts w:ascii="Calibri" w:cs="Calibri" w:eastAsia="Calibri" w:hAnsi="Calibri"/>
        <w:color w:val="595959"/>
        <w:sz w:val="15"/>
        <w:szCs w:val="15"/>
      </w:rPr>
      <w:fldChar w:fldCharType="separate"/>
    </w:r>
    <w:r>
      <w:rPr>
        <w:rFonts w:ascii="Calibri" w:cs="Calibri" w:eastAsia="Calibri" w:hAnsi="Calibri"/>
        <w:color w:val="595959"/>
        <w:sz w:val="15"/>
        <w:szCs w:val="15"/>
      </w:rPr>
      <w:t xml:space="preserve">1</w:t>
    </w:r>
    <w:r>
      <w:rPr>
        <w:rFonts w:ascii="Calibri" w:cs="Calibri" w:eastAsia="Calibri" w:hAnsi="Calibri"/>
        <w:color w:val="595959"/>
        <w:sz w:val="15"/>
        <w:szCs w:val="15"/>
      </w:rPr>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r>
    <w:r>
      <w:rPr>
        <w:rFonts w:ascii="Calibri" w:cs="Calibri" w:eastAsia="Calibri" w:hAnsi="Calibri"/>
        <w:color w:val="595959"/>
        <w:sz w:val="15"/>
        <w:szCs w:val="15"/>
      </w:rPr>
      <w:instrText xml:space="preserve"> NUMPAGES </w:instrText>
    </w:r>
    <w:r>
      <w:rPr>
        <w:rFonts w:ascii="Calibri" w:cs="Calibri" w:eastAsia="Calibri" w:hAnsi="Calibri"/>
        <w:color w:val="595959"/>
        <w:sz w:val="15"/>
        <w:szCs w:val="15"/>
      </w:rPr>
      <w:fldChar w:fldCharType="separate"/>
    </w:r>
    <w:r>
      <w:rPr>
        <w:rFonts w:ascii="Calibri" w:cs="Calibri" w:eastAsia="Calibri" w:hAnsi="Calibri"/>
        <w:color w:val="595959"/>
        <w:sz w:val="15"/>
        <w:szCs w:val="15"/>
      </w:rPr>
      <w:t xml:space="preserve">1</w:t>
    </w:r>
    <w:r>
      <w:rPr>
        <w:rFonts w:ascii="Calibri" w:cs="Calibri" w:eastAsia="Calibri" w:hAnsi="Calibri"/>
        <w:color w:val="595959"/>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Memorandum — Register Item 048 — Block B Plant-Room Support of Excavation</dc:title>
  <dc:creator>Adrian Vance</dc:creator>
  <dc:description>Thelbridge Project Management Services - verification memorandum, house format</dc:description>
  <cp:lastModifiedBy>Adrian Vance</cp:lastModifiedBy>
  <cp:revision>10</cp:revision>
  <dcterms:created xsi:type="dcterms:W3CDTF">2025-06-11T14:22:00Z</dcterms:created>
  <dcterms:modified xsi:type="dcterms:W3CDTF">2026-07-20T17:00:00Z</dcterms:modified>
  <dc:subject>Submittal 31-SH-B Rev.1 as supplemented by Rev.2 (KE-L-2026-0713) — NOT VERIFIED</dc:subject>
  <cp:keywords>Birchwood Village; Package A; Item 048; 31-SH-B; NOT VERIFIED</cp:keywords>
</cp:coreProperties>
</file>

<file path=docProps/custom.xml><?xml version="1.0" encoding="utf-8"?>
<Properties xmlns="http://schemas.openxmlformats.org/officeDocument/2006/custom-properties" xmlns:vt="http://schemas.openxmlformats.org/officeDocument/2006/docPropsVTypes"/>
</file>