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eiryo" w:cs="Meiryo" w:eastAsia="Meiryo" w:hAnsi="Meiryo"/>
          <w:b/>
          <w:bCs/>
          <w:sz w:val="30"/>
          <w:szCs w:val="30"/>
        </w:rPr>
        <w:t xml:space="preserve">運動量　シミュレーション構想メモ</w:t>
      </w:r>
    </w:p>
    <w:p>
      <w:pPr>
        <w:pBdr>
          <w:bottom w:val="single" w:color="000000" w:sz="12" w:space="4"/>
        </w:pBdr>
        <w:spacing w:after="30"/>
      </w:pPr>
      <w:r>
        <w:rPr>
          <w:rFonts w:ascii="Meiryo" w:cs="Meiryo" w:eastAsia="Meiryo" w:hAnsi="Meiryo"/>
          <w:sz w:val="17"/>
          <w:szCs w:val="17"/>
        </w:rPr>
        <w:t xml:space="preserve">手書きメモ（構想メモ①_手書き.pdf）の文字起こし　2026-09-20</w:t>
      </w:r>
    </w:p>
    <w:p>
      <w:pPr>
        <w:pBdr>
          <w:top w:val="dashed" w:color="000000" w:sz="6" w:space="6"/>
          <w:left w:val="dashed" w:color="000000" w:sz="6" w:space="6"/>
          <w:bottom w:val="dashed" w:color="000000" w:sz="6" w:space="6"/>
          <w:right w:val="dashed" w:color="000000" w:sz="6" w:space="6"/>
        </w:pBdr>
        <w:shd w:fill="F2F2F2" w:val="clear"/>
        <w:spacing w:after="140" w:before="100" w:line="280"/>
      </w:pPr>
      <w:r>
        <w:rPr>
          <w:rFonts w:ascii="Meiryo" w:cs="Meiryo" w:eastAsia="Meiryo" w:hAnsi="Meiryo"/>
          <w:sz w:val="19"/>
          <w:szCs w:val="19"/>
        </w:rPr>
        <w:t xml:space="preserve">【この文書について】</w:t>
      </w:r>
      <w:r>
        <w:br/>
      </w:r>
      <w:r>
        <w:rPr>
          <w:rFonts w:ascii="Meiryo" w:cs="Meiryo" w:eastAsia="Meiryo" w:hAnsi="Meiryo"/>
          <w:sz w:val="19"/>
          <w:szCs w:val="19"/>
        </w:rPr>
        <w:t xml:space="preserve">・手書きメモ1枚を、書かれている位置の順（モード1 → モード2 → モード3）に文字起こししたもの。</w:t>
      </w:r>
      <w:r>
        <w:br/>
      </w:r>
      <w:r>
        <w:rPr>
          <w:rFonts w:ascii="Meiryo" w:cs="Meiryo" w:eastAsia="Meiryo" w:hAnsi="Meiryo"/>
          <w:sz w:val="19"/>
          <w:szCs w:val="19"/>
        </w:rPr>
        <w:t xml:space="preserve">・イラストは、メモの絵の内容を長方形・円・矢印で描き直して入れてある（手書きの絵そのままではない）。</w:t>
      </w:r>
      <w:r>
        <w:br/>
      </w:r>
      <w:r>
        <w:rPr>
          <w:rFonts w:ascii="Meiryo" w:cs="Meiryo" w:eastAsia="Meiryo" w:hAnsi="Meiryo"/>
          <w:sz w:val="19"/>
          <w:szCs w:val="19"/>
        </w:rPr>
        <w:t xml:space="preserve">・ベクトルは Word の数式として入れてある。読み取れなかった・確認したいところは最後に一覧にした。</w:t>
      </w:r>
    </w:p>
    <w:p>
      <w:pPr>
        <w:spacing w:after="20" w:line="280"/>
      </w:pPr>
      <w:r>
        <w:rPr>
          <w:rFonts w:ascii="Meiryo" w:cs="Meiryo" w:eastAsia="Meiryo" w:hAnsi="Meiryo"/>
          <w:sz w:val="19"/>
          <w:szCs w:val="19"/>
        </w:rPr>
        <w:t xml:space="preserve">メモの右上の書きこみ：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ピコピコとは、ピコピコハンマーのこと。</w:t>
      </w:r>
    </w:p>
    <w:p>
      <w:pPr>
        <w:pBdr>
          <w:bottom w:val="single" w:color="000000" w:sz="10" w:space="3"/>
        </w:pBdr>
        <w:spacing w:after="120" w:before="2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1　モード1　運動量と力積の関係</w:t>
      </w:r>
    </w:p>
    <w:p>
      <w:pPr>
        <w:spacing w:after="80" w:before="170"/>
      </w:pPr>
      <w:r>
        <w:rPr>
          <w:rFonts w:ascii="Meiryo" w:cs="Meiryo" w:eastAsia="Meiryo" w:hAnsi="Meiryo"/>
          <w:b/>
          <w:bCs/>
          <w:sz w:val="21"/>
          <w:szCs w:val="21"/>
        </w:rPr>
        <w:t xml:space="preserve">1-1　セクション1　直線上でピコピコハンマーでたたく</w:t>
      </w:r>
    </w:p>
    <w:p>
      <w:pPr>
        <w:spacing w:after="40" w:before="110"/>
        <w:jc w:val="center"/>
      </w:pPr>
      <w:r>
        <w:drawing>
          <wp:inline distT="0" distB="0" distL="0" distR="0">
            <wp:extent cx="49530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図1　等速で動く物体を、ピコピコハンマーで1回たたく（v → v′）</w:t>
      </w:r>
    </w:p>
    <w:p>
      <w:pPr>
        <w:spacing w:after="60" w:before="13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メモの文字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物体　</w:t>
      </w:r>
      <m:oMath>
        <m:acc>
          <m:accPr>
            <m:chr m:val="⃗"/>
            <m:ctrlPr/>
          </m:accPr>
          <m:e>
            <m:r>
              <m:t>v</m:t>
            </m:r>
          </m:e>
        </m:acc>
      </m:oMath>
      <w:r>
        <w:rPr>
          <w:rFonts w:ascii="Meiryo" w:cs="Meiryo" w:eastAsia="Meiryo" w:hAnsi="Meiryo"/>
          <w:sz w:val="19"/>
          <w:szCs w:val="19"/>
        </w:rPr>
        <w:t xml:space="preserve">　等速　→　ピコピコ　→　</w:t>
      </w:r>
      <m:oMath>
        <m:acc>
          <m:accPr>
            <m:chr m:val="⃗"/>
            <m:ctrlPr/>
          </m:accPr>
          <m:e>
            <m:r>
              <m:t>v</m:t>
            </m:r>
          </m:e>
        </m:acc>
        <m:r>
          <m:t>′</m:t>
        </m:r>
      </m:oMath>
    </w:p>
    <w:p>
      <w:pPr>
        <w:spacing w:after="100" w:before="80" w:line="300"/>
        <w:jc w:val="center"/>
      </w:pPr>
      <m:oMathPara>
        <m:oMathParaPr>
          <m:jc m:val="center"/>
        </m:oMathParaPr>
        <m:oMath>
          <m:r>
            <m:t>m</m:t>
          </m:r>
          <m:acc>
            <m:accPr>
              <m:chr m:val="⃗"/>
              <m:ctrlPr/>
            </m:accPr>
            <m:e>
              <m:r>
                <m:t>v</m:t>
              </m:r>
            </m:e>
          </m:acc>
          <m:r>
            <m:t>+</m:t>
          </m:r>
          <m:acc>
            <m:accPr>
              <m:chr m:val="⃗"/>
              <m:ctrlPr/>
            </m:accPr>
            <m:e>
              <m:r>
                <m:t>F</m:t>
              </m:r>
            </m:e>
          </m:acc>
          <m:r>
            <m:t>Δt</m:t>
          </m:r>
          <m:r>
            <m:t>=</m:t>
          </m:r>
          <m:r>
            <m:t>m</m:t>
          </m:r>
          <m:acc>
            <m:accPr>
              <m:chr m:val="⃗"/>
              <m:ctrlPr/>
            </m:accPr>
            <m:e>
              <m:r>
                <m:t>v</m:t>
              </m:r>
            </m:e>
          </m:acc>
          <m:r>
            <m:t>′</m:t>
          </m:r>
        </m:oMath>
      </m:oMathPara>
    </w:p>
    <w:p>
      <w:pPr>
        <w:spacing w:after="100" w:before="80" w:line="300"/>
        <w:jc w:val="center"/>
      </w:pPr>
      <m:oMathPara>
        <m:oMathParaPr>
          <m:jc m:val="center"/>
        </m:oMathParaPr>
        <m:oMath>
          <m:r>
            <m:t>m</m:t>
          </m:r>
          <m:acc>
            <m:accPr>
              <m:chr m:val="⃗"/>
              <m:ctrlPr/>
            </m:accPr>
            <m:e>
              <m:r>
                <m:t>v</m:t>
              </m:r>
            </m:e>
          </m:acc>
          <m:r>
            <m:t>′</m:t>
          </m:r>
          <m:r>
            <m:t>−</m:t>
          </m:r>
          <m:r>
            <m:t>m</m:t>
          </m:r>
          <m:acc>
            <m:accPr>
              <m:chr m:val="⃗"/>
              <m:ctrlPr/>
            </m:accPr>
            <m:e>
              <m:r>
                <m:t>v</m:t>
              </m:r>
            </m:e>
          </m:acc>
          <m:r>
            <m:t>=</m:t>
          </m:r>
          <m:acc>
            <m:accPr>
              <m:chr m:val="⃗"/>
              <m:ctrlPr/>
            </m:accPr>
            <m:e>
              <m:r>
                <m:t>F</m:t>
              </m:r>
            </m:e>
          </m:acc>
          <m:r>
            <m:t>Δt</m:t>
          </m:r>
        </m:oMath>
      </m:oMathPara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（ベクトル図）　</w:t>
      </w:r>
      <m:oMath>
        <m:r>
          <m:t>m</m:t>
        </m:r>
        <m:acc>
          <m:accPr>
            <m:chr m:val="⃗"/>
            <m:ctrlPr/>
          </m:accPr>
          <m:e>
            <m:r>
              <m:t>v</m:t>
            </m:r>
          </m:e>
        </m:acc>
      </m:oMath>
      <w:r>
        <w:rPr>
          <w:rFonts w:ascii="Meiryo" w:cs="Meiryo" w:eastAsia="Meiryo" w:hAnsi="Meiryo"/>
          <w:sz w:val="19"/>
          <w:szCs w:val="19"/>
        </w:rPr>
        <w:t xml:space="preserve">　＋　</w:t>
      </w:r>
      <m:oMath>
        <m:acc>
          <m:accPr>
            <m:chr m:val="⃗"/>
            <m:ctrlPr/>
          </m:accPr>
          <m:e>
            <m:r>
              <m:t>F</m:t>
            </m:r>
          </m:e>
        </m:acc>
        <m:r>
          <m:t>Δt</m:t>
        </m:r>
      </m:oMath>
      <w:r>
        <w:rPr>
          <w:rFonts w:ascii="Meiryo" w:cs="Meiryo" w:eastAsia="Meiryo" w:hAnsi="Meiryo"/>
          <w:sz w:val="19"/>
          <w:szCs w:val="19"/>
        </w:rPr>
        <w:t xml:space="preserve">　＝　</w:t>
      </w:r>
      <m:oMath>
        <m:r>
          <m:t>m</m:t>
        </m:r>
        <m:acc>
          <m:accPr>
            <m:chr m:val="⃗"/>
            <m:ctrlPr/>
          </m:accPr>
          <m:e>
            <m:r>
              <m:t>v</m:t>
            </m:r>
          </m:e>
        </m:acc>
        <m:r>
          <m:t>′</m:t>
        </m:r>
      </m:oMath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スライドバー　</w:t>
      </w:r>
      <m:oMath>
        <m:d>
          <m:dPr>
            <m:begChr m:val="|"/>
            <m:endChr m:val="|"/>
            <m:ctrlPr/>
          </m:dPr>
          <m:e>
            <m:acc>
              <m:accPr>
                <m:chr m:val="⃗"/>
                <m:ctrlPr/>
              </m:accPr>
              <m:e>
                <m:r>
                  <m:t>F</m:t>
                </m:r>
              </m:e>
            </m:acc>
            <m:r>
              <m:t>Δt</m:t>
            </m:r>
          </m:e>
        </m:d>
      </m:oMath>
      <w:r>
        <w:rPr>
          <w:rFonts w:ascii="Meiryo" w:cs="Meiryo" w:eastAsia="Meiryo" w:hAnsi="Meiryo"/>
          <w:sz w:val="19"/>
          <w:szCs w:val="19"/>
        </w:rPr>
        <w:t xml:space="preserve">　←→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ボタンで選ぶ　m　2m　3m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右上のスイッチで p–t グラフに切りかえ。</w:t>
      </w:r>
    </w:p>
    <w:p>
      <w:pPr>
        <w:spacing w:after="40" w:before="110"/>
        <w:jc w:val="center"/>
      </w:pPr>
      <w:r>
        <w:drawing>
          <wp:inline distT="0" distB="0" distL="0" distR="0">
            <wp:extent cx="447675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図2　1次元なら、力積はそのまま足し算になる</w:t>
      </w:r>
    </w:p>
    <w:p>
      <w:pPr>
        <w:spacing w:after="40" w:before="110"/>
        <w:jc w:val="center"/>
      </w:pPr>
      <w:r>
        <w:drawing>
          <wp:inline distT="0" distB="0" distL="0" distR="0">
            <wp:extent cx="514350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図3　v–t 図（段差）／F–t 図（物体1・一瞬の山）／p–t 図（右上のスイッチで切りかえ）</w:t>
      </w:r>
    </w:p>
    <w:p>
      <w:pPr>
        <w:spacing w:after="60" w:before="13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読み取れる意図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直線上で「1回たたくだけ」という単純な設定にして、運動量と力積の関係を1次元で見せる。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力積の大きさ </w:t>
      </w:r>
      <m:oMath>
        <m:d>
          <m:dPr>
            <m:begChr m:val="|"/>
            <m:endChr m:val="|"/>
            <m:ctrlPr/>
          </m:dPr>
          <m:e>
            <m:acc>
              <m:accPr>
                <m:chr m:val="⃗"/>
                <m:ctrlPr/>
              </m:accPr>
              <m:e>
                <m:r>
                  <m:t>F</m:t>
                </m:r>
              </m:e>
            </m:acc>
            <m:r>
              <m:t>Δt</m:t>
            </m:r>
          </m:e>
        </m:d>
      </m:oMath>
      <w:r>
        <w:rPr>
          <w:rFonts w:ascii="Meiryo" w:cs="Meiryo" w:eastAsia="Meiryo" w:hAnsi="Meiryo"/>
          <w:sz w:val="19"/>
          <w:szCs w:val="19"/>
        </w:rPr>
        <w:t xml:space="preserve"> はスライドバーで、質量は m・2m・3m のボタンで変える。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v–t 図は階段状（たたいた瞬間だけ速さが跳ぶ）。F–t 図はその瞬間だけ立つ山で、その面積が力積。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右上のスイッチで p–t 図に切りかえ、p の跳びが </w:t>
      </w:r>
      <m:oMath>
        <m:acc>
          <m:accPr>
            <m:chr m:val="⃗"/>
            <m:ctrlPr/>
          </m:accPr>
          <m:e>
            <m:r>
              <m:t>F</m:t>
            </m:r>
          </m:e>
        </m:acc>
        <m:r>
          <m:t>Δt</m:t>
        </m:r>
      </m:oMath>
      <w:r>
        <w:rPr>
          <w:rFonts w:ascii="Meiryo" w:cs="Meiryo" w:eastAsia="Meiryo" w:hAnsi="Meiryo"/>
          <w:sz w:val="19"/>
          <w:szCs w:val="19"/>
        </w:rPr>
        <w:t xml:space="preserve"> に等しいことを見せる。</w:t>
      </w:r>
    </w:p>
    <w:p>
      <w:pPr>
        <w:spacing w:after="80" w:before="170"/>
      </w:pPr>
      <w:r>
        <w:rPr>
          <w:rFonts w:ascii="Meiryo" w:cs="Meiryo" w:eastAsia="Meiryo" w:hAnsi="Meiryo"/>
          <w:b/>
          <w:bCs/>
          <w:sz w:val="21"/>
          <w:szCs w:val="21"/>
        </w:rPr>
        <w:t xml:space="preserve">1-2　セクション2　平面上の衝突</w:t>
      </w:r>
    </w:p>
    <w:p>
      <w:pPr>
        <w:spacing w:after="40" w:before="11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図4　ボールが傾いたバット（水平と角 θ）に当たり、真上にはね返る</w:t>
      </w:r>
    </w:p>
    <w:p>
      <w:pPr>
        <w:spacing w:after="60" w:before="13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メモの文字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平面上の衝突　／　バット　／　θ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バットから受ける　</w:t>
      </w:r>
      <m:oMath>
        <m:acc>
          <m:accPr>
            <m:chr m:val="⃗"/>
            <m:ctrlPr/>
          </m:accPr>
          <m:e>
            <m:r>
              <m:t>F</m:t>
            </m:r>
          </m:e>
        </m:acc>
        <m:r>
          <m:t>Δt</m:t>
        </m:r>
      </m:oMath>
      <w:r>
        <w:rPr>
          <w:rFonts w:ascii="Meiryo" w:cs="Meiryo" w:eastAsia="Meiryo" w:hAnsi="Meiryo"/>
          <w:sz w:val="19"/>
          <w:szCs w:val="19"/>
        </w:rPr>
        <w:t xml:space="preserve">　力積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（ベクトル図）　</w:t>
      </w:r>
      <m:oMath>
        <m:r>
          <m:t>m</m:t>
        </m:r>
        <m:acc>
          <m:accPr>
            <m:chr m:val="⃗"/>
            <m:ctrlPr/>
          </m:accPr>
          <m:e>
            <m:r>
              <m:t>v</m:t>
            </m:r>
          </m:e>
        </m:acc>
      </m:oMath>
      <w:r>
        <w:rPr>
          <w:rFonts w:ascii="Meiryo" w:cs="Meiryo" w:eastAsia="Meiryo" w:hAnsi="Meiryo"/>
          <w:sz w:val="19"/>
          <w:szCs w:val="19"/>
        </w:rPr>
        <w:t xml:space="preserve">　</w:t>
      </w:r>
      <m:oMath>
        <m:r>
          <m:t>m</m:t>
        </m:r>
        <m:acc>
          <m:accPr>
            <m:chr m:val="⃗"/>
            <m:ctrlPr/>
          </m:accPr>
          <m:e>
            <m:r>
              <m:t>v</m:t>
            </m:r>
          </m:e>
        </m:acc>
        <m:r>
          <m:t>′</m:t>
        </m:r>
      </m:oMath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デフォルトは θ＝45°。ちょうど真上にはねるような </w:t>
      </w:r>
      <m:oMath>
        <m:d>
          <m:dPr>
            <m:begChr m:val="|"/>
            <m:endChr m:val="|"/>
            <m:ctrlPr/>
          </m:dPr>
          <m:e>
            <m:acc>
              <m:accPr>
                <m:chr m:val="⃗"/>
                <m:ctrlPr/>
              </m:accPr>
              <m:e>
                <m:r>
                  <m:t>F</m:t>
                </m:r>
              </m:e>
            </m:acc>
            <m:r>
              <m:t>Δt</m:t>
            </m:r>
          </m:e>
        </m:d>
      </m:oMath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スライドバー　</w:t>
      </w:r>
      <m:oMath>
        <m:d>
          <m:dPr>
            <m:begChr m:val="|"/>
            <m:endChr m:val="|"/>
            <m:ctrlPr/>
          </m:dPr>
          <m:e>
            <m:acc>
              <m:accPr>
                <m:chr m:val="⃗"/>
                <m:ctrlPr/>
              </m:accPr>
              <m:e>
                <m:r>
                  <m:t>F</m:t>
                </m:r>
              </m:e>
            </m:acc>
            <m:r>
              <m:t>Δt</m:t>
            </m:r>
          </m:e>
        </m:d>
      </m:oMath>
      <w:r>
        <w:rPr>
          <w:rFonts w:ascii="Meiryo" w:cs="Meiryo" w:eastAsia="Meiryo" w:hAnsi="Meiryo"/>
          <w:sz w:val="19"/>
          <w:szCs w:val="19"/>
        </w:rPr>
        <w:t xml:space="preserve">　←→　／　θ　←→</w:t>
      </w:r>
    </w:p>
    <w:p>
      <w:pPr>
        <w:spacing w:after="40" w:before="110"/>
        <w:jc w:val="center"/>
      </w:pPr>
      <w:r>
        <w:drawing>
          <wp:inline distT="0" distB="0" distL="0" distR="0">
            <wp:extent cx="3619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図5　平面では 3 つのベクトルが三角形になる</w:t>
      </w:r>
    </w:p>
    <w:p>
      <w:pPr>
        <w:spacing w:after="60" w:before="13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読み取れる意図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平面（2次元）では、運動量は大きさだけでなく向きも変わる。</w:t>
      </w:r>
      <m:oMath>
        <m:r>
          <m:t>m</m:t>
        </m:r>
        <m:acc>
          <m:accPr>
            <m:chr m:val="⃗"/>
            <m:ctrlPr/>
          </m:accPr>
          <m:e>
            <m:r>
              <m:t>v</m:t>
            </m:r>
          </m:e>
        </m:acc>
      </m:oMath>
      <w:r>
        <w:rPr>
          <w:rFonts w:ascii="Meiryo" w:cs="Meiryo" w:eastAsia="Meiryo" w:hAnsi="Meiryo"/>
          <w:sz w:val="19"/>
          <w:szCs w:val="19"/>
        </w:rPr>
        <w:t xml:space="preserve">・</w:t>
      </w:r>
      <m:oMath>
        <m:acc>
          <m:accPr>
            <m:chr m:val="⃗"/>
            <m:ctrlPr/>
          </m:accPr>
          <m:e>
            <m:r>
              <m:t>F</m:t>
            </m:r>
          </m:e>
        </m:acc>
        <m:r>
          <m:t>Δt</m:t>
        </m:r>
      </m:oMath>
      <w:r>
        <w:rPr>
          <w:rFonts w:ascii="Meiryo" w:cs="Meiryo" w:eastAsia="Meiryo" w:hAnsi="Meiryo"/>
          <w:sz w:val="19"/>
          <w:szCs w:val="19"/>
        </w:rPr>
        <w:t xml:space="preserve">・</w:t>
      </w:r>
      <m:oMath>
        <m:r>
          <m:t>m</m:t>
        </m:r>
        <m:acc>
          <m:accPr>
            <m:chr m:val="⃗"/>
            <m:ctrlPr/>
          </m:accPr>
          <m:e>
            <m:r>
              <m:t>v</m:t>
            </m:r>
          </m:e>
        </m:acc>
        <m:r>
          <m:t>′</m:t>
        </m:r>
      </m:oMath>
      <w:r>
        <w:rPr>
          <w:rFonts w:ascii="Meiryo" w:cs="Meiryo" w:eastAsia="Meiryo" w:hAnsi="Meiryo"/>
          <w:sz w:val="19"/>
          <w:szCs w:val="19"/>
        </w:rPr>
        <w:t xml:space="preserve"> が三角形になることを図で見せる。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θ と </w:t>
      </w:r>
      <m:oMath>
        <m:d>
          <m:dPr>
            <m:begChr m:val="|"/>
            <m:endChr m:val="|"/>
            <m:ctrlPr/>
          </m:dPr>
          <m:e>
            <m:acc>
              <m:accPr>
                <m:chr m:val="⃗"/>
                <m:ctrlPr/>
              </m:accPr>
              <m:e>
                <m:r>
                  <m:t>F</m:t>
                </m:r>
              </m:e>
            </m:acc>
            <m:r>
              <m:t>Δt</m:t>
            </m:r>
          </m:e>
        </m:d>
      </m:oMath>
      <w:r>
        <w:rPr>
          <w:rFonts w:ascii="Meiryo" w:cs="Meiryo" w:eastAsia="Meiryo" w:hAnsi="Meiryo"/>
          <w:sz w:val="19"/>
          <w:szCs w:val="19"/>
        </w:rPr>
        <w:t xml:space="preserve"> をスライドバーで変えると、はね返る向きが変わる。デフォルトは「θ＝45° で真上にはね返る」大きさにしておく。</w:t>
      </w:r>
    </w:p>
    <w:p>
      <w:pPr>
        <w:pBdr>
          <w:bottom w:val="single" w:color="000000" w:sz="10" w:space="3"/>
        </w:pBdr>
        <w:spacing w:after="120" w:before="2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2　モード2　2物体の弾性衝突</w:t>
      </w:r>
    </w:p>
    <w:p>
      <w:pPr>
        <w:spacing w:after="40" w:before="11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図6　3つのセクションの初期条件（○＝物体、矢印＝速度、左が A・右が B）</w:t>
      </w:r>
    </w:p>
    <w:p>
      <w:pPr>
        <w:spacing w:after="60" w:before="13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メモの文字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モード2．　2物体弾性衝突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セクション1　m ○A（v →）　　m ○B（v ＝ 0）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セクション2　m ○A（2v →）　　m ○B（v →）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セクション3　m ○A（v →）　　2m ○B（v →）　※下の表を参照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（グラフ）v–t 図　A と B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（グラフ）F–t 図　A が受けた力　／　B が受けた力</w:t>
      </w:r>
    </w:p>
    <w:p>
      <w:pPr>
        <w:spacing w:after="40" w:before="110"/>
        <w:jc w:val="center"/>
      </w:pPr>
      <w:r>
        <w:drawing>
          <wp:inline distT="0" distB="0" distL="0" distR="0">
            <wp:extent cx="51435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図7　v–t 図（衝突の瞬間に A と B が入れかわる）と F–t 図（大きさが同じで向きが逆）</w:t>
      </w:r>
    </w:p>
    <w:p>
      <w:pPr>
        <w:spacing w:after="60" w:before="13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読み取れる意図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質量と初速度の組み合わせを3つ用意して、弾性衝突で速度がどう入れかわるかを見くらべさせる。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F–t 図で作用・反作用（大きさが同じで向きが逆）を見せる。したがって2物体が受ける力積も逆向きで、運動量の和は変わらない。</w:t>
      </w:r>
    </w:p>
    <w:p>
      <w:pPr>
        <w:pBdr>
          <w:bottom w:val="single" w:color="000000" w:sz="10" w:space="3"/>
        </w:pBdr>
        <w:spacing w:after="120" w:before="2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3　モード3　2物体の非弾性衝突</w:t>
      </w:r>
    </w:p>
    <w:p>
      <w:pPr>
        <w:spacing w:after="60" w:before="13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メモの文字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モード3　2物体　非弾性衝突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（モード2と同じ3つのセクション）　v → ／ v ＝ 0　　2v → ／ v →　　v → ／ 2m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スライドバーで e をかえる。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p のグラフ</w:t>
      </w:r>
    </w:p>
    <w:p>
      <w:pPr>
        <w:spacing w:after="60" w:before="13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読み取れる意図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反発係数 e をスライドバーで変えて、弾性衝突（e＝1）から完全非弾性衝突（e＝0）まで続けて見せる。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p のグラフ（運動量）で、衝突の前後で2物体の運動量の和が変わらないことを確かめさせる。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初期条件の3つのセクションはモード2と同じなので、同じ設定のまま e だけを変えて見くらべられる。</w:t>
      </w:r>
    </w:p>
    <w:p>
      <w:pPr>
        <w:pBdr>
          <w:bottom w:val="single" w:color="000000" w:sz="10" w:space="3"/>
        </w:pBdr>
        <w:spacing w:after="120" w:before="2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4　読み取り・確認したいところ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4200"/>
      </w:tblGrid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/>
                <w:bCs/>
                <w:sz w:val="16"/>
                <w:szCs w:val="16"/>
              </w:rPr>
              <w:t xml:space="preserve">メモ上の場所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/>
                <w:bCs/>
                <w:sz w:val="16"/>
                <w:szCs w:val="16"/>
              </w:rPr>
              <w:t xml:space="preserve">読み取った内容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/>
                <w:bCs/>
                <w:sz w:val="16"/>
                <w:szCs w:val="16"/>
              </w:rPr>
              <w:t xml:space="preserve">確認したいこと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モード2・3 のセクション3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A（m）も B（2m）も右向きに v と書かれている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このままでは追いつかず衝突しません。B は静止（v＝0）か、左向き（正面衝突）か、A が 2v か、どれでしょうか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モード3 のセクション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モード2と同じ3つを描いたものと読みました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モード3でも3セクションとも同じ初期条件でよいですか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モード1 の F–t 図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「物体1」と書きそえてある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たたかれる物体（1つだけ）の意味として読みました。それでよいですか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モード1 の p–t 図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「右上のスイッチで p–t グラフに切りかえ」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eiryo" w:cs="Meiryo" w:eastAsia="Meiryo" w:hAnsi="Meiryo"/>
                <w:b w:val="false"/>
                <w:bCs w:val="false"/>
                <w:sz w:val="16"/>
                <w:szCs w:val="16"/>
              </w:rPr>
              <w:t xml:space="preserve">v–t 図と p–t 図を切りかえる方式（同じ場所に出す）でよいですか</w:t>
            </w:r>
          </w:p>
        </w:tc>
      </w:tr>
    </w:tbl>
    <w:sectPr>
      <w:pgSz w:w="11906" w:h="16838" w:orient="portrait"/>
      <w:pgMar w:top="700" w:right="780" w:bottom="70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8d9d8e83747e4f5f49310067c569b56bf2e647.png"/><Relationship Id="rId8" Type="http://schemas.openxmlformats.org/officeDocument/2006/relationships/image" Target="media/653df11d7717a27f7878ba85ef3f8dcd0fdf6f5e.png"/><Relationship Id="rId9" Type="http://schemas.openxmlformats.org/officeDocument/2006/relationships/image" Target="media/809af93791fe4562a47b2674f98f6e3465058026.png"/><Relationship Id="rId10" Type="http://schemas.openxmlformats.org/officeDocument/2006/relationships/image" Target="media/af1c9d627d32fd9bf7548d15a053a0c704322f80.png"/><Relationship Id="rId11" Type="http://schemas.openxmlformats.org/officeDocument/2006/relationships/image" Target="media/e669bec3e2145fee27fa6b458c03bdfb1fc6df11.png"/><Relationship Id="rId12" Type="http://schemas.openxmlformats.org/officeDocument/2006/relationships/image" Target="media/9b5141391eef41dcc60b3090967d917d68fef843.png"/><Relationship Id="rId13" Type="http://schemas.openxmlformats.org/officeDocument/2006/relationships/image" Target="media/8f7bd04179c695c5912d5e4b5efc7db0dceb24c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2026-09-20T00:15:25.343Z</dcterms:created>
  <dcterms:modified xsi:type="dcterms:W3CDTF">2026-09-20T00:15:25.343Z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