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eastAsia="Arial"/>
          <w:b/>
          <w:sz w:val="24"/>
        </w:rPr>
        <w:t>سلطنة عمان - وزارة التعليم</w:t>
      </w:r>
    </w:p>
    <w:p>
      <w:pPr>
        <w:jc w:val="center"/>
        <w:bidi/>
      </w:pPr>
      <w:r>
        <w:rPr>
          <w:rFonts w:ascii="Arial" w:hAnsi="Arial" w:eastAsia="Arial"/>
          <w:b/>
          <w:sz w:val="34"/>
        </w:rPr>
        <w:t>تقرير تجميعي لزيارة إشرافية لمعلم مادة العلوم</w:t>
      </w:r>
    </w:p>
    <w:p>
      <w:pPr>
        <w:jc w:val="center"/>
        <w:bidi/>
      </w:pPr>
      <w:r>
        <w:rPr>
          <w:rFonts w:ascii="Arial" w:hAnsi="Arial" w:eastAsia="Arial"/>
          <w:b w:val="0"/>
          <w:sz w:val="20"/>
        </w:rPr>
        <w:t>المدرسة: مدرسة الباسط للتعليم الأساسي | العام الدراسي: 2025/2026</w:t>
      </w:r>
    </w:p>
    <w:p>
      <w:pPr>
        <w:jc w:val="right"/>
        <w:bidi/>
      </w:pPr>
      <w:r>
        <w:rPr>
          <w:rFonts w:ascii="Arial" w:hAnsi="Arial" w:eastAsia="Arial"/>
          <w:b/>
          <w:sz w:val="28"/>
        </w:rPr>
        <w:t>جوانب الإجادة في الأداء وأدلتها</w:t>
      </w:r>
    </w:p>
    <w:p>
      <w:pPr>
        <w:jc w:val="right"/>
        <w:bidi/>
      </w:pPr>
      <w:r>
        <w:rPr>
          <w:rFonts w:ascii="Arial" w:hAnsi="Arial" w:eastAsia="Arial"/>
          <w:b w:val="0"/>
        </w:rPr>
        <w:t>يوظف المعلم المحاكاة الرقمية بفاعلية، حيث تمكن معظم الطلبة من تفسير حركة الماء داخل النبات اعتمادًا على المشاهدة والنقاش، وأجاب 18 طالبًا من أصل 22 إجابة صحيحة في النشاط الختامي.</w:t>
      </w:r>
    </w:p>
    <w:p>
      <w:pPr>
        <w:jc w:val="right"/>
        <w:bidi/>
      </w:pPr>
      <w:r>
        <w:rPr>
          <w:rFonts w:ascii="Arial" w:hAnsi="Arial" w:eastAsia="Arial"/>
          <w:b w:val="0"/>
        </w:rPr>
        <w:t>يدير المعلم زمن التعلم بصورة منظمة من خلال توزيع الحصة بين الاستقصاء والعمل المخبري والتلخيص، مما أتاح لجميع المجموعات إكمال التجربة وتسجيل النتائج.</w:t>
      </w:r>
    </w:p>
    <w:p>
      <w:pPr>
        <w:jc w:val="right"/>
        <w:bidi/>
      </w:pPr>
      <w:r>
        <w:rPr>
          <w:rFonts w:ascii="Arial" w:hAnsi="Arial" w:eastAsia="Arial"/>
          <w:b w:val="0"/>
        </w:rPr>
        <w:t>تظهر أعمال الطلبة تحسنًا في تنظيم البيانات وعرضها، حيث استخدمت أغلب المجموعات جداول واضحة وربطت النتائج بفرضية التجربة.</w:t>
      </w:r>
    </w:p>
    <w:p>
      <w:pPr>
        <w:jc w:val="right"/>
        <w:bidi/>
      </w:pPr>
      <w:r>
        <w:rPr>
          <w:rFonts w:ascii="Arial" w:hAnsi="Arial" w:eastAsia="Arial"/>
          <w:b/>
          <w:sz w:val="28"/>
        </w:rPr>
        <w:t>الجوانب التي تحتاج إلى تطوير في الأداء وأدلتها</w:t>
      </w:r>
    </w:p>
    <w:p>
      <w:pPr>
        <w:jc w:val="right"/>
        <w:bidi/>
      </w:pPr>
      <w:r>
        <w:rPr>
          <w:rFonts w:ascii="Arial" w:hAnsi="Arial" w:eastAsia="Arial"/>
          <w:b w:val="0"/>
        </w:rPr>
        <w:t>يحتاج بعض الطلبة إلى دعم إضافي في صياغة الاستنتاج العلمي وربطه بالأدلة التجريبية؛ إذ اكتفى خمسة طلبة بإعادة وصف النتيجة دون تفسير سببها.</w:t>
      </w:r>
    </w:p>
    <w:p>
      <w:pPr>
        <w:jc w:val="right"/>
        <w:bidi/>
      </w:pPr>
      <w:r>
        <w:rPr>
          <w:rFonts w:ascii="Arial" w:hAnsi="Arial" w:eastAsia="Arial"/>
          <w:b w:val="0"/>
        </w:rPr>
        <w:t>يحتاج التقويم الفردي إلى تنويع أكبر، لأن معظم التحقق من الفهم تم داخل المجموعات ولم يُظهر مستوى كل طالب بصورة مستقلة.</w:t>
      </w:r>
    </w:p>
    <w:p>
      <w:pPr>
        <w:jc w:val="right"/>
        <w:bidi/>
      </w:pPr>
      <w:r>
        <w:rPr>
          <w:rFonts w:ascii="Arial" w:hAnsi="Arial" w:eastAsia="Arial"/>
          <w:b/>
          <w:sz w:val="28"/>
        </w:rPr>
        <w:t>الدعم المقدم</w:t>
      </w:r>
    </w:p>
    <w:p>
      <w:pPr>
        <w:jc w:val="right"/>
        <w:bidi/>
      </w:pPr>
      <w:r>
        <w:rPr>
          <w:rFonts w:ascii="Arial" w:hAnsi="Arial" w:eastAsia="Arial"/>
          <w:b w:val="0"/>
        </w:rPr>
        <w:t>تمت مناقشة بناء مهام قصيرة متدرجة لقياس التفسير والاستنتاج بصورة فردية، مع تقديم نموذج قائمة تقدير مبسطة توضح عناصر الاستنتاج العلمي الجيد.</w:t>
      </w:r>
    </w:p>
    <w:p>
      <w:pPr>
        <w:jc w:val="right"/>
        <w:bidi/>
      </w:pPr>
      <w:r>
        <w:rPr>
          <w:rFonts w:ascii="Arial" w:hAnsi="Arial" w:eastAsia="Arial"/>
          <w:b/>
          <w:sz w:val="28"/>
        </w:rPr>
        <w:t>التوصيات</w:t>
      </w:r>
    </w:p>
    <w:p>
      <w:pPr>
        <w:jc w:val="right"/>
        <w:bidi/>
      </w:pPr>
      <w:r>
        <w:rPr>
          <w:rFonts w:ascii="Arial" w:hAnsi="Arial" w:eastAsia="Arial"/>
          <w:b w:val="0"/>
        </w:rPr>
        <w:t>إعداد نشاط أسبوعي قصير يتطلب تفسير نتيجة تجربة، على أن يُراجع بعد أربعة أسابيع ويقاس النجاح بارتفاع نسبة الطلبة الذين يربطون الاستنتاج بدليل مباشر إلى 80% فأكثر.</w:t>
      </w:r>
    </w:p>
    <w:p>
      <w:pPr>
        <w:jc w:val="right"/>
        <w:bidi/>
      </w:pPr>
      <w:r>
        <w:rPr>
          <w:rFonts w:ascii="Arial" w:hAnsi="Arial" w:eastAsia="Arial"/>
          <w:b w:val="0"/>
        </w:rPr>
        <w:t>تخصيص سؤال ختامي فردي في كل حصة عملية للتحقق من فهم كل طالب قبل الانتقال إلى المفهوم التالي.</w:t>
      </w:r>
    </w:p>
    <w:p>
      <w:pPr>
        <w:jc w:val="right"/>
        <w:bidi/>
      </w:pPr>
      <w:r>
        <w:rPr>
          <w:rFonts w:ascii="Arial" w:hAnsi="Arial" w:eastAsia="Arial"/>
          <w:b/>
          <w:sz w:val="28"/>
        </w:rPr>
        <w:t>ملخص المؤشرات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المجال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المتوسط من 4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ملاحظة مختصرة</w:t>
            </w:r>
          </w:p>
        </w:tc>
      </w:tr>
      <w:tr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التخطيط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3.4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تسلسل واضح وربط بالتعلم القبلي</w:t>
            </w:r>
          </w:p>
        </w:tc>
      </w:tr>
      <w:tr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التدريس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3.2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تنوع جيد في الاستقصاء والعمل المخبري</w:t>
            </w:r>
          </w:p>
        </w:tc>
      </w:tr>
      <w:tr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التقويم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2.3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الحاجة إلى قياس فردي أكثر</w:t>
            </w:r>
          </w:p>
        </w:tc>
      </w:tr>
      <w:tr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تعلم الطلبة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2.8</w:t>
            </w:r>
          </w:p>
        </w:tc>
        <w:tc>
          <w:tcPr>
            <w:tcW w:type="dxa" w:w="3400"/>
            <w:vAlign w:val="center"/>
            <w:bidiVisual/>
          </w:tcPr>
          <w:p>
            <w:pPr>
              <w:jc w:val="right"/>
              <w:bidi/>
            </w:pPr>
            <w:r>
              <w:rPr>
                <w:rFonts w:ascii="Arial" w:hAnsi="Arial" w:eastAsia="Arial"/>
                <w:b w:val="0"/>
                <w:sz w:val="20"/>
              </w:rPr>
              <w:t>تقدم جيد مع ضعف نسبي في التفسير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نموذج تقرير إشرافي سردي - تقارير</dc:title>
  <dc:subject>عينة اختبار لاستقبال Word والتحليل السردي</dc:subject>
  <dc:creator>تقارير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