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1F5F4E"/>
          <w:sz w:val="27"/>
          <w:szCs w:val="27"/>
        </w:rPr>
        <w:t xml:space="preserve">HOMBRO · cara A</w:t>
      </w:r>
      <w:r>
        <w:rPr>
          <w:rFonts w:ascii="Arial" w:cs="Arial" w:eastAsia="Arial" w:hAnsi="Arial"/>
          <w:b w:val="false"/>
          <w:bCs w:val="false"/>
          <w:i/>
          <w:iCs/>
          <w:color w:val="4A6572"/>
          <w:sz w:val="18"/>
          <w:szCs w:val="18"/>
        </w:rPr>
        <w:t xml:space="preserve">   bloque 0 (con el paciente fuera) y bloques 3–4</w:t>
      </w:r>
    </w:p>
    <w:p>
      <w:pPr>
        <w:pBdr>
          <w:bottom w:val="single" w:color="1F5F4E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1F5F4E"/>
          <w:sz w:val="20"/>
          <w:szCs w:val="20"/>
        </w:rPr>
        <w:t xml:space="preserve">BLOQUE 3 · BANDERAS ROJAS — DERIVACIÓN MÉDICA INMEDIATA, SOBRE EL CRIBADO GENERAL DE LA FICHA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1700"/>
        <w:gridCol w:w="5500"/>
        <w:gridCol w:w="3386"/>
      </w:tblGrid>
      <w:tr>
        <w:tc>
          <w:tcPr>
            <w:tcW w:type="dxa" w:w="1700"/>
            <w:shd w:fill="1F5F4E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Sospecha</w:t>
            </w:r>
          </w:p>
        </w:tc>
        <w:tc>
          <w:tcPr>
            <w:tcW w:type="dxa" w:w="5500"/>
            <w:shd w:fill="1F5F4E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Pistas en entrevista y exploración</w:t>
            </w:r>
          </w:p>
        </w:tc>
        <w:tc>
          <w:tcPr>
            <w:tcW w:type="dxa" w:w="3386"/>
            <w:shd w:fill="1F5F4E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Ayuda en consulta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8"/>
                <w:szCs w:val="18"/>
              </w:rPr>
              <w:t xml:space="preserve">Tumor</w:t>
            </w:r>
          </w:p>
        </w:tc>
        <w:tc>
          <w:tcPr>
            <w:tcW w:type="dxa" w:w="5500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Antecedente de cáncer, pérdida de peso inexplicada, dolor sin relación con el movimiento o implacable, dolor nocturno o en reposo con síntomas sistémicos, masa o deformidad inexplicada.</w:t>
            </w:r>
          </w:p>
        </w:tc>
        <w:tc>
          <w:tcPr>
            <w:tcW w:type="dxa" w:w="338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Raros en clavícula distal y acromion; pensar en ellos si hay dolor nocturno + síntomas sistémicos.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8"/>
                <w:szCs w:val="18"/>
              </w:rPr>
              <w:t xml:space="preserve">Infección o sistémico</w:t>
            </w:r>
          </w:p>
        </w:tc>
        <w:tc>
          <w:tcPr>
            <w:tcW w:type="dxa" w:w="5500"/>
            <w:shd w:fill="F6F8F9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Fiebre, sensación de estar enfermo, cambios en la piel (aspecto, erupciones, sudoración), hematomas inexplicados, dolor en otras partes del cuerpo.</w:t>
            </w:r>
          </w:p>
        </w:tc>
        <w:tc>
          <w:tcPr>
            <w:tcW w:type="dxa" w:w="3386"/>
            <w:shd w:fill="F6F8F9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Preguntar siempre por el estado general reciente.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8"/>
                <w:szCs w:val="18"/>
              </w:rPr>
              <w:t xml:space="preserve">Fractura o luxación no reducida</w:t>
            </w:r>
          </w:p>
        </w:tc>
        <w:tc>
          <w:tcPr>
            <w:tcW w:type="dxa" w:w="5500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Traumatismo previo (caída sobre el hombro o el codo), pérdida aguda de movilidad, deformidad, osteoporosis.</w:t>
            </w:r>
          </w:p>
        </w:tc>
        <w:tc>
          <w:tcPr>
            <w:tcW w:type="dxa" w:w="338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 de aprensión ósea; signo de percusión olécranon-manubrio (buen valor para luxación anterior y fracturas de clavícula y húmero).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8"/>
                <w:szCs w:val="18"/>
              </w:rPr>
              <w:t xml:space="preserve">Lesión neurológica</w:t>
            </w:r>
          </w:p>
        </w:tc>
        <w:tc>
          <w:tcPr>
            <w:tcW w:type="dxa" w:w="5500"/>
            <w:shd w:fill="F6F8F9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Déficit motor o sensitivo significativo, atrofia.</w:t>
            </w:r>
          </w:p>
        </w:tc>
        <w:tc>
          <w:tcPr>
            <w:tcW w:type="dxa" w:w="3386"/>
            <w:shd w:fill="F6F8F9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Exploración neurológica breve: sensibilidad, fuerza y reflejos.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8"/>
                <w:szCs w:val="18"/>
              </w:rPr>
              <w:t xml:space="preserve">Origen visceral</w:t>
            </w:r>
          </w:p>
        </w:tc>
        <w:tc>
          <w:tcPr>
            <w:tcW w:type="dxa" w:w="5500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Dolor con esfuerzo cardiorrespiratorio o con síntomas digestivos; referido cardiaco, pulmonar o gastrointestinal a la zona AC.</w:t>
            </w:r>
          </w:p>
        </w:tc>
        <w:tc>
          <w:tcPr>
            <w:tcW w:type="dxa" w:w="338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Preguntar si el dolor aparece al caminar rápido, al subir escaleras o tras comer.</w:t>
            </w:r>
          </w:p>
        </w:tc>
      </w:tr>
    </w:tbl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Descartar antes de clasificar (no son banderas rojas, pero cambian la hipótesis): capsulitis, dolor de origen cervical y dolor secundario a traumatismo. Las banderas rojas se revisan en todas las visitas, no solo en la primera.</w:t>
      </w:r>
    </w:p>
    <w:p>
      <w:pPr>
        <w:pBdr>
          <w:bottom w:val="single" w:color="1F5F4E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1F5F4E"/>
          <w:sz w:val="20"/>
          <w:szCs w:val="20"/>
        </w:rPr>
        <w:t xml:space="preserve">BLOQUE 4 · BISAGRA</w:t>
      </w:r>
    </w:p>
    <w:p>
      <w:pPr>
        <w:pBdr>
          <w:top w:val="single" w:color="1F5F4E" w:sz="10" w:space="5"/>
          <w:bottom w:val="single" w:color="1F5F4E" w:sz="10" w:space="5"/>
          <w:left w:val="single" w:color="1F5F4E" w:sz="10" w:space="5"/>
          <w:right w:val="single" w:color="1F5F4E" w:sz="10" w:space="5"/>
        </w:pBdr>
        <w:spacing w:after="120" w:before="40" w:line="220"/>
      </w:pPr>
      <w:r>
        <w:rPr>
          <w:rFonts w:ascii="Arial" w:cs="Arial" w:eastAsia="Arial" w:hAnsi="Arial"/>
          <w:b/>
          <w:bCs/>
          <w:i w:val="false"/>
          <w:iCs w:val="false"/>
          <w:color w:val="1F5F4E"/>
          <w:sz w:val="21"/>
          <w:szCs w:val="21"/>
        </w:rPr>
        <w:t xml:space="preserve">¿La movilidad pasiva GH, sobre todo la RE, está limitada igual que la activa?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SÍ → capsulitis · artrosis GH · luxación bloqueada      |      NO → el resto de síndromes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Clasifica síndromes, no estructuras: los test de hombro tienen poca precisión, combinarlos apenas la mejora y un hombro irritable da test positivos por casi cualquier causa.</w:t>
      </w:r>
    </w:p>
    <w:p>
      <w:pPr>
        <w:pBdr>
          <w:bottom w:val="single" w:color="1F5F4E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1F5F4E"/>
          <w:sz w:val="20"/>
          <w:szCs w:val="20"/>
        </w:rPr>
        <w:t xml:space="preserve">BLOQUE 4 · ÁRBOL DE DECISIÓN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620"/>
        <w:gridCol w:w="9966"/>
      </w:tblGrid>
      <w:tr>
        <w:tc>
          <w:tcPr>
            <w:tcW w:type="dxa" w:w="62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8"/>
                <w:szCs w:val="18"/>
              </w:rPr>
              <w:t xml:space="preserve">1</w:t>
            </w:r>
          </w:p>
        </w:tc>
        <w:tc>
          <w:tcPr>
            <w:tcW w:type="dxa" w:w="996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¿Hay banderas rojas? → derivación médica.   ·   No → 2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8"/>
                <w:szCs w:val="18"/>
              </w:rPr>
              <w:t xml:space="preserve">2</w:t>
            </w:r>
          </w:p>
        </w:tc>
        <w:tc>
          <w:tcPr>
            <w:tcW w:type="dxa" w:w="996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¿La movilidad pasiva GH (sobre todo la RE) está limitada igual que la activa?   Sí → 2b   ·   No → 3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8"/>
                <w:szCs w:val="18"/>
              </w:rPr>
              <w:t xml:space="preserve">2b</w:t>
            </w:r>
          </w:p>
        </w:tc>
        <w:tc>
          <w:tcPr>
            <w:tcW w:type="dxa" w:w="996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¿Traumatismo previo?   Sí → LUXACIÓN BLOQUEADA o FRACTURA → Rx.</w:t>
            </w:r>
          </w:p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No: mayor edad + crepitación → ARTROSIS GH (Rx) · resto → HOMBRO CONGELADO.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8"/>
                <w:szCs w:val="18"/>
              </w:rPr>
              <w:t xml:space="preserve">3</w:t>
            </w:r>
          </w:p>
        </w:tc>
        <w:tc>
          <w:tcPr>
            <w:tcW w:type="dxa" w:w="996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¿Los test cervicales reproducen el dolor de hombro?   Sí → CERVICOGÉNICO → explorar columna (pueden coexistir)   ·   No → 4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8"/>
                <w:szCs w:val="18"/>
              </w:rPr>
              <w:t xml:space="preserve">4</w:t>
            </w:r>
          </w:p>
        </w:tc>
        <w:tc>
          <w:tcPr>
            <w:tcW w:type="dxa" w:w="996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Movilidad pasiva conservada, ¿qué patrón encaja mejor? Dolor focal AC + palpación + aducción horizontal → ACROMIOCLAVICULAR · episodio concreto o aprensión → INESTABILIDAD · debilidad en RE + cluster positivo → ROTURA DEL MANGUITO · síntomas mecánicos (enganche, bloqueo, chasquido) → SLAP · dolor o debilidad al elevar, reproducido de forma consistente con resistidos → SAPS.</w:t>
            </w:r>
          </w:p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Los cuadros se solapan: busca la hipótesis que explica los síntomas, no un hallazgo.</w:t>
            </w:r>
          </w:p>
        </w:tc>
      </w:tr>
    </w:tbl>
    <w:p>
      <w:pPr>
        <w:pBdr>
          <w:top w:val="single" w:color="BBBBBB" w:sz="4" w:space="3"/>
        </w:pBdr>
        <w:spacing w:after="0" w:before="9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5"/>
          <w:szCs w:val="15"/>
        </w:rPr>
        <w:t xml:space="preserve">Guía clínica de hombro, ap. 1 y 4 · Struyf · Powell y Lewis, cap. 3 — Ficha de primera visita, bloques 0, 3 y 4</w:t>
      </w:r>
    </w:p>
    <w:p>
      <w:pPr>
        <w:pageBreakBefore/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1F5F4E"/>
          <w:sz w:val="27"/>
          <w:szCs w:val="27"/>
        </w:rPr>
        <w:t xml:space="preserve">HOMBRO · cara B</w:t>
      </w:r>
      <w:r>
        <w:rPr>
          <w:rFonts w:ascii="Arial" w:cs="Arial" w:eastAsia="Arial" w:hAnsi="Arial"/>
          <w:b w:val="false"/>
          <w:bCs w:val="false"/>
          <w:i/>
          <w:iCs/>
          <w:color w:val="4A6572"/>
          <w:sz w:val="18"/>
          <w:szCs w:val="18"/>
        </w:rPr>
        <w:t xml:space="preserve">   bloques 4, 5 y 6, ya dentro de una rama del árbol</w:t>
      </w:r>
    </w:p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Antes de explorar: severidad e irritabilidad. Alta → solo bisagra y 1–2 tests, sin final de rango ni repeticiones provocadoras; el resto, en la próxima visita. Máximo 2–3 tests; la palpación va la última.</w:t>
      </w:r>
    </w:p>
    <w:p>
      <w:pPr>
        <w:pBdr>
          <w:bottom w:val="single" w:color="1F5F4E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1F5F4E"/>
          <w:sz w:val="20"/>
          <w:szCs w:val="20"/>
        </w:rPr>
        <w:t xml:space="preserve">BLOQUE 4 Y 5 · FICHAS POR SÍNDROME · EXPLORAR 10′ · ① Y ②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1500"/>
        <w:gridCol w:w="4286"/>
        <w:gridCol w:w="2400"/>
        <w:gridCol w:w="2400"/>
      </w:tblGrid>
      <w:tr>
        <w:tc>
          <w:tcPr>
            <w:tcW w:type="dxa" w:w="1500"/>
            <w:shd w:fill="1F5F4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Síndrome</w:t>
            </w:r>
          </w:p>
        </w:tc>
        <w:tc>
          <w:tcPr>
            <w:tcW w:type="dxa" w:w="4286"/>
            <w:shd w:fill="1F5F4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Explorar · 10′</w:t>
            </w:r>
          </w:p>
        </w:tc>
        <w:tc>
          <w:tcPr>
            <w:tcW w:type="dxa" w:w="2400"/>
            <w:shd w:fill="1F5F4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① Gesto testigo</w:t>
            </w:r>
          </w:p>
        </w:tc>
        <w:tc>
          <w:tcPr>
            <w:tcW w:type="dxa" w:w="2400"/>
            <w:shd w:fill="1F5F4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② Medida objetiva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Dolor subacromial (SAPS)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Descartar primero capsulitis (RE pasiva), origen cervical y dolor postraumático. Dolor o debilidad al elevar el brazo; el dolor debe reproducirse de forma consistente con los test resistidos. Regla clínica: SAPS probable si no hay pérdida de RE pasiva y hay dolor anterior, lesión por sobreesfuerzo y ausencia de síntomas en RE final en abducción.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Elevación en el plano de la escápula o RE resistida que reproduce el dolor → EVA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Fuerza isométrica en RE con dinamómetro si se dispone (brazo junto al cuerpo, codo a 90°) o grados de elevación activa hasta el dolor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Inestabilidad GH</w:t>
            </w:r>
          </w:p>
        </w:tc>
        <w:tc>
          <w:tcPr>
            <w:tcW w:type="dxa" w:w="42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Anterior: aprensión, recolocación y sorpresa (S y E &gt;72 %). Interpretar la aprensión, no el dolor. Posterior: no usar un test aislado; agrupar Jerk, Kim y signo de pinzamiento posterior junto con la historia.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Aprensión de 0 a 10 en abducción + RE; en posterior, la posición provocadora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Fuerza isométrica de RE y RI con dinamómetro si se dispone, siempre en la misma posición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Acromioclavicular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Palpación AC (S 96 %, E 10 %): si no duele, hace poco probable el cuadro; si duele, no lo confirma. Aducción horizontal con el brazo a 90° de flexión (S &gt;67 %, E 79 %). Movilidad pasiva sin restricción; posible escalón.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Aducción horizontal → EVA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Grados de aducción horizontal hasta la aparición del dolor, en la misma posición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Lesión SLAP</w:t>
            </w:r>
          </w:p>
        </w:tc>
        <w:tc>
          <w:tcPr>
            <w:tcW w:type="dxa" w:w="42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Ningún hallazgo físico es específico. Compresión-rotación activa (S 72 %, E 52 %): sirve para sostener la hipótesis, no para confirmarla.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Gesto por encima de la cabeza que reproduce el síntoma mecánico → EVA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Fuerza isométrica de RE y RI con dinamómetro si se dispone, siempre en la misma posición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Rotura del manguito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Inspección: brazo en cabestrillo, escápula en rotación inferior o inclinación anterior, cabeza humeral anteriorizada. Cluster A: arco doloroso + drop arm + debilidad en RE → LR+ 15,6 con los tres positivos. Cluster B: edad &gt;65 + debilidad en RE + dolor nocturno → LR+ 9,8 con los tres positivos.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Elevación activa o arco doloroso → EVA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Fuerza isométrica en RE con dinamómetro si se dispone (brazo junto al cuerpo, codo a 90°) o grados de elevación activa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Hombro congelado</w:t>
            </w:r>
          </w:p>
        </w:tc>
        <w:tc>
          <w:tcPr>
            <w:tcW w:type="dxa" w:w="42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Restricción equivalente de movilidad activa y pasiva: es el dato que más discrimina. La RE se considera la más afectada, pero la RI suele estar muy limitada con el brazo cerca de 90° de abducción. Criterio de Bunker: restricción igual de RE activa y pasiva + Rx esencialmente normal.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Final del rango de RE pasiva → EVA (más útil cuando dolor &gt; rigidez)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 pasiva en grados a 0° de abducción y RI a 90° de abducción (más útil cuando rigidez &gt; dolor)</w:t>
            </w:r>
          </w:p>
        </w:tc>
      </w:tr>
    </w:tbl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No usar en hombro congelado: test específicos de MR, labrum o AC — casi siempre salen positivos al tensar una cápsula sensibilizada. Los test AC por separado son débiles: Paxinos + O’Brien combinados dan S y E &gt;90 % (Ampliar).</w:t>
      </w:r>
    </w:p>
    <w:p>
      <w:pPr>
        <w:pBdr>
          <w:bottom w:val="single" w:color="1F5F4E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1F5F4E"/>
          <w:sz w:val="20"/>
          <w:szCs w:val="20"/>
        </w:rPr>
        <w:t xml:space="preserve">BLOQUE 4 · RIGIDEZ ACTIVA = PASIVA · QUÉ LO DISTINGUE DEL HOMBRO CONGELADO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2000"/>
        <w:gridCol w:w="5400"/>
        <w:gridCol w:w="3186"/>
      </w:tblGrid>
      <w:tr>
        <w:tc>
          <w:tcPr>
            <w:tcW w:type="dxa" w:w="2000"/>
            <w:shd w:fill="1F5F4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Condición</w:t>
            </w:r>
          </w:p>
        </w:tc>
        <w:tc>
          <w:tcPr>
            <w:tcW w:type="dxa" w:w="5400"/>
            <w:shd w:fill="1F5F4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Qué la distingue del hombro congelado</w:t>
            </w:r>
          </w:p>
        </w:tc>
        <w:tc>
          <w:tcPr>
            <w:tcW w:type="dxa" w:w="3186"/>
            <w:shd w:fill="1F5F4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Imagen</w:t>
            </w:r>
          </w:p>
        </w:tc>
      </w:tr>
      <w:tr>
        <w:tc>
          <w:tcPr>
            <w:tcW w:type="dxa" w:w="20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Dolor del manguito</w:t>
            </w:r>
          </w:p>
        </w:tc>
        <w:tc>
          <w:tcPr>
            <w:tcW w:type="dxa" w:w="5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Dolor mecánico provocado por los test de carga del MR; RE y abducción más afectadas; movilidad pasiva no muy limitada.</w:t>
            </w:r>
          </w:p>
        </w:tc>
        <w:tc>
          <w:tcPr>
            <w:tcW w:type="dxa" w:w="31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Eco y RM (cambios también en asintomáticos)</w:t>
            </w:r>
          </w:p>
        </w:tc>
      </w:tr>
      <w:tr>
        <w:tc>
          <w:tcPr>
            <w:tcW w:type="dxa" w:w="20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Acromioclavicular</w:t>
            </w:r>
          </w:p>
        </w:tc>
        <w:tc>
          <w:tcPr>
            <w:tcW w:type="dxa" w:w="5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Dolor localizado y a la palpación sobre la AC, posible escalón, provocación con O’Brien o aducción horizontal; sin restricción pasiva.</w:t>
            </w:r>
          </w:p>
        </w:tc>
        <w:tc>
          <w:tcPr>
            <w:tcW w:type="dxa" w:w="31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Rx y RM (cambios también en asintomáticos)</w:t>
            </w:r>
          </w:p>
        </w:tc>
      </w:tr>
      <w:tr>
        <w:tc>
          <w:tcPr>
            <w:tcW w:type="dxa" w:w="20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Artrosis GH</w:t>
            </w:r>
          </w:p>
        </w:tc>
        <w:tc>
          <w:tcPr>
            <w:tcW w:type="dxa" w:w="5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Mayor edad, dolor progresivo más largo y a menudo menos intenso, crepitación, posible atrofia.</w:t>
            </w:r>
          </w:p>
        </w:tc>
        <w:tc>
          <w:tcPr>
            <w:tcW w:type="dxa" w:w="31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Rx simple la muestra</w:t>
            </w:r>
          </w:p>
        </w:tc>
      </w:tr>
      <w:tr>
        <w:tc>
          <w:tcPr>
            <w:tcW w:type="dxa" w:w="20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Cervicogénico</w:t>
            </w:r>
          </w:p>
        </w:tc>
        <w:tc>
          <w:tcPr>
            <w:tcW w:type="dxa" w:w="5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Dolor reproducible con los test cervicales; sin restricción pasiva GH.</w:t>
            </w:r>
          </w:p>
        </w:tc>
        <w:tc>
          <w:tcPr>
            <w:tcW w:type="dxa" w:w="31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Rx y RM cervical (cambios también en asintomáticos)</w:t>
            </w:r>
          </w:p>
        </w:tc>
      </w:tr>
      <w:tr>
        <w:tc>
          <w:tcPr>
            <w:tcW w:type="dxa" w:w="20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Neoplasia</w:t>
            </w:r>
          </w:p>
        </w:tc>
        <w:tc>
          <w:tcPr>
            <w:tcW w:type="dxa" w:w="5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 presenta parecido; antecedente de cáncer, pérdida de peso, fiebre, dolor implacable.</w:t>
            </w:r>
          </w:p>
        </w:tc>
        <w:tc>
          <w:tcPr>
            <w:tcW w:type="dxa" w:w="31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Rx, gammagrafía, RM</w:t>
            </w:r>
          </w:p>
        </w:tc>
      </w:tr>
      <w:tr>
        <w:tc>
          <w:tcPr>
            <w:tcW w:type="dxa" w:w="20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Luxación bloqueada</w:t>
            </w:r>
          </w:p>
        </w:tc>
        <w:tc>
          <w:tcPr>
            <w:tcW w:type="dxa" w:w="5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Traumatismo previo, cualquier edad, rigidez activa y pasiva similar al congelado.</w:t>
            </w:r>
          </w:p>
        </w:tc>
        <w:tc>
          <w:tcPr>
            <w:tcW w:type="dxa" w:w="31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Rx simple</w:t>
            </w:r>
          </w:p>
        </w:tc>
      </w:tr>
      <w:tr>
        <w:tc>
          <w:tcPr>
            <w:tcW w:type="dxa" w:w="20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Fractura</w:t>
            </w:r>
          </w:p>
        </w:tc>
        <w:tc>
          <w:tcPr>
            <w:tcW w:type="dxa" w:w="5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Traumatismo previo, osteoporosis.</w:t>
            </w:r>
          </w:p>
        </w:tc>
        <w:tc>
          <w:tcPr>
            <w:tcW w:type="dxa" w:w="31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Rx; RM si fractura no desplazada del troquíter</w:t>
            </w:r>
          </w:p>
        </w:tc>
      </w:tr>
    </w:tbl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Los estadios del congelado se solapan: en la práctica es más útil clasificar como dolor &gt; rigidez o rigidez &gt; dolor y ajustar el tratamiento a eso.</w:t>
      </w:r>
    </w:p>
    <w:p>
      <w:pPr>
        <w:pBdr>
          <w:bottom w:val="single" w:color="1F5F4E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1F5F4E"/>
          <w:sz w:val="20"/>
          <w:szCs w:val="20"/>
        </w:rPr>
        <w:t xml:space="preserve">BLOQUE 6 · PARA «A LAS X SESIONES ESPERO Y; SI NO LO VEO → Z»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1600"/>
        <w:gridCol w:w="4746"/>
        <w:gridCol w:w="4240"/>
      </w:tblGrid>
      <w:tr>
        <w:tc>
          <w:tcPr>
            <w:tcW w:type="dxa" w:w="1600"/>
            <w:shd w:fill="1F5F4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Síndrome</w:t>
            </w:r>
          </w:p>
        </w:tc>
        <w:tc>
          <w:tcPr>
            <w:tcW w:type="dxa" w:w="4746"/>
            <w:shd w:fill="1F5F4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Horizonte e imagen</w:t>
            </w:r>
          </w:p>
        </w:tc>
        <w:tc>
          <w:tcPr>
            <w:tcW w:type="dxa" w:w="4240"/>
            <w:shd w:fill="1F5F4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Criterio de derivación o cuidado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SAPS</w:t>
            </w:r>
          </w:p>
        </w:tc>
        <w:tc>
          <w:tcPr>
            <w:tcW w:type="dxa" w:w="47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Una rotura completa del supraespinoso en ecografía aumenta la probabilidad, pero la imagen no mejora la capacidad de descartarlo.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Dolor en reposo: puede indicar bursitis o proceso inflamatorio que tolere mal el movimiento vigoroso → dosificar. La idea de «espacio subacromial estrecho» es controvertida.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Inestabilidad</w:t>
            </w:r>
          </w:p>
        </w:tc>
        <w:tc>
          <w:tcPr>
            <w:tcW w:type="dxa" w:w="474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Diagnóstico sobre todo clínico; la Rx simple puede identificar Bankart y Hill-Sachs. A las 3–4 semanas del episodio agudo hay poco dolor y recuperan movilidad y fuerza.</w:t>
            </w:r>
          </w:p>
        </w:tc>
        <w:tc>
          <w:tcPr>
            <w:tcW w:type="dxa" w:w="424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La MDI se confunde con inestabilidad unidireccional, SAPS, patología discal cervical, plexitis braquial y desfiladero torácico. Tener presente Ehlers-Danlos o Marfan.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Acromioclavicular</w:t>
            </w:r>
          </w:p>
        </w:tc>
        <w:tc>
          <w:tcPr>
            <w:tcW w:type="dxa" w:w="47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Rx y RM muestran patología AC, pero muchos cambios aparecen en personas sin síntomas.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La infiltración ecoguiada tiene efecto diagnóstico y terapéutico: decisión médica.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SLAP</w:t>
            </w:r>
          </w:p>
        </w:tc>
        <w:tc>
          <w:tcPr>
            <w:tcW w:type="dxa" w:w="474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La artro-RM es más precisa que la RM sin contraste.</w:t>
            </w:r>
          </w:p>
        </w:tc>
        <w:tc>
          <w:tcPr>
            <w:tcW w:type="dxa" w:w="424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El SLAP aislado es raro y es frecuente en asintomáticos: tratarlo solo tiene sentido si explica los síntomas. Suele acompañar a rotura del MR, inestabilidad, rotura del bíceps o bursitis.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Rotura del manguito</w:t>
            </w:r>
          </w:p>
        </w:tc>
        <w:tc>
          <w:tcPr>
            <w:tcW w:type="dxa" w:w="47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RM como referencia: rotura completa S 90 %, E 100 %; parcial S 100 %, E 87 %. No se observa curación espontánea y el tamaño puede aumentar en unos 2 años, también en asintomáticas.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Alrededor del 40 % de la población tiene roturas asintomáticas: la rotura no explica por sí sola el dolor. La degeneración crece desde los 50–55 años mientras el dolor no traumático baja a partir de los 60–65.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Hombro congelado</w:t>
            </w:r>
          </w:p>
        </w:tc>
        <w:tc>
          <w:tcPr>
            <w:tcW w:type="dxa" w:w="474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 suele decir que se resuelve en 2–3 años, pero un 41 % sigue con síntomas a los 4 años y la mitad a los 7. No hay evidencia de que avance por estadios hasta curarse sin tratamiento. Rx normal salvo osteopenia o calcificación; RM no necesaria.</w:t>
            </w:r>
          </w:p>
        </w:tc>
        <w:tc>
          <w:tcPr>
            <w:tcW w:type="dxa" w:w="424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Ejercicio en grupo supervisado: mejores resultados que el individual y que el ejercicio en casa. Derivar a psicología si los factores psicosociales superan tu competencia. Baja autoeficacia predice peor evolución. Contralateral en el 6–34 %.</w:t>
            </w:r>
          </w:p>
        </w:tc>
      </w:tr>
    </w:tbl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③ lo elige el paciente; si no sabe: cartera del bolsillo trasero, sujetador o axila contraria (AC); peinarse, vestirse, alcanzar detrás de la espalda (congelado); lanzar (SLAP). Dosis y progresión no están en la guía: son tuyas.</w:t>
      </w:r>
    </w:p>
    <w:p>
      <w:pPr>
        <w:pBdr>
          <w:top w:val="single" w:color="BBBBBB" w:sz="4" w:space="3"/>
        </w:pBdr>
        <w:spacing w:after="0" w:before="9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5"/>
          <w:szCs w:val="15"/>
        </w:rPr>
        <w:t xml:space="preserve">Guía clínica de hombro, ap. 5 y 6 · las filas ① y ② son propuestas de la guía, no proceden del capítulo · cuestionarios validados citados en el ap. 6: SPADI, DASH, ASES, SST, Constant</w:t>
      </w:r>
    </w:p>
    <w:sectPr>
      <w:pgSz w:w="11906" w:h="16838" w:orient="portrait"/>
      <w:pgMar w:top="440" w:right="660" w:bottom="380" w:left="6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Tarjeta hombro · extracto de la guía clínica</dc:title>
  <dc:creator>Edu</dc:creator>
  <cp:lastModifiedBy>Un-named</cp:lastModifiedBy>
  <cp:revision>1</cp:revision>
  <dcterms:created xsi:type="dcterms:W3CDTF">2026-09-22T09:51:33.882Z</dcterms:created>
  <dcterms:modified xsi:type="dcterms:W3CDTF">2026-09-22T09:51:33.882Z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