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F4E5F"/>
          <w:sz w:val="27"/>
          <w:szCs w:val="27"/>
        </w:rPr>
        <w:t xml:space="preserve">LUMBAR · cara A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 0 (con el paciente fuera) y bloques 3–4</w:t>
      </w:r>
    </w:p>
    <w:p>
      <w:pPr>
        <w:pBdr>
          <w:top w:val="single" w:color="000000" w:sz="16" w:space="5"/>
          <w:bottom w:val="single" w:color="000000" w:sz="16" w:space="5"/>
          <w:left w:val="single" w:color="000000" w:sz="16" w:space="5"/>
          <w:right w:val="single" w:color="000000" w:sz="16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URGENCIAS HOY · CAUDA EQUINA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Urgencia quirúrgica: el tiempo hasta la cirugia pesa mas que la duración de los sintomas.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Dolor o debilidad bilateral grave en MMII · parestesia en silla de montar · retención o incontinencia urinaria · incontinencia fecal · menor tono anal.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PREGUNTAR SIEMPRE. Signos más específicos que sensibles; RM de elección. En mayores con estenosis el inicio lento se solapa y pasa desapercibido.</w:t>
      </w:r>
    </w:p>
    <w:p>
      <w:pPr>
        <w:pBdr>
          <w:bottom w:val="single" w:color="1F4E5F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4E5F"/>
          <w:sz w:val="20"/>
          <w:szCs w:val="20"/>
        </w:rPr>
        <w:t xml:space="preserve">BLOQUE 3 · BANDERAS ROJAS DE LA REGIÓN — SOBRE EL CRIBADO GENERAL DE LA FICHA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2200"/>
        <w:gridCol w:w="8386"/>
      </w:tblGrid>
      <w:tr>
        <w:tc>
          <w:tcPr>
            <w:tcW w:type="dxa" w:w="2200"/>
            <w:shd w:fill="1F4E5F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Sospecha</w:t>
            </w:r>
          </w:p>
        </w:tc>
        <w:tc>
          <w:tcPr>
            <w:tcW w:type="dxa" w:w="8386"/>
            <w:shd w:fill="1F4E5F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Pistas en entrevista y exploración</w:t>
            </w:r>
          </w:p>
        </w:tc>
      </w:tr>
      <w:tr>
        <w:tc>
          <w:tcPr>
            <w:tcW w:type="dxa" w:w="22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Cáncer vertebral</w:t>
            </w:r>
          </w:p>
        </w:tc>
        <w:tc>
          <w:tcPr>
            <w:tcW w:type="dxa" w:w="8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Antecedente de cáncer (mama, próstata, pulmón) + fuerte sospecha clínica: lo más preciso. &lt;22 o &gt;55 a; primer episodio &gt;50; pérdida de peso inexplicada (pregunta obligada); dolor nocturno; empeora con el tiempo; malestar general; no cambia con tratamientos previos. &gt;50 + antecedente + pérdida de peso + &gt;1 mes → probabilidad alta. Movimiento lumbar indoloro en todas direcciones: LR− 0,0. Signo de la nalga si hay cáncer pélvico.</w:t>
            </w:r>
          </w:p>
        </w:tc>
      </w:tr>
      <w:tr>
        <w:tc>
          <w:tcPr>
            <w:tcW w:type="dxa" w:w="22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Infección</w:t>
            </w:r>
          </w:p>
        </w:tc>
        <w:tc>
          <w:tcPr>
            <w:tcW w:type="dxa" w:w="8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Fiebre, infección bacteriana o cirugía lumbar recientes, inmunodepresión o VIH, dolor nocturno, empeora con el tiempo, sin respuesta al conservador.</w:t>
            </w:r>
          </w:p>
        </w:tc>
      </w:tr>
      <w:tr>
        <w:tc>
          <w:tcPr>
            <w:tcW w:type="dxa" w:w="22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Fractura osteoporótica o patológica</w:t>
            </w:r>
          </w:p>
        </w:tc>
        <w:tc>
          <w:tcPr>
            <w:tcW w:type="dxa" w:w="8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Mayor de 70, corticoides prolongados, traumatismo grave, contusión o abrasión; mujer mayor con osteoporosis; microtraumatismo súbito o dolor sin causa aparente. Edad + corticoides + traumatismo grave + contusión juntos → fractura por compresión probable en el 90,2 %.</w:t>
            </w:r>
          </w:p>
        </w:tc>
      </w:tr>
      <w:tr>
        <w:tc>
          <w:tcPr>
            <w:tcW w:type="dxa" w:w="22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Fractura sacra por estrés</w:t>
            </w:r>
          </w:p>
        </w:tc>
        <w:tc>
          <w:tcPr>
            <w:tcW w:type="dxa" w:w="8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Mujer deportista con actividad vigorosa y repetitiva, dolor en nalga que reproduce la carrera, dieta pobre, alteraciones menstruales, fracturas de estrés previas, sin respuesta a tratamientos. Signo de la nalga. Puede no verse en RM porque no suele formar callo.</w:t>
            </w:r>
          </w:p>
        </w:tc>
      </w:tr>
      <w:tr>
        <w:tc>
          <w:tcPr>
            <w:tcW w:type="dxa" w:w="22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Espondilolistesis aguda</w:t>
            </w:r>
          </w:p>
        </w:tc>
        <w:tc>
          <w:tcPr>
            <w:tcW w:type="dxa" w:w="8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Joven con lesiones repetidas en hiperextensión, ciática bilateral súbita durante el deporte, dolor en extensión (prono con extensión pasiva bilateral de caderas), sin incontinencia. Palpación de apófisis espinosas: E 87–100 %, S 60–88 %. Para espondilólisis ningún test sirve.</w:t>
            </w:r>
          </w:p>
        </w:tc>
      </w:tr>
      <w:tr>
        <w:tc>
          <w:tcPr>
            <w:tcW w:type="dxa" w:w="22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Espondiloartropatía</w:t>
            </w:r>
          </w:p>
        </w:tc>
        <w:tc>
          <w:tcPr>
            <w:tcW w:type="dxa" w:w="8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Menor de 40, rigidez matutina de más de 1 h que cede con el movimiento, dolor que va y viene sin relación con el esfuerzo, no alivia en supino, dolor alterno en SI, pérdida progresiva de movilidad, sin parestesias. Dactilitis, uveítis, entesitis, psoriasis. Tardío: inclinación lateral limitada a ambos lados.</w:t>
            </w:r>
          </w:p>
        </w:tc>
      </w:tr>
      <w:tr>
        <w:tc>
          <w:tcPr>
            <w:tcW w:type="dxa" w:w="22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Vascular</w:t>
            </w:r>
          </w:p>
        </w:tc>
        <w:tc>
          <w:tcPr>
            <w:tcW w:type="dxa" w:w="8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Aneurisma: dolor en reposo o nocturno, masa abdominal pulsátil, antecedentes familiares cardiovasculares. Claudicación vascular: mayor con factores de riesgo (HTA, diabetes, colesterol, tabaco), dolor al caminar que CEDE AL PARARSE, pie más frío, pulsos distales disminuidos, disfunción eréctil. Leriche (aortoilíaca) imita lumbalgia: nalgas, caderas y muslos.</w:t>
            </w:r>
          </w:p>
        </w:tc>
      </w:tr>
      <w:tr>
        <w:tc>
          <w:tcPr>
            <w:tcW w:type="dxa" w:w="22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Visceral</w:t>
            </w:r>
          </w:p>
        </w:tc>
        <w:tc>
          <w:tcPr>
            <w:tcW w:type="dxa" w:w="8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Litiasis renal: dolor agudo intermitente hacia testículos o labios; con fiebre, infección renal. Digestivo: tras comer, en L1–L2. Genital: lumbosacro y nocturno. También úlcera duodenal, pancreatitis, endometriosis, riñón poliquístico. Denominador común: la exploración mecánica no reproduce los síntomas.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No se descartan por ausencia: el 64 % de los pacientes con cáncer vertebral no tenía ninguna asociada. Se revisan en todas las visitas, no solo en la primera.</w:t>
      </w:r>
    </w:p>
    <w:p>
      <w:pPr>
        <w:pBdr>
          <w:bottom w:val="single" w:color="1F4E5F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4E5F"/>
          <w:sz w:val="20"/>
          <w:szCs w:val="20"/>
        </w:rPr>
        <w:t xml:space="preserve">BLOQUE 4 · BISAGRA</w:t>
      </w:r>
    </w:p>
    <w:p>
      <w:pPr>
        <w:pBdr>
          <w:top w:val="single" w:color="1F4E5F" w:sz="10" w:space="5"/>
          <w:bottom w:val="single" w:color="1F4E5F" w:sz="10" w:space="5"/>
          <w:left w:val="single" w:color="1F4E5F" w:sz="10" w:space="5"/>
          <w:right w:val="single" w:color="1F4E5F" w:sz="10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color w:val="1F4E5F"/>
          <w:sz w:val="21"/>
          <w:szCs w:val="21"/>
        </w:rPr>
        <w:t xml:space="preserve">¿Hay dolor en la pierna con rasgos neuropáticos, claudicación o déficit neurológico?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SÍ → familia radicular · radiculopatía · estenosis      |      NO → inespecífico: disco · faceta · SI · miofascial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Rasgos neuropáticos: quemazón o descargas, «distinto a todo», por debajo de la rodilla, empeora con tos o Valsalva, no encuentra postura, dolor nocturno.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 guía lumbar no nombra una «bisagra» como la RE pasiva del hombro. Ésta es el paso 3 de su árbol, usado como tal.</w:t>
      </w:r>
    </w:p>
    <w:p>
      <w:pPr>
        <w:pBdr>
          <w:bottom w:val="single" w:color="1F4E5F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4E5F"/>
          <w:sz w:val="20"/>
          <w:szCs w:val="20"/>
        </w:rPr>
        <w:t xml:space="preserve">BLOQUE 4 · ÁRBOL DE DECISIÓN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620"/>
        <w:gridCol w:w="9966"/>
      </w:tblGrid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1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¿Signos de cauda equina? → URGENCIAS HOY.   ·   No → 2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2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¿Otras banderas rojas, o síntomas que la exploración mecánica no reproduce? → derivación médica.   ·   No → 3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3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¿Dolor en pierna con rasgos neuropáticos, claudicación o déficit neurológico?   Sí → 3b   ·   No → 4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3b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¿Síntomas al caminar o de pie que mejoran al sentarse o con flexión?   Sí → ESTENOSIS DE CANAL (si mejora solo con pararse → vascular → derivar).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No: rasgos neuropáticos → DOLOR RADICULAR · déficit de fuerza, sensibilidad o reflejos → RADICULOPATÍA. Pueden coexistir.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4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Inespecífico, ¿qué patrón encaja mejor? Línea media + preferencia direccional o centralización → DISCOGÉNICO · paramedial unilateral + dolor en extensión sin pasar la rodilla → FACETARIO · Fortin sin Tuber + no centraliza + Laslett positivo → SACROILÍACA · banda tensa + punto hipersensible + dolor reconocido → MIOFASCIAL.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Revisar siempre cadera y factores contribuyentes.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lumbar, ap. 1 y 4 · Fondevila Suárez, cap. 5 — Ficha de primera visita, bloques 0, 3 y 4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F4E5F"/>
          <w:sz w:val="27"/>
          <w:szCs w:val="27"/>
        </w:rPr>
        <w:t xml:space="preserve">LUMBAR · cara B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bloques 4, 5 y 6, ya dentro de una rama del árbol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Antes de explorar: severidad e irritabilidad. Alta → solo bisagra y 1–2 tests, sin final de rango ni repeticiones provocadoras; el resto, en la próxima visita. Máximo 2 tests; la palpación va la última.</w:t>
      </w:r>
    </w:p>
    <w:p>
      <w:pPr>
        <w:pBdr>
          <w:bottom w:val="single" w:color="1F4E5F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4E5F"/>
          <w:sz w:val="20"/>
          <w:szCs w:val="20"/>
        </w:rPr>
        <w:t xml:space="preserve">BLOQUE 4 Y 5 · FICHAS POR SÍNDROME · EXPLORAR 10′ · ① Y ②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1F4E5F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Síndrome</w:t>
            </w:r>
          </w:p>
        </w:tc>
        <w:tc>
          <w:tcPr>
            <w:tcW w:type="dxa" w:w="4286"/>
            <w:shd w:fill="1F4E5F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Explorar · 10′</w:t>
            </w:r>
          </w:p>
        </w:tc>
        <w:tc>
          <w:tcPr>
            <w:tcW w:type="dxa" w:w="2400"/>
            <w:shd w:fill="1F4E5F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 Gesto testigo</w:t>
            </w:r>
          </w:p>
        </w:tc>
        <w:tc>
          <w:tcPr>
            <w:tcW w:type="dxa" w:w="2400"/>
            <w:shd w:fill="1F4E5F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Dolor radicular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SLR supino (más sensible que sentado): un negativo ayuda a descartar afectación radicular; un positivo por dolor no aporta precisión por sí solo. SLR cruzado (LR aceptables en la mayoría de estudios). Slump: más sensible que el SLR si se sospecha hernia discal.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de pierna en slump o SLR en una posición fija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Ángulo de SLR en supino en que aparece el dolor de pierna (goniómetro o inclinómetro)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Radiculopatía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por miotomas L1–S2: la debilidad es el signo más importante. Reflejos rotuliano (L3–L4) y aquíleo (L5–S1). Sensibilidad: algodón, diapasón sobre prominencia ósea, pinchazo. Comparar siempre con el lado sano.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 hay dolor, el gesto testigo del cuadro que lo acompañe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Repeticiones hasta el fallo (máx. 10) con tempo fijo del miotoma afectado, frente al lado sano, siempre con la misma prueba (p. ej. elevaciones de talón a una pierna para S1, u otra equivalente)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Estenosis de canal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Criterios clínicos: &gt;60 a · test de extensión 30 s positivo · dolor en ambas piernas · alivio al sentarse · alivio al inclinarse o flexionar · SLR negativo. Flexión conservada, extensión limitada. Neurológico habitualmente normal. SLR y slump suelen ser negativos.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Test de extensión de 30 s → EVA del dolor de piernas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Tiempo o distancia de marcha hasta los síntomas, con el mismo recorrido y ritmo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Discogénico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Preferencia direccional: movimientos repetidos al final del rango o posturas mantenidas que alivian de forma duradera o aumentan la movilidad. Centralización: desaparecen los síntomas distales. Observación: espalda plana, shift lateral.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Movimiento o postura provocadora → EVA y localización más distal del dolor, antes y después de los repetidos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Tiempo sentado tolerado hasta la aparición de síntomas, en la misma silla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Facetario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en extensión, inclinación lateral o rotación hacia el lado del dolor. PA sobre la faceta o la transversa; PA unilateral con menos movilidad o más rigidez; espasmo ipsilateral. Ausencia de signos radiculares. Espalda en flexión, sin shift. Los repetidos no suelen aliviar.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Extensión + rotación hacia el lado del dolor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Tiempo de bipedestación o marcha tolerado hasta el dolor, en la misma superficie y al mismo ritmo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Sacroilíaca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Descartar antes origen lumbar buscando preferencia direccional. Cluster de Laslett (buena S y E): no centralización + dolor dominante en SI sin dolor en Tuber + 3 de 5 positivos (distracción, compresión, thrust sacro, thrust de muslo, Gaenslen).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test del cluster más provocador (p. ej. thrust de muslo)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Sit-to-stand 30 s, con silla, brazos y apoyo fijos. En PRPPP: dificultad autoinformada en el ASLR, 0–10 (como la EVA)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Miofascial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Criterios mínimos (la guía no tiene fila «Explorar · 10′» para este síndrome): banda tensa palpable + punto hipersensible dentro de la banda + el paciente reconoce el dolor provocado. Con o sin dolor referido.</w:t>
            </w:r>
          </w:p>
        </w:tc>
        <w:tc>
          <w:tcPr>
            <w:tcW w:type="dxa" w:w="4800"/>
            <w:gridSpan w:val="2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7"/>
                <w:szCs w:val="17"/>
              </w:rPr>
              <w:t xml:space="preserve">La guía no propone ① ni ②. Hallazgo acompañante hasta descartar lo anterior.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No usar: tests de disfunción de movimiento SI — baja fiabilidad y validez. La SI se mueve ~0,2° en carga.</w:t>
      </w:r>
    </w:p>
    <w:p>
      <w:pPr>
        <w:pBdr>
          <w:bottom w:val="single" w:color="1F4E5F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4E5F"/>
          <w:sz w:val="20"/>
          <w:szCs w:val="20"/>
        </w:rPr>
        <w:t xml:space="preserve">BLOQUE 4 · INESPECÍFICO · DISCO / FACETA / SI — TABLA ORIENTATIVA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800"/>
        <w:gridCol w:w="2928"/>
        <w:gridCol w:w="2929"/>
        <w:gridCol w:w="2929"/>
      </w:tblGrid>
      <w:tr>
        <w:tc>
          <w:tcPr>
            <w:tcW w:type="dxa" w:w="1800"/>
            <w:shd w:fill="1F4E5F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928"/>
            <w:shd w:fill="1F4E5F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Discogénico 39–43 %</w:t>
            </w:r>
          </w:p>
        </w:tc>
        <w:tc>
          <w:tcPr>
            <w:tcW w:type="dxa" w:w="2929"/>
            <w:shd w:fill="1F4E5F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Facetario 15–30 %</w:t>
            </w:r>
          </w:p>
        </w:tc>
        <w:tc>
          <w:tcPr>
            <w:tcW w:type="dxa" w:w="2929"/>
            <w:shd w:fill="1F4E5F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Sacroilíaco 15 %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Localización</w:t>
            </w:r>
          </w:p>
        </w:tc>
        <w:tc>
          <w:tcPr>
            <w:tcW w:type="dxa" w:w="2928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Medial (origen discal 73 %; sin dolor medial, 96 % de que no lo sea)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Paramedial, unilateral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Fortin, uni o bilateral; sin dolor en Tuber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Dolor distal</w:t>
            </w:r>
          </w:p>
        </w:tc>
        <w:tc>
          <w:tcPr>
            <w:tcW w:type="dxa" w:w="2928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Puede llegar al pie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Normalmente hasta la rodilla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Puede llegar al pie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Cambia de lado</w:t>
            </w:r>
          </w:p>
        </w:tc>
        <w:tc>
          <w:tcPr>
            <w:tcW w:type="dxa" w:w="2928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Alivio con repetidos</w:t>
            </w:r>
          </w:p>
        </w:tc>
        <w:tc>
          <w:tcPr>
            <w:tcW w:type="dxa" w:w="2928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Sí (ayuda al diagnóstico)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Preliminar: no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Agravantes</w:t>
            </w:r>
          </w:p>
        </w:tc>
        <w:tc>
          <w:tcPr>
            <w:tcW w:type="dxa" w:w="2928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Flexión, levantarse de la silla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Extensión, extensión + rotación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Levantarse de la silla, cluster de Laslett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Observación</w:t>
            </w:r>
          </w:p>
        </w:tc>
        <w:tc>
          <w:tcPr>
            <w:tcW w:type="dxa" w:w="2928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Espalda plana; shift sí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Espalda en flexión, unilateral; shift no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Shift no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Perfil</w:t>
            </w:r>
          </w:p>
        </w:tc>
        <w:tc>
          <w:tcPr>
            <w:tcW w:type="dxa" w:w="2928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Varón, 44 ± 10 a; sin relación con IMC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Mujer, ~60 a; IMC alto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Mujer, ~61 a; IMC bajo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El autor insiste en que esta tabla solo tiene valor indicativo. Valsalva es inespecífico en los tres.</w:t>
      </w:r>
    </w:p>
    <w:p>
      <w:pPr>
        <w:pBdr>
          <w:bottom w:val="single" w:color="1F4E5F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4E5F"/>
          <w:sz w:val="20"/>
          <w:szCs w:val="20"/>
        </w:rPr>
        <w:t xml:space="preserve">BLOQUE 6 · PARA «A LAS X SESIONES ESPERO Y; SI NO LO VEO → Z»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600"/>
        <w:gridCol w:w="4746"/>
        <w:gridCol w:w="4240"/>
      </w:tblGrid>
      <w:tr>
        <w:tc>
          <w:tcPr>
            <w:tcW w:type="dxa" w:w="1600"/>
            <w:shd w:fill="1F4E5F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Síndrome</w:t>
            </w:r>
          </w:p>
        </w:tc>
        <w:tc>
          <w:tcPr>
            <w:tcW w:type="dxa" w:w="4746"/>
            <w:shd w:fill="1F4E5F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Horizonte e imagen</w:t>
            </w:r>
          </w:p>
        </w:tc>
        <w:tc>
          <w:tcPr>
            <w:tcW w:type="dxa" w:w="4240"/>
            <w:shd w:fill="1F4E5F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Criterio de derivación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Radicular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Agudo hasta 3 semanas, subagudo hasta 3 meses. Mejora a los 6 meses en el 88 %, recuperación completa en el 65 %. Hernia reabsorbida en al menos dos tercios. Recurrencia 20 %.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RM si sospecha de patología grave, dolor radicular persistente, déficit grave o progresivo, o más de 1 mes sin remisión con conservador.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Radiculopatía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RM de elección. EMG muy específica, poco sensible; útil si clínica e imagen no casan.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Cirugía: déficit significativo en abductores de cadera, flexores plantares o dorsales del pie, o déficit que progresa pese al conservador.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Estenosis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Historia natural poco conocida. 15 % mejora solo; hasta 20 % controla los síntomas evitando la extensión. Conservador antes que cirugía.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Progresión neurológica rápida o deterioro de la calidad de vida. La cirugía no garantiza recuperar los déficits.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Discogénico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4 años: 13 % mejoró, 7,6 % alivio leve, 12,2 % empeoró, 67,2 % sin cambios. La preferencia direccional predice buen pronóstico.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Componente neuropático o disfuncional → más cronicidad. Con dolor en pierna, diferenciar de dolor radicular.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Facetario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se puede establecer pronóstico: la degeneración aumenta con la edad sin relación causal demostrada con el dolor. La radiología no es criterio diagnóstico; un bloqueo simple alivia definitivamente a menos del 10 %.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Sacroilíaca · PRPPP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PRPPP: &gt;54 % en el último trimestre, 25 % posparto; la mayoría se recupera, 7–20 % persiste. Recaída del 85 % en el siguiente embarazo.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Predicen persistencia: edad, carga de trabajo alta, lumbalgia previa, mala función muscular. Cribar depresión posparto (×3).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5F"/>
                <w:sz w:val="17"/>
                <w:szCs w:val="17"/>
              </w:rPr>
              <w:t xml:space="preserve">Curso general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Mejora sustancial a las 6 semanas, pero el 65–67 % sigue con dolor a los 3 y 12 meses. Mejor predictor: un episodio previo.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Sin banderas rojas, no hay imagen.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③ lo elige el paciente; si no sabe: sentarse, levantarse, caminar, estar de pie, dormir. Dosis y progresión no están en la guía: son tuyas.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lumbar, ap. 5 y 6 · las filas ① y ② son propuestas de la guía, no proceden del capítulo</w:t>
      </w:r>
    </w:p>
    <w:sectPr>
      <w:pgSz w:w="11906" w:h="16838" w:orient="portrait"/>
      <w:pgMar w:top="44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Tarjeta lumbar · extracto de la guía clínica</dc:title>
  <dc:creator>Edu</dc:creator>
  <cp:lastModifiedBy>Un-named</cp:lastModifiedBy>
  <cp:revision>1</cp:revision>
  <dcterms:created xsi:type="dcterms:W3CDTF">2026-09-22T09:51:35.015Z</dcterms:created>
  <dcterms:modified xsi:type="dcterms:W3CDTF">2026-09-22T09:51:35.016Z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