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3 · BANDERAS ROJAS — DERIVACIÓN MÉDICA INMEDIATA,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</w:t>
            </w:r>
          </w:p>
        </w:tc>
        <w:tc>
          <w:tcPr>
            <w:tcW w:type="dxa" w:w="55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  <w:tc>
          <w:tcPr>
            <w:tcW w:type="dxa" w:w="3386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Tumor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Antecedente de cáncer, pérdida de peso inexplicada, dolor sin relación con el movimiento o implacable, dolor nocturno o en reposo con síntomas sistémicos, masa o deformidad inexplicada.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Raros en clavícula distal y acromion; pensar en ellos si hay dolor nocturno + síntomas sistémicos.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Infección o sistémico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Fiebre, sensación de estar enfermo, cambios en la piel (aspecto, erupciones, sudoración), hematomas inexplicados, dolor en otras partes del cuerpo.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siempre por el estado general reciente.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Fractura o luxación no reducida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Traumatismo previo (caída sobre el hombro o el codo), pérdida aguda de movilidad, deformidad, osteoporosis.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de aprensión ósea; signo de percusión olécranon-manubrio (buen valor para luxación anterior y fracturas de clavícula y húmero).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Lesión neurológica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Déficit motor o sensitivo significativo, atrofia.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Exploración neurológica breve: sensibilidad, fuerza y reflejos.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Origen visceral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con esfuerzo cardiorrespiratorio o con síntomas digestivos; referido cardiaco, pulmonar o gastrointestinal a la zona AC.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 el dolor aparece al caminar rápido, al subir escaleras o tras comer.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Descartar antes de clasificar (no son banderas rojas, pero cambian la hipótesis): capsulitis, dolor de origen cervical y dolor secundario a traumatismo. Las banderas rojas se revisan en todas las visitas, no solo en la primera.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BISAGRA</w:t>
      </w:r>
    </w:p>
    <w:p>
      <w:pPr>
        <w:pBdr>
          <w:top w:val="single" w:color="1F5F4E" w:sz="10" w:space="5"/>
          <w:bottom w:val="single" w:color="1F5F4E" w:sz="10" w:space="5"/>
          <w:left w:val="single" w:color="1F5F4E" w:sz="10" w:space="5"/>
          <w:right w:val="single" w:color="1F5F4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1"/>
          <w:szCs w:val="21"/>
        </w:rPr>
        <w:t xml:space="preserve">¿La movilidad pasiva GH, sobre todo la RE, está limitada igual que la activa?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SÍ → capsulitis · artrosis GH · luxación bloqueada      |      NO → el resto de síndromes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Clasifica síndromes, no estructuras: los test de hombro tienen poca precisión, combinarlos apenas la mejora y un hombro irritable da test positivos por casi cualquier causa.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¿Hay banderas rojas? → derivación médica.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¿La movilidad pasiva GH (sobre todo la RE) está limitada igual que la activa?   Sí → 2b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2b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¿Traumatismo previo?   Sí → LUXACIÓN BLOQUEADA o FRACTURA → Rx.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No: mayor edad + crepitación → ARTROSIS GH (Rx) · resto → HOMBRO CONGELADO.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¿Los test cervicales reproducen el dolor de hombro?   Sí → CERVICOGÉNICO → explorar columna (pueden coexistir)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Movilidad pasiva conservada, ¿qué patrón encaja mejor? Dolor focal AC + palpación + aducción horizontal → ACROMIOCLAVICULAR · episodio concreto o aprensión → INESTABILIDAD · debilidad en RE + cluster positivo → ROTURA DEL MANGUITO · síntomas mecánicos (enganche, bloqueo, chasquido) → SLAP · dolor o debilidad al elevar, reproducido de forma consistente con resistidos → SAPS.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cuadros se solapan: busca la hipótesis que explica los síntomas, no un hallazgo.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1 y 4 · Struyf · Powell y Lewis, cap. 3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2–3 tests; la palpación va la última.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2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Explorar · 10′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 Gesto testigo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subacromial (SAPS)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Descartar primero capsulitis (RE pasiva), origen cervical y dolor postraumático. Dolor o debilidad al elevar el brazo; el dolor debe reproducirse de forma consistente con los test resistidos. Regla clínica: SAPS probable si no hay pérdida de RE pasiva y hay dolor anterior, lesión por sobreesfuerzo y ausencia de síntomas en RE final en abducción.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en el plano de la escápula o RE resistida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(brazo junto al cuerpo, codo a 90°) o grados de elevación activa hasta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 GH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Anterior: aprensión, recolocación y sorpresa (S y E &gt;72 %). Interpretar la aprensión, no el dolor. Posterior: no usar un test aislado; agrupar Jerk, Kim y signo de pinzamiento posterior junto con la historia.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Aprensión de 0 a 10 en abducción + RE; en posterior, la posición provocadora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Palpación AC (S 96 %, E 10 %): si no duele, hace poco probable el cuadro; si duele, no lo confirma. Aducción horizontal con el brazo a 90° de flexión (S &gt;67 %, E 79 %). Movilidad pasiva sin restricción; posible escalón.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Aducción horizontal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Grados de aducción horizontal hasta la aparición del dolor,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Lesión SLAP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Ningún hallazgo físico es específico. Compresión-rotación activa (S 72 %, E 52 %): sirve para sostener la hipótesis, no para confirmarla.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Gesto por encima de la cabeza que reproduce el síntoma mecánico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Inspección: brazo en cabestrillo, escápula en rotación inferior o inclinación anterior, cabeza humeral anteriorizada. Cluster A: arco doloroso + drop arm + debilidad en RE → LR+ 15,6 con los tres positivos. Cluster B: edad &gt;65 + debilidad en RE + dolor nocturno → LR+ 9,8 con los tres positivos.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activa o arco doloroso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(brazo junto al cuerpo, codo a 90°) o grados de elevación activa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Restricción equivalente de movilidad activa y pasiva: es el dato que más discrimina. La RE se considera la más afectada, pero la RI suele estar muy limitada con el brazo cerca de 90° de abducción. Criterio de Bunker: restricción igual de RE activa y pasiva + Rx esencialmente normal.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Final del rango de RE pasiva → EVA (más útil cuando dolor &gt; rigidez)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 pasiva en grados a 0° de abducción y RI a 90° de abducción (más útil cuando rigidez &gt; dolor)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usar en hombro congelado: test específicos de MR, labrum o AC — casi siempre salen positivos al tensar una cápsula sensibilizada. Los test AC por separado son débiles: Paxinos + O’Brien combinados dan S y E &gt;90 % (Ampliar).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RIGIDEZ ACTIVA = PASIVA · QUÉ LO DISTINGUE DEL HOMBRO CONGELADO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2000"/>
        <w:gridCol w:w="5400"/>
        <w:gridCol w:w="3186"/>
      </w:tblGrid>
      <w:tr>
        <w:tc>
          <w:tcPr>
            <w:tcW w:type="dxa" w:w="20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5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la distingue del hombro congelado</w:t>
            </w:r>
          </w:p>
        </w:tc>
        <w:tc>
          <w:tcPr>
            <w:tcW w:type="dxa" w:w="31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Imagen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del manguito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mecánico provocado por los test de carga del MR; RE y abducción más afectadas; movilidad pasiva no muy limitada.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Eco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localizado y a la palpación sobre la AC, posible escalón, provocación con O’Brien o aducción horizontal; sin restricción pasiva.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Artrosis GH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Mayor edad, dolor progresivo más largo y a menudo menos intenso, crepitación, posible atrofia.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 la muestra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Cervicogénico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reproducible con los test cervicales; sin restricción pasiva GH.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cervical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Neoplasia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presenta parecido; antecedente de cáncer, pérdida de peso, fiebre, dolor implacable.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Rx, gammagrafía, RM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Luxación bloqueada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cualquier edad, rigidez activa y pasiva similar al congelado.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Fractura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osteoporosis.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Rx; RM si fractura no desplazada del troquíter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Los estadios del congelado se solapan: en la práctica es más útil clasificar como dolor &gt; rigidez o rigidez &gt; dolor y ajustar el tratamiento a eso.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74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Horizonte e imagen</w:t>
            </w:r>
          </w:p>
        </w:tc>
        <w:tc>
          <w:tcPr>
            <w:tcW w:type="dxa" w:w="424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SAPS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Una rotura completa del supraespinoso en ecografía aumenta la probabilidad, pero la imagen no mejora la capacidad de descartarlo.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en reposo: puede indicar bursitis o proceso inflamatorio que tolere mal el movimiento vigoroso → dosificar. La idea de «espacio subacromial estrecho» es controvertida.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Diagnóstico sobre todo clínico; la Rx simple puede identificar Bankart y Hill-Sachs. A las 3–4 semanas del episodio agudo hay poco dolor y recuperan movilidad y fuerza.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MDI se confunde con inestabilidad unidireccional, SAPS, patología discal cervical, plexitis braquial y desfiladero torácico. Tener presente Ehlers-Danlos o Marfan.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muestran patología AC, pero muchos cambios aparecen en personas sin síntomas.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infiltración ecoguiada tiene efecto diagnóstico y terapéutico: decisión médica.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SLAP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artro-RM es más precisa que la RM sin contraste.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SLAP aislado es raro y es frecuente en asintomáticos: tratarlo solo tiene sentido si explica los síntomas. Suele acompañar a rotura del MR, inestabilidad, rotura del bíceps o bursitis.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RM como referencia: rotura completa S 90 %, E 100 %; parcial S 100 %, E 87 %. No se observa curación espontánea y el tamaño puede aumentar en unos 2 años, también en asintomáticas.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Alrededor del 40 % de la población tiene roturas asintomáticas: la rotura no explica por sí sola el dolor. La degeneración crece desde los 50–55 años mientras el dolor no traumático baja a partir de los 60–65.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suele decir que se resuelve en 2–3 años, pero un 41 % sigue con síntomas a los 4 años y la mitad a los 7. No hay evidencia de que avance por estadios hasta curarse sin tratamiento. Rx normal salvo osteopenia o calcificación; RM no necesaria.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Ejercicio en grupo supervisado: mejores resultados que el individual y que el ejercicio en casa. Derivar a psicología si los factores psicosociales superan tu competencia. Baja autoeficacia predice peor evolución. Contralateral en el 6–34 %.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paciente; si no sabe: cartera del bolsillo trasero, sujetador o axila contraria (AC); peinarse, vestirse, alcanzar detrás de la espalda (congelado); lanzar (SLAP).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5 y 6 · las filas ① y ② son propuestas de la guía, no proceden del capítulo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hombro · extracto de la guía clínica</dc:title>
  <dc:creator>Edu</dc:creator>
  <cp:lastModifiedBy>Un-named</cp:lastModifiedBy>
  <cp:revision>1</cp:revision>
  <dcterms:created xsi:type="dcterms:W3CDTF">2026-09-18T20:34:53.961Z</dcterms:created>
  <dcterms:modified xsi:type="dcterms:W3CDTF">2026-09-18T20:34:53.969Z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