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7"/>
          <w:szCs w:val="27"/>
        </w:rPr>
        <w:t xml:space="preserve">HOMBRO · cara A</w:t>
      </w:r>
      <w:r>
        <w:rPr>
          <w:rFonts w:ascii="Arial" w:cs="Arial" w:eastAsia="Arial" w:hAnsi="Arial"/>
          <w:b w:val="false"/>
          <w:bCs w:val="false"/>
          <w:i/>
          <w:iCs/>
          <w:color w:val="4A6572"/>
          <w:sz w:val="18"/>
          <w:szCs w:val="18"/>
        </w:rPr>
        <w:t xml:space="preserve">   bloque 0 (con el paciente fuera) y bloques 3–4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3 · BANDERAS ROJAS — DERIVACIÓN MÉDICA INMEDIATA, SOBRE EL CRIBADO GENERAL DE LA FICHA</w:t>
      </w:r>
    </w:p>
    <w:tbl>
      <w:tblPr>
        <w:tblW w:type="dxa" w:w="10586"/>
        <w:tblBorders>
          <w:top w:val="single" w:color="C9D1D6" w:sz="4"/>
          <w:left w:val="single" w:color="C9D1D6" w:sz="4"/>
          <w:bottom w:val="single" w:color="C9D1D6" w:sz="4"/>
          <w:right w:val="single" w:color="C9D1D6" w:sz="4"/>
          <w:insideH w:val="single" w:color="C9D1D6" w:sz="4"/>
          <w:insideV w:val="single" w:color="C9D1D6" w:sz="4"/>
        </w:tblBorders>
      </w:tblPr>
      <w:tblGrid>
        <w:gridCol w:w="1700"/>
        <w:gridCol w:w="5500"/>
        <w:gridCol w:w="3386"/>
      </w:tblGrid>
      <w:tr>
        <w:tc>
          <w:tcPr>
            <w:tcW w:type="dxa" w:w="1700"/>
            <w:shd w:fill="1F5F4E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Sospecha</w:t>
            </w:r>
          </w:p>
        </w:tc>
        <w:tc>
          <w:tcPr>
            <w:tcW w:type="dxa" w:w="5500"/>
            <w:shd w:fill="1F5F4E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Pistas en entrevista y exploración</w:t>
            </w:r>
          </w:p>
        </w:tc>
        <w:tc>
          <w:tcPr>
            <w:tcW w:type="dxa" w:w="3386"/>
            <w:shd w:fill="1F5F4E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7"/>
                <w:szCs w:val="17"/>
              </w:rPr>
              <w:t xml:space="preserve">Ayuda en consulta</w:t>
            </w:r>
          </w:p>
        </w:tc>
      </w:tr>
      <w:tr>
        <w:tc>
          <w:tcPr>
            <w:tcW w:type="dxa" w:w="170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Tumor</w:t>
            </w:r>
          </w:p>
        </w:tc>
        <w:tc>
          <w:tcPr>
            <w:tcW w:type="dxa" w:w="55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Antecedente de cáncer, pérdida de peso inexplicada, dolor sin relación con el movimiento o implacable, dolor nocturno o en reposo con síntomas sistémicos, masa o deformidad inexplicada.</w:t>
            </w:r>
          </w:p>
        </w:tc>
        <w:tc>
          <w:tcPr>
            <w:tcW w:type="dxa" w:w="338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Raros en clavícula distal y acromion; pensar en ellos si hay dolor nocturno + síntomas sistémicos.</w:t>
            </w:r>
          </w:p>
        </w:tc>
      </w:tr>
      <w:tr>
        <w:tc>
          <w:tcPr>
            <w:tcW w:type="dxa" w:w="170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Infección o sistémico</w:t>
            </w:r>
          </w:p>
        </w:tc>
        <w:tc>
          <w:tcPr>
            <w:tcW w:type="dxa" w:w="5500"/>
            <w:shd w:fill="F6F8F9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Fiebre, sensación de estar enfermo, cambios en la piel (aspecto, erupciones, sudoración), hematomas inexplicados, dolor en otras partes del cuerpo.</w:t>
            </w:r>
          </w:p>
        </w:tc>
        <w:tc>
          <w:tcPr>
            <w:tcW w:type="dxa" w:w="3386"/>
            <w:shd w:fill="F6F8F9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Preguntar siempre por el estado general reciente.</w:t>
            </w:r>
          </w:p>
        </w:tc>
      </w:tr>
      <w:tr>
        <w:tc>
          <w:tcPr>
            <w:tcW w:type="dxa" w:w="170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Fractura o luxación no reducida</w:t>
            </w:r>
          </w:p>
        </w:tc>
        <w:tc>
          <w:tcPr>
            <w:tcW w:type="dxa" w:w="55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Traumatismo previo (caída sobre el hombro o el codo), pérdida aguda de movilidad, deformidad, osteoporosis.</w:t>
            </w:r>
          </w:p>
        </w:tc>
        <w:tc>
          <w:tcPr>
            <w:tcW w:type="dxa" w:w="338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Test de aprensión ósea; signo de percusión olécranon-manubrio (buen valor para luxación anterior y fracturas de clavícula y húmero).</w:t>
            </w:r>
          </w:p>
        </w:tc>
      </w:tr>
      <w:tr>
        <w:tc>
          <w:tcPr>
            <w:tcW w:type="dxa" w:w="170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Lesión neurológica</w:t>
            </w:r>
          </w:p>
        </w:tc>
        <w:tc>
          <w:tcPr>
            <w:tcW w:type="dxa" w:w="5500"/>
            <w:shd w:fill="F6F8F9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Déficit motor o sensitivo significativo, atrofia.</w:t>
            </w:r>
          </w:p>
        </w:tc>
        <w:tc>
          <w:tcPr>
            <w:tcW w:type="dxa" w:w="3386"/>
            <w:shd w:fill="F6F8F9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Exploración neurológica breve: sensibilidad, fuerza y reflejos.</w:t>
            </w:r>
          </w:p>
        </w:tc>
      </w:tr>
      <w:tr>
        <w:tc>
          <w:tcPr>
            <w:tcW w:type="dxa" w:w="170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Origen visceral</w:t>
            </w:r>
          </w:p>
        </w:tc>
        <w:tc>
          <w:tcPr>
            <w:tcW w:type="dxa" w:w="5500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Dolor con esfuerzo cardiorrespiratorio o con síntomas digestivos; referido cardiaco, pulmonar o gastrointestinal a la zona AC.</w:t>
            </w:r>
          </w:p>
        </w:tc>
        <w:tc>
          <w:tcPr>
            <w:tcW w:type="dxa" w:w="338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Preguntar si el dolor aparece al caminar rápido, al subir escaleras o tras comer.</w:t>
            </w:r>
          </w:p>
        </w:tc>
      </w:tr>
    </w:tbl>
    <w:p>
      <w:pPr>
        <w:spacing w:after="24" w:before="30" w:line="186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Descartar antes de clasificar (no son banderas rojas, pero cambian la hipótesis): capsulitis, dolor de origen cervical y dolor secundario a traumatismo. Las banderas rojas se revisan en todas las visitas, no solo en la primera.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4 · BISAGRA</w:t>
      </w:r>
    </w:p>
    <w:p>
      <w:pPr>
        <w:pBdr>
          <w:top w:val="single" w:color="1F5F4E" w:sz="10" w:space="5"/>
          <w:bottom w:val="single" w:color="1F5F4E" w:sz="10" w:space="5"/>
          <w:left w:val="single" w:color="1F5F4E" w:sz="10" w:space="5"/>
          <w:right w:val="single" w:color="1F5F4E" w:sz="10" w:space="5"/>
        </w:pBdr>
        <w:spacing w:after="120" w:before="40" w:line="220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1"/>
          <w:szCs w:val="21"/>
        </w:rPr>
        <w:t xml:space="preserve">¿La movilidad pasiva GH, sobre todo la RE, está limitada igual que la activa?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9"/>
          <w:szCs w:val="19"/>
        </w:rPr>
        <w:t xml:space="preserve">SÍ → capsulitis · artrosis GH · luxación bloqueada      |      NO → el resto de síndromes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6"/>
          <w:szCs w:val="16"/>
        </w:rPr>
        <w:t xml:space="preserve">Clasifica síndromes, no estructuras: los test de hombro tienen poca precisión, combinarlos apenas la mejora y un hombro irritable da test positivos por casi cualquier causa.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4 · ÁRBOL DE DECISIÓN</w:t>
      </w:r>
    </w:p>
    <w:tbl>
      <w:tblPr>
        <w:tblW w:type="dxa" w:w="10586"/>
        <w:tblBorders>
          <w:top w:val="single" w:color="C9D1D6" w:sz="4"/>
          <w:left w:val="single" w:color="C9D1D6" w:sz="4"/>
          <w:bottom w:val="single" w:color="C9D1D6" w:sz="4"/>
          <w:right w:val="single" w:color="C9D1D6" w:sz="4"/>
          <w:insideH w:val="single" w:color="C9D1D6" w:sz="4"/>
          <w:insideV w:val="single" w:color="C9D1D6" w:sz="4"/>
        </w:tblBorders>
      </w:tblPr>
      <w:tblGrid>
        <w:gridCol w:w="620"/>
        <w:gridCol w:w="9966"/>
      </w:tblGrid>
      <w:tr>
        <w:tc>
          <w:tcPr>
            <w:tcW w:type="dxa" w:w="62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1</w:t>
            </w:r>
          </w:p>
        </w:tc>
        <w:tc>
          <w:tcPr>
            <w:tcW w:type="dxa" w:w="996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¿Hay banderas rojas? → derivación médica.   ·   No → 2</w:t>
            </w:r>
          </w:p>
        </w:tc>
      </w:tr>
      <w:tr>
        <w:tc>
          <w:tcPr>
            <w:tcW w:type="dxa" w:w="62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2</w:t>
            </w:r>
          </w:p>
        </w:tc>
        <w:tc>
          <w:tcPr>
            <w:tcW w:type="dxa" w:w="996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¿La movilidad pasiva GH (sobre todo la RE) está limitada igual que la activa?   Sí → 2b   ·   No → 3</w:t>
            </w:r>
          </w:p>
        </w:tc>
      </w:tr>
      <w:tr>
        <w:tc>
          <w:tcPr>
            <w:tcW w:type="dxa" w:w="62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2b</w:t>
            </w:r>
          </w:p>
        </w:tc>
        <w:tc>
          <w:tcPr>
            <w:tcW w:type="dxa" w:w="996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¿Traumatismo previo?   Sí → LUXACIÓN BLOQUEADA o FRACTURA → Rx.</w:t>
            </w:r>
          </w:p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No: mayor edad + crepitación → ARTROSIS GH (Rx) · resto → HOMBRO CONGELADO.</w:t>
            </w:r>
          </w:p>
        </w:tc>
      </w:tr>
      <w:tr>
        <w:tc>
          <w:tcPr>
            <w:tcW w:type="dxa" w:w="62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3</w:t>
            </w:r>
          </w:p>
        </w:tc>
        <w:tc>
          <w:tcPr>
            <w:tcW w:type="dxa" w:w="996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¿Los test cervicales reproducen el dolor de hombro?   Sí → CERVICOGÉNICO → explorar columna (pueden coexistir)   ·   No → 4</w:t>
            </w:r>
          </w:p>
        </w:tc>
      </w:tr>
      <w:tr>
        <w:tc>
          <w:tcPr>
            <w:tcW w:type="dxa" w:w="620"/>
            <w:shd w:fill="EEF3F5" w:color="auto" w:val="clear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8"/>
                <w:szCs w:val="18"/>
              </w:rPr>
              <w:t xml:space="preserve">4</w:t>
            </w:r>
          </w:p>
        </w:tc>
        <w:tc>
          <w:tcPr>
            <w:tcW w:type="dxa" w:w="9966"/>
            <w:tcMar>
              <w:top w:type="dxa" w:w="42"/>
              <w:left w:type="dxa" w:w="80"/>
              <w:bottom w:type="dxa" w:w="42"/>
              <w:right w:type="dxa" w:w="80"/>
            </w:tcMar>
            <w:vAlign w:val="top"/>
          </w:tcPr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Movilidad pasiva conservada, ¿qué patrón encaja mejor? Dolor focal AC + palpación + aducción horizontal → ACROMIOCLAVICULAR · episodio concreto o aprensión → INESTABILIDAD · debilidad en RE + cluster positivo → ROTURA DEL MANGUITO · síntomas mecánicos (enganche, bloqueo, chasquido) → SLAP · dolor o debilidad al elevar, reproducido de forma consistente con resistidos → SAPS.</w:t>
            </w:r>
          </w:p>
          <w:p>
            <w:pPr>
              <w:spacing w:after="0" w:line="22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8"/>
                <w:szCs w:val="18"/>
              </w:rPr>
              <w:t xml:space="preserve">Los cuadros se solapan: busca la hipótesis que explica los síntomas, no un hallazgo.</w:t>
            </w:r>
          </w:p>
        </w:tc>
      </w:tr>
    </w:tbl>
    <w:p>
      <w:pPr>
        <w:pBdr>
          <w:top w:val="single" w:color="BBBBBB" w:sz="4" w:space="3"/>
        </w:pBdr>
        <w:spacing w:after="0" w:before="90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15"/>
          <w:szCs w:val="15"/>
        </w:rPr>
        <w:t xml:space="preserve">Guía clínica de hombro, ap. 1 y 4 · Struyf · Powell y Lewis, cap. 3 — Ficha de primera visita, bloques 0, 3 y 4</w:t>
      </w:r>
    </w:p>
    <w:p>
      <w:pPr>
        <w:pageBreakBefore/>
        <w:spacing w:after="100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7"/>
          <w:szCs w:val="27"/>
        </w:rPr>
        <w:t xml:space="preserve">HOMBRO · cara B</w:t>
      </w:r>
      <w:r>
        <w:rPr>
          <w:rFonts w:ascii="Arial" w:cs="Arial" w:eastAsia="Arial" w:hAnsi="Arial"/>
          <w:b w:val="false"/>
          <w:bCs w:val="false"/>
          <w:i/>
          <w:iCs/>
          <w:color w:val="4A6572"/>
          <w:sz w:val="18"/>
          <w:szCs w:val="18"/>
        </w:rPr>
        <w:t xml:space="preserve">   bloques 4, 5 y 6, ya dentro de una rama del árbol</w:t>
      </w:r>
    </w:p>
    <w:p>
      <w:pPr>
        <w:spacing w:after="24" w:before="30" w:line="186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Antes de explorar: severidad e irritabilidad. Alta → solo bisagra y 1–2 tests, sin final de rango ni repeticiones provocadoras; el resto, en la próxima visita. Máximo 2–3 tests; la palpación va la última.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4 Y 5 · FICHAS POR SÍNDROME · EXPLORAR 10′ · ① Y ②</w:t>
      </w:r>
    </w:p>
    <w:tbl>
      <w:tblPr>
        <w:tblW w:type="dxa" w:w="10586"/>
        <w:tblBorders>
          <w:top w:val="single" w:color="C9D1D6" w:sz="4"/>
          <w:left w:val="single" w:color="C9D1D6" w:sz="4"/>
          <w:bottom w:val="single" w:color="C9D1D6" w:sz="4"/>
          <w:right w:val="single" w:color="C9D1D6" w:sz="4"/>
          <w:insideH w:val="single" w:color="C9D1D6" w:sz="4"/>
          <w:insideV w:val="single" w:color="C9D1D6" w:sz="4"/>
        </w:tblBorders>
      </w:tblPr>
      <w:tblGrid>
        <w:gridCol w:w="1500"/>
        <w:gridCol w:w="4286"/>
        <w:gridCol w:w="2400"/>
        <w:gridCol w:w="2400"/>
      </w:tblGrid>
      <w:tr>
        <w:tc>
          <w:tcPr>
            <w:tcW w:type="dxa" w:w="15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Síndrome</w:t>
            </w:r>
          </w:p>
        </w:tc>
        <w:tc>
          <w:tcPr>
            <w:tcW w:type="dxa" w:w="4286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Explorar · 10′</w:t>
            </w:r>
          </w:p>
        </w:tc>
        <w:tc>
          <w:tcPr>
            <w:tcW w:type="dxa" w:w="24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① Gesto testigo</w:t>
            </w:r>
          </w:p>
        </w:tc>
        <w:tc>
          <w:tcPr>
            <w:tcW w:type="dxa" w:w="24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② Medida objetiva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Dolor subacromial (SAPS)</w:t>
            </w:r>
          </w:p>
        </w:tc>
        <w:tc>
          <w:tcPr>
            <w:tcW w:type="dxa" w:w="42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Descartar primero capsulitis (RE pasiva), origen cervical y dolor postraumático. Dolor o debilidad al elevar el brazo; el dolor debe reproducirse de forma consistente con los test resistidos. Regla clínica: SAPS probable si no hay pérdida de RE pasiva y hay dolor anterior, lesión por sobreesfuerzo y ausencia de síntomas en RE final en abducción.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Elevación en el plano de la escápula o RE resistida que reproduce el dolor → EVA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Fuerza isométrica en RE con dinamómetro si se dispone (brazo junto al cuerpo, codo a 90°) o grados de elevación activa hasta el dolor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Inestabilidad GH</w:t>
            </w:r>
          </w:p>
        </w:tc>
        <w:tc>
          <w:tcPr>
            <w:tcW w:type="dxa" w:w="42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Anterior: aprensión, recolocación y sorpresa (S y E &gt;72 %). Interpretar la aprensión, no el dolor. Posterior: no usar un test aislado; agrupar Jerk, Kim y signo de pinzamiento posterior junto con la historia.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Aprensión de 0 a 10 en abducción + RE; en posterior, la posición provocadora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Fuerza isométrica de RE y RI con dinamómetro si se dispone, siempre en la misma posición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Acromioclavicular</w:t>
            </w:r>
          </w:p>
        </w:tc>
        <w:tc>
          <w:tcPr>
            <w:tcW w:type="dxa" w:w="42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Palpación AC (S 96 %, E 10 %): si no duele, hace poco probable el cuadro; si duele, no lo confirma. Aducción horizontal con el brazo a 90° de flexión (S &gt;67 %, E 79 %). Movilidad pasiva sin restricción; posible escalón.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Aducción horizontal → EVA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Grados de aducción horizontal hasta la aparición del dolor, en la misma posición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Lesión SLAP</w:t>
            </w:r>
          </w:p>
        </w:tc>
        <w:tc>
          <w:tcPr>
            <w:tcW w:type="dxa" w:w="42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Ningún hallazgo físico es específico. Compresión-rotación activa (S 72 %, E 52 %): sirve para sostener la hipótesis, no para confirmarla.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Gesto por encima de la cabeza que reproduce el síntoma mecánico → EVA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Fuerza isométrica de RE y RI con dinamómetro si se dispone, siempre en la misma posición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Rotura del manguito</w:t>
            </w:r>
          </w:p>
        </w:tc>
        <w:tc>
          <w:tcPr>
            <w:tcW w:type="dxa" w:w="42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Inspección: brazo en cabestrillo, escápula en rotación inferior o inclinación anterior, cabeza humeral anteriorizada. Cluster A: arco doloroso + drop arm + debilidad en RE → LR+ 15,6 con los tres positivos. Cluster B: edad ≥65 + debilidad en RE (± dolor nocturno) → LR+ 9,8 en la derivación, 5,0 en la validación.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Elevación activa o arco doloroso → EVA</w:t>
            </w:r>
          </w:p>
        </w:tc>
        <w:tc>
          <w:tcPr>
            <w:tcW w:type="dxa" w:w="2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Fuerza isométrica en RE con dinamómetro si se dispone (brazo junto al cuerpo, codo a 90°) o grados de elevación activa</w:t>
            </w:r>
          </w:p>
        </w:tc>
      </w:tr>
      <w:tr>
        <w:tc>
          <w:tcPr>
            <w:tcW w:type="dxa" w:w="15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Hombro congelado</w:t>
            </w:r>
          </w:p>
        </w:tc>
        <w:tc>
          <w:tcPr>
            <w:tcW w:type="dxa" w:w="42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Restricción equivalente de movilidad activa y pasiva: es el dato que más discrimina. La RE se considera la más afectada, pero la RI suele estar muy limitada con el brazo cerca de 90° de abducción. Criterio de Bunker: restricción igual de RE activa y pasiva + Rx esencialmente normal.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Final del rango de RE pasiva → EVA (más útil cuando dolor &gt; rigidez)</w:t>
            </w:r>
          </w:p>
        </w:tc>
        <w:tc>
          <w:tcPr>
            <w:tcW w:type="dxa" w:w="2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RE pasiva en grados a 0° de abducción y RI a 90° de abducción (más útil cuando rigidez &gt; dolor)</w:t>
            </w:r>
          </w:p>
        </w:tc>
      </w:tr>
    </w:tbl>
    <w:p>
      <w:pPr>
        <w:spacing w:after="24" w:before="30" w:line="186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No usar en hombro congelado: test específicos de MR, labrum o AC — casi siempre salen positivos al tensar una cápsula sensibilizada. Los test AC por separado son débiles: Paxinos + gammagrafía ósea, los dos positivos, dan LR+ 55; los dos negativos, LR− 0,03 (Ampliar).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4 · RIGIDEZ ACTIVA = PASIVA · QUÉ LO DISTINGUE DEL HOMBRO CONGELADO</w:t>
      </w:r>
    </w:p>
    <w:tbl>
      <w:tblPr>
        <w:tblW w:type="dxa" w:w="10586"/>
        <w:tblBorders>
          <w:top w:val="single" w:color="C9D1D6" w:sz="4"/>
          <w:left w:val="single" w:color="C9D1D6" w:sz="4"/>
          <w:bottom w:val="single" w:color="C9D1D6" w:sz="4"/>
          <w:right w:val="single" w:color="C9D1D6" w:sz="4"/>
          <w:insideH w:val="single" w:color="C9D1D6" w:sz="4"/>
          <w:insideV w:val="single" w:color="C9D1D6" w:sz="4"/>
        </w:tblBorders>
      </w:tblPr>
      <w:tblGrid>
        <w:gridCol w:w="2000"/>
        <w:gridCol w:w="5400"/>
        <w:gridCol w:w="3186"/>
      </w:tblGrid>
      <w:tr>
        <w:tc>
          <w:tcPr>
            <w:tcW w:type="dxa" w:w="20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Condición</w:t>
            </w:r>
          </w:p>
        </w:tc>
        <w:tc>
          <w:tcPr>
            <w:tcW w:type="dxa" w:w="54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Qué la distingue del hombro congelado</w:t>
            </w:r>
          </w:p>
        </w:tc>
        <w:tc>
          <w:tcPr>
            <w:tcW w:type="dxa" w:w="3186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Imagen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Dolor del manguito</w:t>
            </w:r>
          </w:p>
        </w:tc>
        <w:tc>
          <w:tcPr>
            <w:tcW w:type="dxa" w:w="5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Dolor mecánico provocado por los test de carga del MR; RE y abducción más afectadas; movilidad pasiva no muy limitada.</w:t>
            </w:r>
          </w:p>
        </w:tc>
        <w:tc>
          <w:tcPr>
            <w:tcW w:type="dxa" w:w="31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Eco y RM (cambios también en asintomáticos)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Acromioclavicular</w:t>
            </w:r>
          </w:p>
        </w:tc>
        <w:tc>
          <w:tcPr>
            <w:tcW w:type="dxa" w:w="5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Dolor localizado y a la palpación sobre la AC, posible escalón, provocación con O’Brien o aducción horizontal; sin restricción pasiva.</w:t>
            </w:r>
          </w:p>
        </w:tc>
        <w:tc>
          <w:tcPr>
            <w:tcW w:type="dxa" w:w="31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 y RM (cambios también en asintomáticos)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Artrosis GH</w:t>
            </w:r>
          </w:p>
        </w:tc>
        <w:tc>
          <w:tcPr>
            <w:tcW w:type="dxa" w:w="5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Mayor edad, dolor progresivo más largo y a menudo menos intenso, crepitación, posible atrofia.</w:t>
            </w:r>
          </w:p>
        </w:tc>
        <w:tc>
          <w:tcPr>
            <w:tcW w:type="dxa" w:w="31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 simple la muestra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Cervicogénico</w:t>
            </w:r>
          </w:p>
        </w:tc>
        <w:tc>
          <w:tcPr>
            <w:tcW w:type="dxa" w:w="5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Dolor reproducible con los test cervicales; sin restricción pasiva GH.</w:t>
            </w:r>
          </w:p>
        </w:tc>
        <w:tc>
          <w:tcPr>
            <w:tcW w:type="dxa" w:w="31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 y RM cervical (cambios también en asintomáticos)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Neoplasia</w:t>
            </w:r>
          </w:p>
        </w:tc>
        <w:tc>
          <w:tcPr>
            <w:tcW w:type="dxa" w:w="5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presenta parecido; antecedente de cáncer, pérdida de peso, fiebre, dolor implacable.</w:t>
            </w:r>
          </w:p>
        </w:tc>
        <w:tc>
          <w:tcPr>
            <w:tcW w:type="dxa" w:w="31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Rx, gammagrafía, RM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Luxación bloqueada</w:t>
            </w:r>
          </w:p>
        </w:tc>
        <w:tc>
          <w:tcPr>
            <w:tcW w:type="dxa" w:w="540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Traumatismo previo, cualquier edad, rigidez activa y pasiva similar al congelado.</w:t>
            </w:r>
          </w:p>
        </w:tc>
        <w:tc>
          <w:tcPr>
            <w:tcW w:type="dxa" w:w="318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 simple</w:t>
            </w:r>
          </w:p>
        </w:tc>
      </w:tr>
      <w:tr>
        <w:tc>
          <w:tcPr>
            <w:tcW w:type="dxa" w:w="20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Fractura</w:t>
            </w:r>
          </w:p>
        </w:tc>
        <w:tc>
          <w:tcPr>
            <w:tcW w:type="dxa" w:w="540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Traumatismo previo, osteoporosis.</w:t>
            </w:r>
          </w:p>
        </w:tc>
        <w:tc>
          <w:tcPr>
            <w:tcW w:type="dxa" w:w="318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Rx; RM si fractura no desplazada del troquíter</w:t>
            </w:r>
          </w:p>
        </w:tc>
      </w:tr>
    </w:tbl>
    <w:p>
      <w:pPr>
        <w:spacing w:after="24" w:before="30" w:line="186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Los estadios del congelado se solapan: en la práctica es más útil clasificar como dolor &gt; rigidez o rigidez &gt; dolor y ajustar el tratamiento a eso.</w:t>
      </w:r>
    </w:p>
    <w:p>
      <w:pPr>
        <w:pBdr>
          <w:bottom w:val="single" w:color="1F5F4E" w:sz="10" w:space="2"/>
        </w:pBdr>
        <w:spacing w:after="50" w:before="115"/>
      </w:pPr>
      <w:r>
        <w:rPr>
          <w:rFonts w:ascii="Arial" w:cs="Arial" w:eastAsia="Arial" w:hAnsi="Arial"/>
          <w:b/>
          <w:bCs/>
          <w:i w:val="false"/>
          <w:iCs w:val="false"/>
          <w:color w:val="1F5F4E"/>
          <w:sz w:val="20"/>
          <w:szCs w:val="20"/>
        </w:rPr>
        <w:t xml:space="preserve">BLOQUE 6 · PARA «A LAS X SESIONES ESPERO Y; SI NO LO VEO → Z»</w:t>
      </w:r>
    </w:p>
    <w:tbl>
      <w:tblPr>
        <w:tblW w:type="dxa" w:w="10586"/>
        <w:tblBorders>
          <w:top w:val="single" w:color="C9D1D6" w:sz="4"/>
          <w:left w:val="single" w:color="C9D1D6" w:sz="4"/>
          <w:bottom w:val="single" w:color="C9D1D6" w:sz="4"/>
          <w:right w:val="single" w:color="C9D1D6" w:sz="4"/>
          <w:insideH w:val="single" w:color="C9D1D6" w:sz="4"/>
          <w:insideV w:val="single" w:color="C9D1D6" w:sz="4"/>
        </w:tblBorders>
      </w:tblPr>
      <w:tblGrid>
        <w:gridCol w:w="1600"/>
        <w:gridCol w:w="4746"/>
        <w:gridCol w:w="4240"/>
      </w:tblGrid>
      <w:tr>
        <w:tc>
          <w:tcPr>
            <w:tcW w:type="dxa" w:w="160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Síndrome</w:t>
            </w:r>
          </w:p>
        </w:tc>
        <w:tc>
          <w:tcPr>
            <w:tcW w:type="dxa" w:w="4746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Horizonte e imagen</w:t>
            </w:r>
          </w:p>
        </w:tc>
        <w:tc>
          <w:tcPr>
            <w:tcW w:type="dxa" w:w="4240"/>
            <w:shd w:fill="1F5F4E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Criterio de derivación o cuidado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SAPS</w:t>
            </w:r>
          </w:p>
        </w:tc>
        <w:tc>
          <w:tcPr>
            <w:tcW w:type="dxa" w:w="474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Una rotura completa del supraespinoso en ecografía aumenta la probabilidad, pero la imagen no mejora la capacidad de descartarlo.</w:t>
            </w:r>
          </w:p>
        </w:tc>
        <w:tc>
          <w:tcPr>
            <w:tcW w:type="dxa" w:w="424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Dolor en reposo: puede indicar bursitis o proceso inflamatorio que tolere mal el movimiento vigoroso → dosificar. La idea de «espacio subacromial estrecho» es controvertida.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Inestabilidad</w:t>
            </w:r>
          </w:p>
        </w:tc>
        <w:tc>
          <w:tcPr>
            <w:tcW w:type="dxa" w:w="474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Diagnóstico sobre todo clínico; la Rx simple puede identificar Bankart y Hill-Sachs. A las 3–4 semanas del episodio agudo hay poco dolor y recuperan movilidad y fuerza.</w:t>
            </w:r>
          </w:p>
        </w:tc>
        <w:tc>
          <w:tcPr>
            <w:tcW w:type="dxa" w:w="424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 MDI se confunde con inestabilidad unidireccional, SAPS, patología discal cervical, plexitis braquial y desfiladero torácico. Tener presente Ehlers-Danlos o Marfan.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Acromioclavicular</w:t>
            </w:r>
          </w:p>
        </w:tc>
        <w:tc>
          <w:tcPr>
            <w:tcW w:type="dxa" w:w="474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Rx y RM muestran patología AC, pero muchos cambios aparecen en personas sin síntomas.</w:t>
            </w:r>
          </w:p>
        </w:tc>
        <w:tc>
          <w:tcPr>
            <w:tcW w:type="dxa" w:w="424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 infiltración ecoguiada tiene efecto diagnóstico y terapéutico: decisión médica.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SLAP</w:t>
            </w:r>
          </w:p>
        </w:tc>
        <w:tc>
          <w:tcPr>
            <w:tcW w:type="dxa" w:w="474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La artro-RM es más precisa que la RM sin contraste.</w:t>
            </w:r>
          </w:p>
        </w:tc>
        <w:tc>
          <w:tcPr>
            <w:tcW w:type="dxa" w:w="424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El SLAP aislado es raro y es frecuente en asintomáticos: tratarlo solo tiene sentido si explica los síntomas. Suele acompañar a rotura del MR, inestabilidad, rotura del bíceps o bursitis.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Rotura del manguito</w:t>
            </w:r>
          </w:p>
        </w:tc>
        <w:tc>
          <w:tcPr>
            <w:tcW w:type="dxa" w:w="4746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RM como referencia: rotura completa S 90 %, E 100 %; parcial S 100 %, E 87 %. No se observa curación espontánea y el tamaño puede aumentar en unos 2 años, también en asintomáticas.</w:t>
            </w:r>
          </w:p>
        </w:tc>
        <w:tc>
          <w:tcPr>
            <w:tcW w:type="dxa" w:w="4240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Alrededor del 40 % de la población tiene roturas asintomáticas: la rotura no explica por sí sola el dolor. La degeneración crece desde los 50–55 años mientras el dolor no traumático baja a partir de los 60–65.</w:t>
            </w:r>
          </w:p>
        </w:tc>
      </w:tr>
      <w:tr>
        <w:tc>
          <w:tcPr>
            <w:tcW w:type="dxa" w:w="1600"/>
            <w:shd w:fill="EEF3F5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F5F4E"/>
                <w:sz w:val="17"/>
                <w:szCs w:val="17"/>
              </w:rPr>
              <w:t xml:space="preserve">Hombro congelado</w:t>
            </w:r>
          </w:p>
        </w:tc>
        <w:tc>
          <w:tcPr>
            <w:tcW w:type="dxa" w:w="4746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Se suele decir que se resuelve en 2–3 años, pero un 41 % sigue con síntomas a los 4 años y la mitad a los 7. No hay evidencia de que avance por estadios hasta curarse sin tratamiento. Rx normal salvo osteopenia o calcificación; RM no necesaria.</w:t>
            </w:r>
          </w:p>
        </w:tc>
        <w:tc>
          <w:tcPr>
            <w:tcW w:type="dxa" w:w="4240"/>
            <w:shd w:fill="F6F8F9" w:color="auto" w:val="clear"/>
            <w:tcMar>
              <w:top w:type="dxa" w:w="18"/>
              <w:left w:type="dxa" w:w="80"/>
              <w:bottom w:type="dxa" w:w="18"/>
              <w:right w:type="dxa" w:w="80"/>
            </w:tcMar>
            <w:vAlign w:val="top"/>
          </w:tcPr>
          <w:p>
            <w:pPr>
              <w:spacing w:after="0" w:line="18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7"/>
                <w:szCs w:val="17"/>
              </w:rPr>
              <w:t xml:space="preserve">Ejercicio en grupo supervisado: mejores resultados que el individual y que el ejercicio en casa. Derivar a psicología si los factores psicosociales superan tu competencia. Baja autoeficacia predice peor evolución. Contralateral en el 6–34 %.</w:t>
            </w:r>
          </w:p>
        </w:tc>
      </w:tr>
    </w:tbl>
    <w:p>
      <w:pPr>
        <w:spacing w:after="24" w:before="30" w:line="186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③ lo elige el paciente; si no sabe: cartera del bolsillo trasero, sujetador o axila contraria (AC); peinarse, vestirse, alcanzar detrás de la espalda (congelado); lanzar (SLAP). Dosis y progresión no están en la guía: son tuyas.</w:t>
      </w:r>
    </w:p>
    <w:p>
      <w:pPr>
        <w:pBdr>
          <w:top w:val="single" w:color="BBBBBB" w:sz="4" w:space="3"/>
        </w:pBdr>
        <w:spacing w:after="0" w:before="90"/>
      </w:pPr>
      <w:r>
        <w:rPr>
          <w:rFonts w:ascii="Arial" w:cs="Arial" w:eastAsia="Arial" w:hAnsi="Arial"/>
          <w:b w:val="false"/>
          <w:bCs w:val="false"/>
          <w:i/>
          <w:iCs/>
          <w:color w:val="777777"/>
          <w:sz w:val="15"/>
          <w:szCs w:val="15"/>
        </w:rPr>
        <w:t xml:space="preserve">Guía clínica de hombro, ap. 5 y 6 · las filas ① y ② son propuestas de la guía, no proceden del capítulo · cuestionarios validados citados en el ap. 6: SPADI, DASH, ASES, SST, Constant</w:t>
      </w:r>
    </w:p>
    <w:sectPr>
      <w:pgSz w:w="11906" w:h="16838" w:orient="portrait"/>
      <w:pgMar w:top="440" w:right="660" w:bottom="380" w:left="6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Tarjeta hombro · extracto de la guía clínica</dc:title>
  <dc:creator>Edu</dc:creator>
  <cp:lastModifiedBy>Un-named</cp:lastModifiedBy>
  <cp:revision>1</cp:revision>
  <dcterms:created xsi:type="dcterms:W3CDTF">2026-09-27T17:15:16.797Z</dcterms:created>
  <dcterms:modified xsi:type="dcterms:W3CDTF">2026-09-27T17:15:16.798Z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