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7"/>
          <w:szCs w:val="27"/>
        </w:rPr>
        <w:t xml:space="preserve">HOMBRO · cara A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 0 (con el paciente fuera) y bloques 3–4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3 · BANDERAS ROJAS — DERIVACIÓN MÉDICA INMEDIATA, SOBRE EL CRIBADO GENERAL DE LA FICHA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700"/>
        <w:gridCol w:w="5500"/>
        <w:gridCol w:w="3386"/>
      </w:tblGrid>
      <w:tr>
        <w:tc>
          <w:tcPr>
            <w:tcW w:type="dxa" w:w="1700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Sospecha</w:t>
            </w:r>
          </w:p>
        </w:tc>
        <w:tc>
          <w:tcPr>
            <w:tcW w:type="dxa" w:w="5500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Pistas en entrevista y exploración</w:t>
            </w:r>
          </w:p>
        </w:tc>
        <w:tc>
          <w:tcPr>
            <w:tcW w:type="dxa" w:w="3386"/>
            <w:shd w:fill="1F5F4E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Ayuda en consulta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Tumor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Antecedente de cáncer, pérdida de peso inexplicada, dolor sin relación con el movimiento o implacable, dolor nocturno o en reposo con síntomas sistémicos, masa o deformidad inexplicada.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Raros en clavícula distal y acromion; pensar en ellos si hay dolor nocturno + síntomas sistémicos.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Infección o sistémico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Fiebre, sensación de estar enfermo, cambios en la piel (aspecto, erupciones, sudoración), hematomas inexplicados, dolor en otras partes del cuerpo.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Preguntar siempre por el estado general reciente.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Fractura o luxación no reducida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Traumatismo previo (caída sobre el hombro o el codo), pérdida aguda de movilidad, deformidad, osteoporosis.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 de aprensión ósea; signo de percusión olécranon-manubrio (buen valor para luxación anterior y fracturas de clavícula y húmero).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Lesión neurológica</w:t>
            </w:r>
          </w:p>
        </w:tc>
        <w:tc>
          <w:tcPr>
            <w:tcW w:type="dxa" w:w="5500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Déficit motor o sensitivo significativo, atrofia.</w:t>
            </w:r>
          </w:p>
        </w:tc>
        <w:tc>
          <w:tcPr>
            <w:tcW w:type="dxa" w:w="3386"/>
            <w:shd w:fill="F6F8F9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Exploración neurológica breve: sensibilidad, fuerza y reflejos.</w:t>
            </w:r>
          </w:p>
        </w:tc>
      </w:tr>
      <w:tr>
        <w:tc>
          <w:tcPr>
            <w:tcW w:type="dxa" w:w="170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Origen visceral</w:t>
            </w:r>
          </w:p>
        </w:tc>
        <w:tc>
          <w:tcPr>
            <w:tcW w:type="dxa" w:w="5500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Dolor con esfuerzo cardiorrespiratorio o con síntomas digestivos; referido cardiaco, pulmonar o gastrointestinal a la zona AC.</w:t>
            </w:r>
          </w:p>
        </w:tc>
        <w:tc>
          <w:tcPr>
            <w:tcW w:type="dxa" w:w="338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Preguntar si el dolor aparece al caminar rápido, al subir escaleras o tras comer.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Descartar antes de clasificar (no son banderas rojas, pero cambian la hipótesis): capsulitis, dolor de origen cervical y dolor secundario a traumatismo. Las banderas rojas se revisan en todas las visitas, no solo en la primera.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BISAGRA</w:t>
      </w:r>
    </w:p>
    <w:p>
      <w:pPr>
        <w:pBdr>
          <w:top w:val="single" w:color="1F5F4E" w:sz="10" w:space="5"/>
          <w:bottom w:val="single" w:color="1F5F4E" w:sz="10" w:space="5"/>
          <w:left w:val="single" w:color="1F5F4E" w:sz="10" w:space="5"/>
          <w:right w:val="single" w:color="1F5F4E" w:sz="10" w:space="5"/>
        </w:pBdr>
        <w:spacing w:after="120" w:before="40" w:line="22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1"/>
          <w:szCs w:val="21"/>
        </w:rPr>
        <w:t xml:space="preserve">¿La movilidad pasiva GH, sobre todo la RE, está limitada igual que la activa?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SÍ → capsulitis · artrosis GH · luxación bloqueada      |      NO → el resto de síndromes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6"/>
          <w:szCs w:val="16"/>
        </w:rPr>
        <w:t xml:space="preserve">Clasifica síndromes, no estructuras: los test de hombro tienen poca precisión, combinarlos apenas la mejora y un hombro irritable da test positivos por casi cualquier causa.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ÁRBOL DE DECISIÓN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620"/>
        <w:gridCol w:w="9966"/>
      </w:tblGrid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1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¿Hay banderas rojas? → derivación médica.   ·   No → 2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2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¿La movilidad pasiva GH (sobre todo la RE) está limitada igual que la activa?   Sí → 2b   ·   No → 3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2b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¿Traumatismo previo?   Sí → LUXACIÓN BLOQUEADA o FRACTURA → Rx.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No: mayor edad + crepitación → ARTROSIS GH (Rx) · resto → HOMBRO CONGELADO.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3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¿Los test cervicales reproducen el dolor de hombro?   Sí → CERVICOGÉNICO → explorar columna (pueden coexistir)   ·   No → 4</w:t>
            </w:r>
          </w:p>
        </w:tc>
      </w:tr>
      <w:tr>
        <w:tc>
          <w:tcPr>
            <w:tcW w:type="dxa" w:w="620"/>
            <w:shd w:fill="EEF3F5" w:color="auto" w:val="clear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8"/>
                <w:szCs w:val="18"/>
              </w:rPr>
              <w:t xml:space="preserve">4</w:t>
            </w:r>
          </w:p>
        </w:tc>
        <w:tc>
          <w:tcPr>
            <w:tcW w:type="dxa" w:w="9966"/>
            <w:tcMar>
              <w:top w:type="dxa" w:w="42"/>
              <w:left w:type="dxa" w:w="80"/>
              <w:bottom w:type="dxa" w:w="42"/>
              <w:right w:type="dxa" w:w="80"/>
            </w:tcMar>
            <w:vAlign w:val="top"/>
          </w:tcPr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Movilidad pasiva conservada, ¿qué patrón encaja mejor? Dolor focal AC + palpación + aducción horizontal → ACROMIOCLAVICULAR · episodio concreto o aprensión → INESTABILIDAD · debilidad en RE + cluster positivo → ROTURA DEL MANGUITO · síntomas mecánicos (enganche, bloqueo, chasquido) → SLAP · dolor o debilidad al elevar, reproducido de forma consistente con resistidos → SAPS.</w:t>
            </w:r>
          </w:p>
          <w:p>
            <w:pPr>
              <w:spacing w:after="0" w:line="22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Los cuadros se solapan: busca la hipótesis que explica los síntomas, no un hallazgo.</w:t>
            </w:r>
          </w:p>
        </w:tc>
      </w:tr>
    </w:tbl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hombro, ap. 1 y 4 · Struyf · Powell y Lewis, cap. 3 — Ficha de primera visita, bloques 0, 3 y 4</w:t>
      </w:r>
    </w:p>
    <w:p>
      <w:pPr>
        <w:pageBreakBefore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7"/>
          <w:szCs w:val="27"/>
        </w:rPr>
        <w:t xml:space="preserve">HOMBRO · cara B</w:t>
      </w:r>
      <w:r>
        <w:rPr>
          <w:rFonts w:ascii="Arial" w:cs="Arial" w:eastAsia="Arial" w:hAnsi="Arial"/>
          <w:b w:val="false"/>
          <w:bCs w:val="false"/>
          <w:i/>
          <w:iCs/>
          <w:color w:val="4A6572"/>
          <w:sz w:val="18"/>
          <w:szCs w:val="18"/>
        </w:rPr>
        <w:t xml:space="preserve">   bloques 4, 5 y 6, ya dentro de una rama del árbol</w:t>
      </w:r>
    </w:p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Antes de explorar: severidad e irritabilidad. Alta → solo bisagra y 1–2 tests, sin final de rango ni repeticiones provocadoras; el resto, en la próxima visita. Máximo 2–3 tests; la palpación va la última.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Y 5 · FICHAS POR SÍNDROME · EXPLORAR 10′ · ① Y ②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500"/>
        <w:gridCol w:w="4286"/>
        <w:gridCol w:w="2400"/>
        <w:gridCol w:w="2400"/>
      </w:tblGrid>
      <w:tr>
        <w:tc>
          <w:tcPr>
            <w:tcW w:type="dxa" w:w="15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28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Explorar · 10′</w:t>
            </w:r>
          </w:p>
        </w:tc>
        <w:tc>
          <w:tcPr>
            <w:tcW w:type="dxa" w:w="2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① Gesto testigo</w:t>
            </w:r>
          </w:p>
        </w:tc>
        <w:tc>
          <w:tcPr>
            <w:tcW w:type="dxa" w:w="2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② Medida objetiva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Dolor subacromial (SAPS)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Descartar primero capsulitis (RE pasiva), origen cervical y dolor postraumático. Dolor o debilidad al elevar el brazo; el dolor debe reproducirse de forma consistente con los test resistidos. Regla clínica: SAPS probable si no hay pérdida de RE pasiva y hay dolor anterior, lesión por sobreesfuerzo y ausencia de síntomas en RE final en abducción.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Elevación en el plano de la escápula o RE resistida que reproduce el dolor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en RE con dinamómetro si se dispone (brazo junto al cuerpo, codo a 90°) o grados de elevación activa hasta el dolor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Inestabilidad GH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Anterior: aprensión, recolocación y sorpresa (S y E &gt;72 %). Interpretar la aprensión, no el dolor. Posterior: no usar un test aislado; agrupar Jerk, Kim y signo de pinzamiento posterior junto con la historia.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Aprensión de 0 a 10 en abducción + RE; en posterior, la posición provocadora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de RE y RI con dinamómetro si se dispone, siempre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Palpación AC (S 96 %, E 10 %): si no duele, hace poco probable el cuadro; si duele, no lo confirma. Aducción horizontal con el brazo a 90° de flexión (S &gt;67 %, E 79 %). Movilidad pasiva sin restricción; posible escalón.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Aducción horizontal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Grados de aducción horizontal hasta la aparición del dolor,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Lesión SLAP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Ningún hallazgo físico es específico. Compresión-rotación activa (S 72 %, E 52 %): sirve para sostener la hipótesis, no para confirmarla.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Gesto por encima de la cabeza que reproduce el síntoma mecánico → EVA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de RE y RI con dinamómetro si se dispone, siempre en la misma posición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Rotura del manguito</w:t>
            </w:r>
          </w:p>
        </w:tc>
        <w:tc>
          <w:tcPr>
            <w:tcW w:type="dxa" w:w="42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Inspección: brazo en cabestrillo, escápula en rotación inferior o inclinación anterior, cabeza humeral anteriorizada. Cluster A: arco doloroso + drop arm + debilidad en RE → LR+ 15,6 con los tres positivos. Cluster B: edad ≥65 + debilidad en RE (± dolor nocturno) → LR+ 9,8 en la derivación, 5,0 en la validación.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Elevación activa o arco doloroso → EVA</w:t>
            </w:r>
          </w:p>
        </w:tc>
        <w:tc>
          <w:tcPr>
            <w:tcW w:type="dxa" w:w="2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Fuerza isométrica en RE con dinamómetro si se dispone (brazo junto al cuerpo, codo a 90°) o grados de elevación activa</w:t>
            </w:r>
          </w:p>
        </w:tc>
      </w:tr>
      <w:tr>
        <w:tc>
          <w:tcPr>
            <w:tcW w:type="dxa" w:w="15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Hombro congelado</w:t>
            </w:r>
          </w:p>
        </w:tc>
        <w:tc>
          <w:tcPr>
            <w:tcW w:type="dxa" w:w="42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Restricción equivalente de movilidad activa y pasiva: es el dato que más discrimina. La RE se considera la más afectada, pero la RI suele estar muy limitada con el brazo cerca de 90° de abducción. Criterio de Bunker: restricción igual de RE activa y pasiva + Rx esencialmente normal.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Final del rango de RE pasiva → EVA (más útil cuando dolor &gt; rigidez)</w:t>
            </w:r>
          </w:p>
        </w:tc>
        <w:tc>
          <w:tcPr>
            <w:tcW w:type="dxa" w:w="2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 pasiva en grados a 0° de abducción y RI a 90° de abducción (más útil cuando rigidez &gt; dolor)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No usar en hombro congelado: test específicos de MR, labrum o AC — casi siempre salen positivos al tensar una cápsula sensibilizada. Los test AC por separado son débiles: Paxinos + O’Brien combinados dan S y E &gt;90 % (Ampliar).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4 · RIGIDEZ ACTIVA = PASIVA · QUÉ LO DISTINGUE DEL HOMBRO CONGELADO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2000"/>
        <w:gridCol w:w="5400"/>
        <w:gridCol w:w="3186"/>
      </w:tblGrid>
      <w:tr>
        <w:tc>
          <w:tcPr>
            <w:tcW w:type="dxa" w:w="20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Condición</w:t>
            </w:r>
          </w:p>
        </w:tc>
        <w:tc>
          <w:tcPr>
            <w:tcW w:type="dxa" w:w="54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Qué la distingue del hombro congelado</w:t>
            </w:r>
          </w:p>
        </w:tc>
        <w:tc>
          <w:tcPr>
            <w:tcW w:type="dxa" w:w="318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Imagen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Dolor del manguito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mecánico provocado por los test de carga del MR; RE y abducción más afectadas; movilidad pasiva no muy limitada.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Eco y RM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localizado y a la palpación sobre la AC, posible escalón, provocación con O’Brien o aducción horizontal; sin restricción pasiva.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Artrosis GH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Mayor edad, dolor progresivo más largo y a menudo menos intenso, crepitación, posible atrofia.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simple la muestra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Cervicogénico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reproducible con los test cervicales; sin restricción pasiva GH.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cervical (cambios también en asintomáticos)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Neoplasia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presenta parecido; antecedente de cáncer, pérdida de peso, fiebre, dolor implacable.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Rx, gammagrafía, RM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Luxación bloqueada</w:t>
            </w:r>
          </w:p>
        </w:tc>
        <w:tc>
          <w:tcPr>
            <w:tcW w:type="dxa" w:w="540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Traumatismo previo, cualquier edad, rigidez activa y pasiva similar al congelado.</w:t>
            </w:r>
          </w:p>
        </w:tc>
        <w:tc>
          <w:tcPr>
            <w:tcW w:type="dxa" w:w="318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simple</w:t>
            </w:r>
          </w:p>
        </w:tc>
      </w:tr>
      <w:tr>
        <w:tc>
          <w:tcPr>
            <w:tcW w:type="dxa" w:w="20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Fractura</w:t>
            </w:r>
          </w:p>
        </w:tc>
        <w:tc>
          <w:tcPr>
            <w:tcW w:type="dxa" w:w="540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Traumatismo previo, osteoporosis.</w:t>
            </w:r>
          </w:p>
        </w:tc>
        <w:tc>
          <w:tcPr>
            <w:tcW w:type="dxa" w:w="318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Rx; RM si fractura no desplazada del troquíter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Los estadios del congelado se solapan: en la práctica es más útil clasificar como dolor &gt; rigidez o rigidez &gt; dolor y ajustar el tratamiento a eso.</w:t>
      </w:r>
    </w:p>
    <w:p>
      <w:pPr>
        <w:pBdr>
          <w:bottom w:val="single" w:color="1F5F4E" w:sz="10" w:space="2"/>
        </w:pBdr>
        <w:spacing w:after="50" w:before="115"/>
      </w:pPr>
      <w:r>
        <w:rPr>
          <w:rFonts w:ascii="Arial" w:cs="Arial" w:eastAsia="Arial" w:hAnsi="Arial"/>
          <w:b/>
          <w:bCs/>
          <w:i w:val="false"/>
          <w:iCs w:val="false"/>
          <w:color w:val="1F5F4E"/>
          <w:sz w:val="20"/>
          <w:szCs w:val="20"/>
        </w:rPr>
        <w:t xml:space="preserve">BLOQUE 6 · PARA «A LAS X SESIONES ESPERO Y; SI NO LO VEO → Z»</w:t>
      </w:r>
    </w:p>
    <w:tbl>
      <w:tblPr>
        <w:tblW w:type="dxa" w:w="10586"/>
        <w:tblBorders>
          <w:top w:val="single" w:color="C9D1D6" w:sz="4"/>
          <w:left w:val="single" w:color="C9D1D6" w:sz="4"/>
          <w:bottom w:val="single" w:color="C9D1D6" w:sz="4"/>
          <w:right w:val="single" w:color="C9D1D6" w:sz="4"/>
          <w:insideH w:val="single" w:color="C9D1D6" w:sz="4"/>
          <w:insideV w:val="single" w:color="C9D1D6" w:sz="4"/>
        </w:tblBorders>
      </w:tblPr>
      <w:tblGrid>
        <w:gridCol w:w="1600"/>
        <w:gridCol w:w="4746"/>
        <w:gridCol w:w="4240"/>
      </w:tblGrid>
      <w:tr>
        <w:tc>
          <w:tcPr>
            <w:tcW w:type="dxa" w:w="160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Síndrome</w:t>
            </w:r>
          </w:p>
        </w:tc>
        <w:tc>
          <w:tcPr>
            <w:tcW w:type="dxa" w:w="4746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Horizonte e imagen</w:t>
            </w:r>
          </w:p>
        </w:tc>
        <w:tc>
          <w:tcPr>
            <w:tcW w:type="dxa" w:w="4240"/>
            <w:shd w:fill="1F5F4E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Criterio de derivación o cuidado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SAPS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Una rotura completa del supraespinoso en ecografía aumenta la probabilidad, pero la imagen no mejora la capacidad de descartarlo.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Dolor en reposo: puede indicar bursitis o proceso inflamatorio que tolere mal el movimiento vigoroso → dosificar. La idea de «espacio subacromial estrecho» es controvertida.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Inestabilidad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Diagnóstico sobre todo clínico; la Rx simple puede identificar Bankart y Hill-Sachs. A las 3–4 semanas del episodio agudo hay poco dolor y recuperan movilidad y fuerza.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MDI se confunde con inestabilidad unidireccional, SAPS, patología discal cervical, plexitis braquial y desfiladero torácico. Tener presente Ehlers-Danlos o Marfan.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Acromioclavicular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Rx y RM muestran patología AC, pero muchos cambios aparecen en personas sin síntomas.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infiltración ecoguiada tiene efecto diagnóstico y terapéutico: decisión médica.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SLAP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 artro-RM es más precisa que la RM sin contraste.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El SLAP aislado es raro y es frecuente en asintomáticos: tratarlo solo tiene sentido si explica los síntomas. Suele acompañar a rotura del MR, inestabilidad, rotura del bíceps o bursitis.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Rotura del manguito</w:t>
            </w:r>
          </w:p>
        </w:tc>
        <w:tc>
          <w:tcPr>
            <w:tcW w:type="dxa" w:w="4746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RM como referencia: rotura completa S 90 %, E 100 %; parcial S 100 %, E 87 %. No se observa curación espontánea y el tamaño puede aumentar en unos 2 años, también en asintomáticas.</w:t>
            </w:r>
          </w:p>
        </w:tc>
        <w:tc>
          <w:tcPr>
            <w:tcW w:type="dxa" w:w="4240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Alrededor del 40 % de la población tiene roturas asintomáticas: la rotura no explica por sí sola el dolor. La degeneración crece desde los 50–55 años mientras el dolor no traumático baja a partir de los 60–65.</w:t>
            </w:r>
          </w:p>
        </w:tc>
      </w:tr>
      <w:tr>
        <w:tc>
          <w:tcPr>
            <w:tcW w:type="dxa" w:w="1600"/>
            <w:shd w:fill="EEF3F5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F4E"/>
                <w:sz w:val="17"/>
                <w:szCs w:val="17"/>
              </w:rPr>
              <w:t xml:space="preserve">Hombro congelado</w:t>
            </w:r>
          </w:p>
        </w:tc>
        <w:tc>
          <w:tcPr>
            <w:tcW w:type="dxa" w:w="4746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 suele decir que se resuelve en 2–3 años, pero un 41 % sigue con síntomas a los 4 años y la mitad a los 7. No hay evidencia de que avance por estadios hasta curarse sin tratamiento. Rx normal salvo osteopenia o calcificación; RM no necesaria.</w:t>
            </w:r>
          </w:p>
        </w:tc>
        <w:tc>
          <w:tcPr>
            <w:tcW w:type="dxa" w:w="4240"/>
            <w:shd w:fill="F6F8F9" w:color="auto" w:val="clear"/>
            <w:tcMar>
              <w:top w:type="dxa" w:w="18"/>
              <w:left w:type="dxa" w:w="80"/>
              <w:bottom w:type="dxa" w:w="18"/>
              <w:right w:type="dxa" w:w="80"/>
            </w:tcMar>
            <w:vAlign w:val="top"/>
          </w:tcPr>
          <w:p>
            <w:pPr>
              <w:spacing w:after="0" w:line="18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Ejercicio en grupo supervisado: mejores resultados que el individual y que el ejercicio en casa. Derivar a psicología si los factores psicosociales superan tu competencia. Baja autoeficacia predice peor evolución. Contralateral en el 6–34 %.</w:t>
            </w:r>
          </w:p>
        </w:tc>
      </w:tr>
    </w:tbl>
    <w:p>
      <w:pPr>
        <w:spacing w:after="24" w:before="30" w:line="18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③ lo elige el paciente; si no sabe: cartera del bolsillo trasero, sujetador o axila contraria (AC); peinarse, vestirse, alcanzar detrás de la espalda (congelado); lanzar (SLAP). Dosis y progresión no están en la guía: son tuyas.</w:t>
      </w:r>
    </w:p>
    <w:p>
      <w:pPr>
        <w:pBdr>
          <w:top w:val="single" w:color="BBBBBB" w:sz="4" w:space="3"/>
        </w:pBdr>
        <w:spacing w:after="0" w:before="9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Guía clínica de hombro, ap. 5 y 6 · las filas ① y ② son propuestas de la guía, no proceden del capítulo · cuestionarios validados citados en el ap. 6: SPADI, DASH, ASES, SST, Constant</w:t>
      </w:r>
    </w:p>
    <w:sectPr>
      <w:pgSz w:w="11906" w:h="16838" w:orient="portrait"/>
      <w:pgMar w:top="440" w:right="660" w:bottom="38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Tarjeta hombro · extracto de la guía clínica</dc:title>
  <dc:creator>Edu</dc:creator>
  <cp:lastModifiedBy>Un-named</cp:lastModifiedBy>
  <cp:revision>1</cp:revision>
  <dcterms:created xsi:type="dcterms:W3CDTF">2026-09-27T17:08:37.297Z</dcterms:created>
  <dcterms:modified xsi:type="dcterms:W3CDTF">2026-09-27T17:08:37.298Z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