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4C1D6B"/>
          <w:sz w:val="40"/>
          <w:szCs w:val="40"/>
        </w:rPr>
        <w:t xml:space="preserve">Tests clínicos de alta evidencia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4B5563"/>
          <w:sz w:val="22"/>
          <w:szCs w:val="22"/>
        </w:rPr>
        <w:t xml:space="preserve">Exploración ortopédica agrupada por región y patología</w:t>
      </w:r>
    </w:p>
    <w:p>
      <w:pPr>
        <w:pBdr>
          <w:bottom w:val="single" w:color="6B21A8" w:sz="8" w:space="4"/>
        </w:pBdr>
        <w:spacing w:after="14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Criterio de selección.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Se incluyen los tests con precisión diagnóstica documentada de alto valor: alta especificidad / LR+ elevado (confirmatorios), alta sensibilidad / LR− bajo (cribado), o ambas (confirma y descarta), además de los clústeres y reglas de predicción. Se han excluido los tests que la fuente marca como de baja validez, con LR próximos a 1 o sin cifras. Fuente: Magee, Orthopedic Physical Assessment.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4B5563"/>
          <w:sz w:val="16"/>
          <w:szCs w:val="16"/>
        </w:rPr>
        <w:t xml:space="preserve">Leyenda: </w:t>
      </w:r>
      <w:r>
        <w:rPr>
          <w:rFonts w:ascii="Calibri" w:cs="Calibri" w:eastAsia="Calibri" w:hAnsi="Calibri"/>
          <w:color w:val="9A3412"/>
          <w:sz w:val="16"/>
          <w:szCs w:val="16"/>
        </w:rPr>
        <w:t xml:space="preserve">■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Confirmatorio   </w:t>
      </w:r>
      <w:r>
        <w:rPr>
          <w:rFonts w:ascii="Calibri" w:cs="Calibri" w:eastAsia="Calibri" w:hAnsi="Calibri"/>
          <w:color w:val="166534"/>
          <w:sz w:val="16"/>
          <w:szCs w:val="16"/>
        </w:rPr>
        <w:t xml:space="preserve">■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Cribado / descarte   </w:t>
      </w:r>
      <w:r>
        <w:rPr>
          <w:rFonts w:ascii="Calibri" w:cs="Calibri" w:eastAsia="Calibri" w:hAnsi="Calibri"/>
          <w:color w:val="1D4ED8"/>
          <w:sz w:val="16"/>
          <w:szCs w:val="16"/>
        </w:rPr>
        <w:t xml:space="preserve">■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Confirma y descarta   </w:t>
      </w:r>
      <w:r>
        <w:rPr>
          <w:rFonts w:ascii="Calibri" w:cs="Calibri" w:eastAsia="Calibri" w:hAnsi="Calibri"/>
          <w:color w:val="6B21A8"/>
          <w:sz w:val="16"/>
          <w:szCs w:val="16"/>
        </w:rPr>
        <w:t xml:space="preserve">■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Clúster</w:t>
      </w:r>
    </w:p>
    <w:p>
      <w:pPr>
        <w:pStyle w:val="Heading1"/>
        <w:keepNext/>
        <w:shd w:fill="F3E8FF" w:val="clear"/>
        <w:spacing w:after="80" w:before="200"/>
      </w:pPr>
      <w:r>
        <w:rPr>
          <w:rFonts w:ascii="Calibri" w:cs="Calibri" w:eastAsia="Calibri" w:hAnsi="Calibri"/>
          <w:b/>
          <w:bCs/>
          <w:color w:val="4C1D6B"/>
          <w:sz w:val="24"/>
          <w:szCs w:val="24"/>
        </w:rPr>
        <w:t xml:space="preserve">  Columna cervical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Radiculopatía cervical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Spurling (compresión foraminal)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Compresión axial con la cabeza en extensión y rotación hacia el lado sintomático; positivo si el dolor irradia al brazo.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~50 % · Esp ~86 % · LR+ ~3.5 · LR− ~0.58.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distracción cervical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Tracción manual de la cabeza; positivo si ALIVIA los síntomas radiculares (descompresión de la raíz).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~44 % · Esp ~90 % · LR+ ~4.4 · LR− ~0.62.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ULTT / ULNT1 (sesgo del mediano)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Tensión neurodinámica secuencial del miembro superior; positivo si reproduce los síntomas neurológicos.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~97 % · Esp ~22 % · LR− ~0.12 → un resultado negativo descarta.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Regla de predicción de Wainner (4/4)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ULTT mediano + rotación cervical activa &lt;60° + distracción positiva + Spurling positivo.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3/4: LR+ ~6.1 · 4/4: LR+ ~30.3 (prob. postest ~90 %). Máximo valor confirmatorio.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Mielopatía cervical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Clúster de Cook (≥3/5)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Marcha alterada + Hoffmann + supinador invertido + Babinski + edad &gt;45 años.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≥3/5: Esp ~0.99 · LR+ ~30. Obliga a derivación médica; contraindica manipulación.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Cefalea cervicogénica (C1-C2)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flexión-rotación cervical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En supino con flexión cervical mantenida se rota la cabeza; restricción marcada (&lt;~32°) hacia el lado sintomático es positiva.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~90-91 % · Esp ~88-90 %. Uno de los pocos tests con ambas altas.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Inestabilidad craneovertebral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Sharp-Purser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Con extrema precaución: en flexión activa se empuja la frente atrás; el deslizamiento posterior reduce la subluxación atlantoaxial.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~69 % · Esp ~96 % · LR+ ~17.25. Bandera roja; contraindica técnicas de rango final.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Dolor facetario cervical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Examen manual segmentario (palpación)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Presiones posteroanteriores que reproducen dolor familiar con hipomovilidad del segmento.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C2-C3: Esp ~98 %, LR+ ~39 · C5-C6: Esp ~91 %, LR+ ~6.11.</w:t>
      </w:r>
    </w:p>
    <w:p>
      <w:pPr>
        <w:pStyle w:val="Heading1"/>
        <w:keepNext/>
        <w:shd w:fill="F3E8FF" w:val="clear"/>
        <w:spacing w:after="80" w:before="200"/>
      </w:pPr>
      <w:r>
        <w:rPr>
          <w:rFonts w:ascii="Calibri" w:cs="Calibri" w:eastAsia="Calibri" w:hAnsi="Calibri"/>
          <w:b/>
          <w:bCs/>
          <w:color w:val="4C1D6B"/>
          <w:sz w:val="24"/>
          <w:szCs w:val="24"/>
        </w:rPr>
        <w:t xml:space="preserve">  Hombro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Rotura del manguito rotador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Clúster de Park (3 positivos)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Arco doloroso + drop-arm + debilidad en rotación lateral (infraespinoso).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LR+ ~15 para rotura transmural. Clúster confirmatorio de referencia.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Drop-arm test (Codman)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Descenso controlado del brazo desde 90° de abducción; caída brusca es positiva.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~24 % · Esp ~88 %. Confirmatorio de rotura transmural.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External rotation lag sign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Incapacidad de sostener la rotación lateral máxima (infraespinoso/supraespinoso).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~90 %; LR− próximo a 0 en roturas grandes.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Signo del trompetista (hornblower / Patte)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Incompetencia del redondo menor en rotación lateral resistida.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~100 % · Esp ~93 %.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Lift-off de Gerber (subescapular)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Despegue de la mano desde la región lumbar; incapacidad es positiva.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alta; LR+ muy elevado (rotura transmural del subescapular).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Internal rotation lag sign (subescapular)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La mano cae hacia la espalda al soltarla en rotación medial máxima.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~97 % para rotura completa del subescapular.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Impingement subacromial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Neer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Elevación pasiva en rotación medial; dolor al final del rango.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~72-89 % · Esp ~30-49 %. Negativo aleja el impingement.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Hawkins-Kennedy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Rotación medial forzada a 90° de flexión.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~74-92 % · Esp ~26-45 %. Un negativo reduce la probabilidad.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Hawkins + arco doloroso + debilidad infraespinoso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Combinación para impingement/bursitis subacromial.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LR+ ~10 con los tres positivos.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Inestabilidad anterior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aprensión anterior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Abducción 90° + rotación lateral; válido solo con APRENSIÓN genuina (no dolor aislado).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~96-99 % · LR+ ~20 (criterio aprensión).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recolocación (relocation)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Fuerza posterior sobre la cabeza humeral que alivia la aprensión.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~90-100 % · Sens ~68 %.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liberación / sorpresa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Retirada brusca de la fuerza posterior; reaparición súbita de la aprensión.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~64 % · Esp ~99 % · LR+ ~8.3 · LR− bajo. Mejor test aislado de la tríada.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Inestabilidad posterior / labral posteroinferior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aprensión posterior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Carga posterior axial en flexión y aducción horizontal.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~99 % · LR+ ~25 · Sens ~19 %.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Jerk test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Carga axial en aducción horizontal; "clunk" doloroso posterior.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~73 % · Esp ~98 %.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Kim (+ jerk)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Carga axial + elevación diagonal con empuje posteroinferior.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Kim: Sens ~80 % · Esp ~94 %. Kim + jerk: sensibilidad ~97 %.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Lesión labral SLAP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Biceps load test I (Kim I)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Aprensión + flexión resistida del codo; SLAP con inestabilidad anterior.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~91 % · Esp ~97 %.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Biceps load test II (Kim II)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120° de abducción, rotación lateral máxima, flexión resistida del codo.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~90 % · Esp ~97 %.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Supinación resistida en rotación lateral (RSERT)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Supinación resistida con el hombro en rotación lateral; SLAP tipo II.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~83 % · Esp ~82 % · LR+ ~4-5.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Patología acromioclavicular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Clúster de Chronopoulos (3 positivos)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Aducción horizontal cruzada + extensión resistida AC + O’Brien (dolor sobre la AC).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LR+ ~8.3 · LR− ~0.77.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Lesión labral anterior (Bankart)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Clúster de Bankart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Crank + aprensión anterior + recolocación de Jobe.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LR+ ~6.0 · LR− ~0.12 (confirma y descarta).</w:t>
      </w:r>
    </w:p>
    <w:p>
      <w:pPr>
        <w:pStyle w:val="Heading1"/>
        <w:keepNext/>
        <w:shd w:fill="F3E8FF" w:val="clear"/>
        <w:spacing w:after="80" w:before="200"/>
      </w:pPr>
      <w:r>
        <w:rPr>
          <w:rFonts w:ascii="Calibri" w:cs="Calibri" w:eastAsia="Calibri" w:hAnsi="Calibri"/>
          <w:b/>
          <w:bCs/>
          <w:color w:val="4C1D6B"/>
          <w:sz w:val="24"/>
          <w:szCs w:val="24"/>
        </w:rPr>
        <w:t xml:space="preserve">  Codo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Fractura de codo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Elbow extension test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Extensión completa bilateral comparada; la incompleta indica radiografía.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~0.91-0.97 · Sens ~0.69-0.70 · LR− ~0.04-0.13. Base de las reglas de decisión.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Inestabilidad en valgo (ligamento colateral medial)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Moving valgus stress test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Estrés en valgo con extensión rápida; dolor entre 120° y 70° (zona de cizallamiento).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~100 % · Esp ~75 %. Negativo hace improbable el desgarro del MCL.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Rotura del tendón distal del bíceps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Clúster (Hook + pronación pasiva + BCI)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Combinación diagnóstica junto a la historia.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~1.00 · Esp ~1.00. Estrategia de mayor valor del capítulo.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Hook test (test del gancho)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Intento de enganchar el tendón bajo supinación resistida; imposibilidad es positiva.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~1.00 · Esp ~0.81-1.00.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Biceps squeeze test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Compresión del vientre del bíceps; ausencia de supinación es positiva.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~0.96 · Esp ~1.00 · LR− ~0.04.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Bicipital aponeurosis flex test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Palpación de la aponeurosis en tensión; hueco palpable indica rotura oculta.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~1.00 · Esp ~0.90 · LR+ ~10.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Síndrome del túnel cubital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combinado presión + flexión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Presión sobre el nervio cubital con el codo flexionado.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~0.98 · Esp ~0.95 · LR+ ~19.6 · LR− ~0.02. Clúster de mayor valor.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Elbow pressure test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Presión externa proximal al túnel cubital durante 60 s.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~0.89 · Esp ~0.98 · LR+ ~44.5 · LR− ~0.11.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flexión del codo (Wadsworth)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Flexión máxima mantenida 3-5 min con extensión de muñeca.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~0.75-0.93 · Esp ~0.99 · LR+ ~75.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Signo de Tinel en el codo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Percusión del nervio cubital en el surco epitrocleo-olecraniano.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~0.70 · Esp ~0.98 · LR+ ~35.</w:t>
      </w:r>
    </w:p>
    <w:p>
      <w:pPr>
        <w:pStyle w:val="Heading1"/>
        <w:keepNext/>
        <w:shd w:fill="F3E8FF" w:val="clear"/>
        <w:spacing w:after="80" w:before="200"/>
      </w:pPr>
      <w:r>
        <w:rPr>
          <w:rFonts w:ascii="Calibri" w:cs="Calibri" w:eastAsia="Calibri" w:hAnsi="Calibri"/>
          <w:b/>
          <w:bCs/>
          <w:color w:val="4C1D6B"/>
          <w:sz w:val="24"/>
          <w:szCs w:val="24"/>
        </w:rPr>
        <w:t xml:space="preserve">  Muñeca y mano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Síndrome del túnel carpiano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compresión del mediano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Compresión directa sostenida sobre el mediano en el túnel.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~79 % · Esp ~100 % · LR+ ~79.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Hand elevation test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Ambas manos elevadas sobre la cabeza; síntomas en &lt;2 min.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~76 % · Esp ~99 % · LR+ ~76.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Durkan (compresión carpiana)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Presión sobre el túnel carpiano 30-60 s reproduciendo parestesias del mediano.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~87 % · Esp ~90 % · LR+ ~8.7 · LR− ~0.14.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Signo de Tinel en la muñeca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Percusión sobre el túnel carpiano; hormigueo distal en territorio del mediano.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~95-99 % · LR+ hasta ~11.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Fractura de escafoides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Supinación contra resistencia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Supinación resistida del antebrazo; dolor localizado es positivo.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~100 % · Esp ~98 % · LR+ ~50.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Compresión longitudinal del pulgar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Compresión axial del metacarpiano del pulgar hacia el escafoides.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~98 % · Esp ~98 % · LR+ ~49 · LR− ~0.02.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Sensibilidad de la tabaquera anatómica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Palpación de la tabaquera; ausencia de dolor hace improbable la fractura.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~100 % (Esp baja aislada). Puerta de cribado.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Artrosis carpometacarpiana del pulgar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Traction-shift grind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Tracción del metacarpiano con presión dorsal en la base; crepitación y dolor.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~100 % · Sens ~66.7 % · VPP ~100 %.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Thumb grind test (molido del pulgar)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Compresión axial + rotación de la articulación CMC.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~30 % · Esp ~96.7 % · VPP ~90 %.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Tenosinovitis de De Quervain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WHAT (hiperflexión + abducción del pulgar)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Abducción resistida del pulgar con la muñeca en flexión máxima.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~99 % · Esp ~29 % · VPN ~95 %. Mejor test para descartar.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Patencia arterial de la mano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Allen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Compresión radial y cubital; se libera cada arteria y se cronometra el relleno (&gt;6 s positivo).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~97 % · LR+ ~23 (cubital). Confirma compromiso de patencia.</w:t>
      </w:r>
    </w:p>
    <w:p>
      <w:pPr>
        <w:pStyle w:val="Heading1"/>
        <w:keepNext/>
        <w:shd w:fill="F3E8FF" w:val="clear"/>
        <w:spacing w:after="80" w:before="200"/>
      </w:pPr>
      <w:r>
        <w:rPr>
          <w:rFonts w:ascii="Calibri" w:cs="Calibri" w:eastAsia="Calibri" w:hAnsi="Calibri"/>
          <w:b/>
          <w:bCs/>
          <w:color w:val="4C1D6B"/>
          <w:sz w:val="24"/>
          <w:szCs w:val="24"/>
        </w:rPr>
        <w:t xml:space="preserve">  Columna lumbar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Radiculopatía / hernia discal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Elevación de la pierna recta (SLR / Lasègue)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Flexión pasiva de cadera con rodilla extendida; dolor irradiado en distribución ciática.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~91 % · Esp ~26 %. Negativo ayuda a descartar compresión radicular.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SLR cruzado (well leg raise)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Elevar la pierna sana reproduce dolor en la pierna sintomática; sugiere hernia central/medial grande.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~29 % · Esp ~88 %.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Slump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Flexión progresiva de tronco, cuello y rodilla con dorsiflexión; reproducción de síntomas.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~84 % · Esp ~83 %. Mejor neurodinámico del capítulo.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Estenosis / claudicación neurógena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en cinta de dos fases (llano vs inclinado)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Marcha en llano (extensión, síntomas antes) vs inclinada (flexión, alivio).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Mayor tiempo inclinado: Esp ~92 %, LR+ ~6.49. Recuperación prolongada: LR− ~0.26.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Inestabilidad segmentaria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Passive Lumbar Extension test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En prono se elevan y extienden ambas piernas; dolor lumbar intenso que cede al bajarlas.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~84 % · Esp ~90 %. Test de mayor exactitud para inestabilidad segmentaria.</w:t>
      </w:r>
    </w:p>
    <w:p>
      <w:pPr>
        <w:pStyle w:val="Heading1"/>
        <w:keepNext/>
        <w:shd w:fill="F3E8FF" w:val="clear"/>
        <w:spacing w:after="80" w:before="200"/>
      </w:pPr>
      <w:r>
        <w:rPr>
          <w:rFonts w:ascii="Calibri" w:cs="Calibri" w:eastAsia="Calibri" w:hAnsi="Calibri"/>
          <w:b/>
          <w:bCs/>
          <w:color w:val="4C1D6B"/>
          <w:sz w:val="24"/>
          <w:szCs w:val="24"/>
        </w:rPr>
        <w:t xml:space="preserve">  Cadera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Patología intraarticular / labral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THIRD (rotación interna con distracción)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Rotación medial con compresión vs distracción; dolor mayor en compresión.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98 % · Esp 75 % · LR− 0.03. Excelente para descartar.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IROP / impingement anterior (FADDIR pasivo)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Flexión 90° + rotación medial con sobrepresión; dolor y end-feel anómalo.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alta (91-99 %) · Esp baja. Cribado de FAI/labral.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del ligamento redondo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Aducción 30° bajo la abducción máxima con rotaciones máximas; dolor positivo.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90 % · Esp 85 %.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impingement isquiofemoral (IFI)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Extensión + aducción + rotación lateral; se alivia en abducción.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82 % · Esp 85 %.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Abductores / síndrome del trocánter mayor (GTPS)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External de-rotation test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Rotación lateral resistida; dolor lateral = GTPS, inguinal = artrosis.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88 % · Esp 97 % · LR+ 33.5 · LR− 0.12. De los más precisos del capítulo.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Hip lag sign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Incapacidad de sostener abducción/rotación medial pasiva (glúteo medio).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89 % · Esp 97 % · VPP 0.94.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Síndrome glúteo profundo / piriforme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Estiramiento del piriforme en sedestación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Extensión de rodilla + aducción y rotación medial de la cadera; dolor en el piriforme.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52 % · Esp 90 % · LR+ 5.22.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Estiramiento activo del piriforme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Abducción y rotación lateral resistidas en decúbito lateral.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78 % · Esp 80 % · LR+ 3.90.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Tendinopatía isquiotibial proximal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Active hamstring test (30°+90°)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Flexión resistida de rodilla a 30° y 90°; más débil/dolorosa a 30°.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97 % · Sens 84 % · LR+ 26.86.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Bent-knee stretch test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Extensión lenta de la rodilla desde flexión máxima de cadera y rodilla.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84 % · Esp 87 % · LR+ 6.5 · LR− 0.18.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Puranen-Orava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Estiramiento activo de pie con el pie sobre una camilla.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76 % · Esp 82 % · LR+ 4.4.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Fractura de cadera / estrés femoral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Signo de percusión patelo-púbica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Estetoscopio en la sínfisis; percusión rotuliana comparada, sonido apagado en el lado fracturado.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0.94 · Esp 0.95 · LR+ 20.4 · LR− 0.06 (fracturas mixtas).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Fulcrum test (fémur proximal)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Antebrazo como fulcro bajo el muslo; dolor agudo sobre el foco de fractura.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0.93 · Esp 0.75 · LR− 0.09 (proximal). Poco fiable en diáfisis media.</w:t>
      </w:r>
    </w:p>
    <w:p>
      <w:pPr>
        <w:pStyle w:val="Heading1"/>
        <w:keepNext/>
        <w:shd w:fill="F3E8FF" w:val="clear"/>
        <w:spacing w:after="80" w:before="200"/>
      </w:pPr>
      <w:r>
        <w:rPr>
          <w:rFonts w:ascii="Calibri" w:cs="Calibri" w:eastAsia="Calibri" w:hAnsi="Calibri"/>
          <w:b/>
          <w:bCs/>
          <w:color w:val="4C1D6B"/>
          <w:sz w:val="24"/>
          <w:szCs w:val="24"/>
        </w:rPr>
        <w:t xml:space="preserve">  Rodilla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Ligamento cruzado anterior (LCA)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Lachman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Traslación anterior de la tibia a 20-30° de flexión; end-feel blando.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90-100 % · Sens 74-99 %. Test aislado de mayor rendimiento para el LCA.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Pivot shift (MacIntosh)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Valgo + rotación medial de extensión a flexión; subluxación-reducción de la meseta lateral.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97-100 % · LR+ 8.2-27 (despierto sens baja; ~95 % bajo anestesia).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Cajón anterior (rodilla crónica)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Traslación anterior a 90° de flexión; tras descartar sag posterior.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87-100 %; sens alta en crónicos (LR+ crónico ~8.9).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Ligamento cruzado posterior (LCP)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Cajón posterior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Empuje posterior de la tibia a 90° de flexión.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98-100 % · LR+ ~50 · LR− ~0.11. Mejor test para el LCP.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Posterior sag sign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La tibia cae por gravedad a 90°; pérdida del escalón tibial (step-off).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100 % · LR+ ~88 (roturas crónicas).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Quadriceps active test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La contracción del cuádriceps reposiciona anteriormente la tibia retrasada.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96-100 % · LR+ hasta ~98 · LR− bajo.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Ligamento colateral medial (LCM)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Estrés en valgo (a 20-30°)  </w:t>
      </w:r>
      <w:r>
        <w:rPr>
          <w:rFonts w:ascii="Calibri" w:cs="Calibri" w:eastAsia="Calibri" w:hAnsi="Calibri"/>
          <w:color w:val="166534"/>
          <w:sz w:val="14"/>
          <w:szCs w:val="14"/>
        </w:rPr>
        <w:t xml:space="preserve">■ Cribado / descarte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Apertura medial con estrés en valgo; la fase flexionada es el verdadero test en un plano.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86-96 % para roturas del LCM.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Lesión meniscal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Clúster meniscal (≥2 de 6 tests)  </w:t>
      </w:r>
      <w:r>
        <w:rPr>
          <w:rFonts w:ascii="Calibri" w:cs="Calibri" w:eastAsia="Calibri" w:hAnsi="Calibri"/>
          <w:color w:val="6B21A8"/>
          <w:sz w:val="14"/>
          <w:szCs w:val="14"/>
        </w:rPr>
        <w:t xml:space="preserve">■ Clúster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Interlínea + Böhler + McMurray + Steinmann + Apley + Payr.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96.5 % · Esp 87 % · LR+ 7.42 · LR− 0.04. Muy superior a cualquier test aislado.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McMurray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Rotación + extensión desde flexión completa; chasquido con dolor en interlínea.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77-98 % · LR+ ~8.86. Mejor dentro del clúster.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Inestabilidad rotatoria / rincón posterolateral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Supine internal rotation test (LCP/PMRI)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Torque de rotación medial a distintos ángulos; excursión aumentada del tubérculo.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95.5 % · Esp 97.1 %. Test rotatorio con mejor precisión del capítulo.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External rotation recurvatum test (PLRI)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Al elevar por los dedos, la tibia cae en varo, rotación lateral e hiperextensión.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100 % · Sens ~30 %.</w:t>
      </w:r>
    </w:p>
    <w:p>
      <w:pPr>
        <w:pStyle w:val="Heading2"/>
        <w:keepNext/>
        <w:spacing w:after="50" w:before="120"/>
      </w:pPr>
      <w:r>
        <w:rPr>
          <w:rFonts w:ascii="Calibri" w:cs="Calibri" w:eastAsia="Calibri" w:hAnsi="Calibri"/>
          <w:b/>
          <w:bCs/>
          <w:color w:val="6B21A8"/>
          <w:sz w:val="19"/>
          <w:szCs w:val="19"/>
        </w:rPr>
        <w:t xml:space="preserve">Inestabilidad rotuliana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Moving Patellar Apprehension Test (MPAT)  </w:t>
      </w:r>
      <w:r>
        <w:rPr>
          <w:rFonts w:ascii="Calibri" w:cs="Calibri" w:eastAsia="Calibri" w:hAnsi="Calibri"/>
          <w:color w:val="1D4ED8"/>
          <w:sz w:val="14"/>
          <w:szCs w:val="14"/>
        </w:rPr>
        <w:t xml:space="preserve">■ Confirma y descarta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Aprensión con traslación lateral y ausencia con traslación medial (deben darse ambos pasos).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Sens 100 % · Esp 88.4 %. Mejor test de inestabilidad rotuliana del capítulo.</w:t>
      </w:r>
    </w:p>
    <w:p>
      <w:pPr>
        <w:keepNext/>
        <w:spacing w:after="10" w:before="4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de aprensión de Fairbank  </w:t>
      </w:r>
      <w:r>
        <w:rPr>
          <w:rFonts w:ascii="Calibri" w:cs="Calibri" w:eastAsia="Calibri" w:hAnsi="Calibri"/>
          <w:color w:val="9A3412"/>
          <w:sz w:val="14"/>
          <w:szCs w:val="14"/>
        </w:rPr>
        <w:t xml:space="preserve">■ Confirmatorio</w:t>
      </w:r>
    </w:p>
    <w:p>
      <w:pPr>
        <w:spacing w:after="10"/>
      </w:pPr>
      <w:r>
        <w:rPr>
          <w:rFonts w:ascii="Calibri" w:cs="Calibri" w:eastAsia="Calibri" w:hAnsi="Calibri"/>
          <w:color w:val="374151"/>
          <w:sz w:val="17"/>
          <w:szCs w:val="17"/>
        </w:rPr>
        <w:t xml:space="preserve">Empuje lateral de la rótula a 30°; sensación de que "se va a salir".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6B7280"/>
          <w:sz w:val="16"/>
          <w:szCs w:val="16"/>
        </w:rPr>
        <w:t xml:space="preserve">Precisión. </w:t>
      </w: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Esp ~92 % · Sens 7-39 %.</w:t>
      </w:r>
    </w:p>
    <w:sectPr>
      <w:headerReference w:type="default" r:id="rId7"/>
      <w:footerReference w:type="default" r:id="rId8"/>
      <w:pgSz w:w="11906" w:h="16838" w:orient="portrait"/>
      <w:pgMar w:top="1000" w:right="900" w:bottom="1000" w:left="900" w:header="708" w:footer="708" w:gutter="0"/>
      <w:pgNumType/>
      <w:cols w:space="50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PhysiQ · </w:t>
    </w:r>
    <w:r>
      <w:rPr>
        <w:rFonts w:ascii="Calibri" w:cs="Calibri" w:eastAsia="Calibri" w:hAnsi="Calibri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4"/>
        <w:szCs w:val="14"/>
      </w:rPr>
      <w:t xml:space="preserve"> / </w:t>
    </w:r>
    <w:r>
      <w:rPr>
        <w:rFonts w:ascii="Calibri" w:cs="Calibri" w:eastAsia="Calibri" w:hAnsi="Calibri"/>
        <w:color w:val="6B72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2"/>
      </w:pBdr>
      <w:jc w:val="right"/>
    </w:pPr>
    <w:r>
      <w:rPr>
        <w:rFonts w:ascii="Calibri" w:cs="Calibri" w:eastAsia="Calibri" w:hAnsi="Calibri"/>
        <w:color w:val="6B7280"/>
        <w:sz w:val="14"/>
        <w:szCs w:val="14"/>
      </w:rPr>
      <w:t xml:space="preserve">Tests clínicos de alta evidencia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Tests clínicos de alta evidencia</dc:title>
  <dc:creator>PhysiQ</dc:creator>
  <cp:lastModifiedBy>Un-named</cp:lastModifiedBy>
  <cp:revision>1</cp:revision>
  <dcterms:created xsi:type="dcterms:W3CDTF">2026-07-23T20:56:02.026Z</dcterms:created>
  <dcterms:modified xsi:type="dcterms:W3CDTF">2026-07-23T20:56:02.026Z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