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C1D6B"/>
          <w:sz w:val="40"/>
          <w:szCs w:val="40"/>
        </w:rPr>
        <w:t xml:space="preserve">Tests clínicos de alta evidencia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Exploración ortopédica agrupada por región y patología</w:t>
      </w:r>
    </w:p>
    <w:p>
      <w:pPr>
        <w:pBdr>
          <w:bottom w:val="single" w:color="6B21A8" w:sz="8" w:space="4"/>
        </w:pBdr>
        <w:spacing w:after="14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4B5563"/>
          <w:sz w:val="18"/>
          <w:szCs w:val="18"/>
        </w:rPr>
        <w:t xml:space="preserve">Criterio de selección.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Se incluyen los tests con precisión diagnóstica documentada de alto valor: alta especificidad / LR+ elevado (confirmatorios), alta sensibilidad / LR− bajo (cribado), o ambas (confirma y descarta), además de los clústeres y reglas de predicción. Se han excluido los tests que la fuente marca como de baja validez, con LR próximos a 1 o sin cifras. Fuente: Magee, Orthopedic Physical Assessment.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B5563"/>
          <w:sz w:val="16"/>
          <w:szCs w:val="16"/>
        </w:rPr>
        <w:t xml:space="preserve">Leyenda: </w:t>
      </w:r>
      <w:r>
        <w:rPr>
          <w:rFonts w:ascii="Calibri" w:cs="Calibri" w:eastAsia="Calibri" w:hAnsi="Calibri"/>
          <w:color w:val="9A3412"/>
          <w:sz w:val="16"/>
          <w:szCs w:val="16"/>
        </w:rPr>
        <w:t xml:space="preserve">■ 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Confirmatorio   </w:t>
      </w:r>
      <w:r>
        <w:rPr>
          <w:rFonts w:ascii="Calibri" w:cs="Calibri" w:eastAsia="Calibri" w:hAnsi="Calibri"/>
          <w:color w:val="166534"/>
          <w:sz w:val="16"/>
          <w:szCs w:val="16"/>
        </w:rPr>
        <w:t xml:space="preserve">■ 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Cribado / descarte   </w:t>
      </w:r>
      <w:r>
        <w:rPr>
          <w:rFonts w:ascii="Calibri" w:cs="Calibri" w:eastAsia="Calibri" w:hAnsi="Calibri"/>
          <w:color w:val="1D4ED8"/>
          <w:sz w:val="16"/>
          <w:szCs w:val="16"/>
        </w:rPr>
        <w:t xml:space="preserve">■ 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Confirma y descarta   </w:t>
      </w:r>
      <w:r>
        <w:rPr>
          <w:rFonts w:ascii="Calibri" w:cs="Calibri" w:eastAsia="Calibri" w:hAnsi="Calibri"/>
          <w:color w:val="6B21A8"/>
          <w:sz w:val="16"/>
          <w:szCs w:val="16"/>
        </w:rPr>
        <w:t xml:space="preserve">■ </w:t>
      </w:r>
      <w:r>
        <w:rPr>
          <w:rFonts w:ascii="Calibri" w:cs="Calibri" w:eastAsia="Calibri" w:hAnsi="Calibri"/>
          <w:color w:val="4B5563"/>
          <w:sz w:val="16"/>
          <w:szCs w:val="16"/>
        </w:rPr>
        <w:t xml:space="preserve">Clúster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Columna cervical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Radiculopatía cervical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Spurling (compresión foraminal)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axial con la cabeza en extensión y rotación hacia el lado sintomático; positivo si el dolor irradia al brazo.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~50 % · Esp ~86 % · LR+ ~3.5 · LR− ~0.58.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distracción cervical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Tracción manual de la cabeza; positivo si ALIVIA los síntomas radiculares (descompresión de la raíz).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~44 % · Esp ~90 % · LR+ ~4.4 · LR− ~0.62.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ULTT / ULNT1 (sesgo del mediano)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Tensión neurodinámica secuencial del miembro superior; positivo si reproduce los síntomas neurológicos.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~97 % · Esp ~22 % · LR− ~0.12 → un resultado negativo descarta.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Regla de predicción de Wainner (4/4)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ULTT mediano + rotación cervical activa &lt;60° + distracción positiva + Spurling positivo.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3/4: LR+ ~6.1 · 4/4: LR+ ~30.3 (prob. postest ~90 %). Máximo valor confirmatorio.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Mielopatía cervical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de Cook (≥3/5)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Marcha alterada + Hoffmann + supinador invertido + Babinski + edad &gt;45 años.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≥3/5: Esp ~0.99 · LR+ ~30. Obliga a derivación médica; contraindica manipulación.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Cefalea cervicogénica (C1-C2)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flexión-rotación cervical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En supino con flexión cervical mantenida se rota la cabeza; restricción marcada (&lt;~32°) hacia el lado sintomático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~90-91 % · Esp ~88-90 %. Uno de los pocos tests con ambas altas.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craneovertebral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Sharp-Purser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Con extrema precaución: en flexión activa se empuja la frente atrás; el deslizamiento posterior reduce la subluxación atlantoaxial.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~69 % · Esp ~96 % · LR+ ~17.25. Bandera roja; contraindica técnicas de rango final.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Dolor facetario cervical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Examen manual segmentario (palpación)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Presiones posteroanteriores que reproducen dolor familiar con hipomovilidad del segmento.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C2-C3: Esp ~98 %, LR+ ~39 · C5-C6: Esp ~91 %, LR+ ~6.11.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Hombro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Rotura del manguito rotador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de Park (3 positivos)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Arco doloroso + drop-arm + debilidad en rotación lateral (infraespinoso).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LR+ ~15 para rotura transmural. Clúster confirmatorio de referencia.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Drop-arm test (Codman)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Descenso controlado del brazo desde 90° de abducción; caída brusca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~24 % · Esp ~88 %. Confirmatorio de rotura transmural.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External rotation lag sign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Incapacidad de sostener la rotación lateral máxima (infraespinoso/supraespinoso).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~90 %; LR− próximo a 0 en roturas grandes.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Signo del trompetista (hornblower / Patte)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Incompetencia del redondo menor en rotación lateral resistida.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~100 % · Esp ~93 %.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Lift-off de Gerber (subescapular)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Despegue de la mano desde la región lumbar; incapacidad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alta; LR+ muy elevado (rotura transmural del subescapular).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Internal rotation lag sign (subescapular)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La mano cae hacia la espalda al soltarla en rotación medial máxima.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~97 % para rotura completa del subescapular.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Impingement subacromial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Neer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Elevación pasiva en rotación medial; dolor al final del rango.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~72-89 % · Esp ~30-49 %. Negativo aleja el impingement.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Hawkins-Kennedy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Rotación medial forzada a 90° de flexión.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~74-92 % · Esp ~26-45 %. Un negativo reduce la probabilidad.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Hawkins + arco doloroso + debilidad infraespinoso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Combinación para impingement/bursitis subacromial.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LR+ ~10 con los tres positivos.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anterior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aprensión anterior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Abducción 90° + rotación lateral; válido solo con APRENSIÓN genuina (no dolor aislado).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~96-99 % · LR+ ~20 (criterio aprensión).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recolocación (relocation)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Fuerza posterior sobre la cabeza humeral que alivia la aprensión.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~90-100 % · Sens ~68 %.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liberación / sorpresa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Retirada brusca de la fuerza posterior; reaparición súbita de la aprensión.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~64 % · Esp ~99 % · LR+ ~8.3 · LR− bajo. Mejor test aislado de la tríada.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posterior / labral posteroinferior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aprensión posterior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Carga posterior axial en flexión y aducción horizontal.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~99 % · LR+ ~25 · Sens ~19 %.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Jerk test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Carga axial en aducción horizontal; "clunk" doloroso posterior.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~73 % · Esp ~98 %.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Kim (+ jerk)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Carga axial + elevación diagonal con empuje posteroinferior.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Kim: Sens ~80 % · Esp ~94 %. Kim + jerk: sensibilidad ~97 %.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Lesión labral SLAP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Biceps load test I (Kim I)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Aprensión + flexión resistida del codo; SLAP con inestabilidad anterior.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~91 % · Esp ~97 %.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Biceps load test II (Kim II)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120° de abducción, rotación lateral máxima, flexión resistida del codo.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~90 % · Esp ~97 %.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Supinación resistida en rotación lateral (RSERT)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Supinación resistida con el hombro en rotación lateral; SLAP tipo II.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~83 % · Esp ~82 % · LR+ ~4-5.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Patología acromioclavicular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de Chronopoulos (3 positivos)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Aducción horizontal cruzada + extensión resistida AC + O’Brien (dolor sobre la AC).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LR+ ~8.3 · LR− ~0.77.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Lesión labral anterior (Bankart)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de Bankart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Crank + aprensión anterior + recolocación de Jobe.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LR+ ~6.0 · LR− ~0.12 (confirma y descarta).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Codo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Fractura de codo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Elbow extension test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Extensión completa bilateral comparada; la incompleta indica radiografía.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~0.91-0.97 · Sens ~0.69-0.70 · LR− ~0.04-0.13. Base de las reglas de decisión.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en valgo (ligamento colateral medial)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Moving valgus stress test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Estrés en valgo con extensión rápida; dolor entre 120° y 70° (zona de cizallamiento).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~100 % · Esp ~75 %. Negativo hace improbable el desgarro del MCL.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Rotura del tendón distal del bíceps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(Hook + pronación pasiva + BCI)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Combinación diagnóstica junto a la historia.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~1.00 · Esp ~1.00. Estrategia de mayor valor del capítulo.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Hook test (test del gancho)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Intento de enganchar el tendón bajo supinación resistida; imposibilidad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~1.00 · Esp ~0.81-1.00.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Biceps squeeze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del vientre del bíceps; ausencia de supinación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~0.96 · Esp ~1.00 · LR− ~0.04.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Bicipital aponeurosis flex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Palpación de la aponeurosis en tensión; hueco palpable indica rotura oculta.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~1.00 · Esp ~0.90 · LR+ ~10.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Síndrome del túnel cubital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combinado presión + flexión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Presión sobre el nervio cubital con el codo flexionado.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~0.98 · Esp ~0.95 · LR+ ~19.6 · LR− ~0.02. Clúster de mayor valor.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Elbow pressure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Presión externa proximal al túnel cubital durante 60 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~0.89 · Esp ~0.98 · LR+ ~44.5 · LR− ~0.11.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flexión del codo (Wadsworth)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Flexión máxima mantenida 3-5 min con extensión de muñeca.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~0.75-0.93 · Esp ~0.99 · LR+ ~75.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Signo de Tinel en el codo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Percusión del nervio cubital en el surco epitrocleo-olecraniano.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~0.70 · Esp ~0.98 · LR+ ~35.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Muñeca y mano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Síndrome del túnel carpiano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compresión del mediano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directa sostenida sobre el mediano en el túnel.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~79 % · Esp ~100 % · LR+ ~79.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Hand elevation test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Ambas manos elevadas sobre la cabeza; síntomas en &lt;2 min.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~76 % · Esp ~99 % · LR+ ~76.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Durkan (compresión carpiana)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Presión sobre el túnel carpiano 30-60 s reproduciendo parestesias del mediano.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~87 % · Esp ~90 % · LR+ ~8.7 · LR− ~0.14.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Signo de Tinel en la muñeca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Percusión sobre el túnel carpiano; hormigueo distal en territorio del mediano.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~95-99 % · LR+ hasta ~11.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Fractura de escafoides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Supinación contra resistencia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Supinación resistida del antebrazo; dolor localizado es positivo.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~100 % · Esp ~98 % · LR+ ~50.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Compresión longitudinal del pulgar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axial del metacarpiano del pulgar hacia el escafoides.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~98 % · Esp ~98 % · LR+ ~49 · LR− ~0.02.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Sensibilidad de la tabaquera anatómica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Palpación de la tabaquera; ausencia de dolor hace improbable la fractura.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~100 % (Esp baja aislada). Puerta de cribado.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Artrosis carpometacarpiana del pulgar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Traction-shift grind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Tracción del metacarpiano con presión dorsal en la base; crepitación y dolor.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~100 % · Sens ~66.7 % · VPP ~100 %.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Thumb grind test (molido del pulgar)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axial + rotación de la articulación CMC.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~30 % · Esp ~96.7 % · VPP ~90 %.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Tenosinovitis de De Quervain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WHAT (hiperflexión + abducción del pulgar)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Abducción resistida del pulgar con la muñeca en flexión máxima.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~99 % · Esp ~29 % · VPN ~95 %. Mejor test para descartar.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Patencia arterial de la mano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Allen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radial y cubital; se libera cada arteria y se cronometra el relleno (&gt;6 s positivo).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~97 % · LR+ ~23 (cubital). Confirma compromiso de patencia.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Columna lumbar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Radiculopatía / hernia discal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Elevación de la pierna recta (SLR / Lasègue)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Flexión pasiva de cadera con rodilla extendida; dolor irradiado en distribución ciática.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~91 % · Esp ~26 %. Negativo ayuda a descartar compresión radicular.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SLR cruzado (well leg raise)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Elevar la pierna sana reproduce dolor en la pierna sintomática; sugiere hernia central/medial grande.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~29 % · Esp ~88 %.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Slump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Flexión progresiva de tronco, cuello y rodilla con dorsiflexión; reproducción de síntomas.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~84 % · Esp ~83 %. Mejor neurodinámico del capítulo.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Estenosis / claudicación neurógena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en cinta de dos fases (llano vs inclinado)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Marcha en llano (extensión, síntomas antes) vs inclinada (flexión, alivio).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Mayor tiempo inclinado: Esp ~92 %, LR+ ~6.49. Recuperación prolongada: LR− ~0.26.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segmentaria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Passive Lumbar Extension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En prono se elevan y extienden ambas piernas; dolor lumbar intenso que cede al bajarlas.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~84 % · Esp ~90 %. Test de mayor exactitud para inestabilidad segmentaria.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Cadera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Patología intraarticular / labral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THIRD (rotación interna con distracción)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Rotación medial con compresión vs distracción; dolor mayor en compresión.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98 % · Esp 75 % · LR− 0.03. Excelente para descartar.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IROP / impingement anterior (FADDIR pasivo)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Flexión 90° + rotación medial con sobrepresión; dolor y end-feel anómalo.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alta (91-99 %) · Esp baja. Cribado de FAI/labral.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del ligamento redondo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Aducción 30° bajo la abducción máxima con rotaciones máximas; dolor positivo.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90 % · Esp 85 %.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impingement isquiofemoral (IFI)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Extensión + aducción + rotación lateral; se alivia en abducción.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82 % · Esp 85 %.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Abductores / síndrome del trocánter mayor (GTPS)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External de-rotation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Rotación lateral resistida; dolor lateral = GTPS, inguinal = artrosis.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88 % · Esp 97 % · LR+ 33.5 · LR− 0.12. De los más precisos del capítulo.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Hip lag sign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Incapacidad de sostener abducción/rotación medial pasiva (glúteo medio).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89 % · Esp 97 % · VPP 0.94.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Síndrome glúteo profundo / piriforme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Estiramiento del piriforme en sedestación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Extensión de rodilla + aducción y rotación medial de la cadera; dolor en el piriforme.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52 % · Esp 90 % · LR+ 5.22.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Estiramiento activo del piriforme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Abducción y rotación lateral resistidas en decúbito lateral.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78 % · Esp 80 % · LR+ 3.90.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Tendinopatía isquiotibial proximal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Active hamstring test (30°+90°)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Flexión resistida de rodilla a 30° y 90°; más débil/dolorosa a 30°.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97 % · Sens 84 % · LR+ 26.86.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Bent-knee stretch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Extensión lenta de la rodilla desde flexión máxima de cadera y rodilla.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84 % · Esp 87 % · LR+ 6.5 · LR− 0.18.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Puranen-Orava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Estiramiento activo de pie con el pie sobre una camilla.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76 % · Esp 82 % · LR+ 4.4.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Fractura de cadera / estrés femoral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Signo de percusión patelo-púbica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Estetoscopio en la sínfisis; percusión rotuliana comparada, sonido apagado en el lado fracturado.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0.94 · Esp 0.95 · LR+ 20.4 · LR− 0.06 (fracturas mixtas).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Fulcrum test (fémur proximal)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Antebrazo como fulcro bajo el muslo; dolor agudo sobre el foco de fractura.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0.93 · Esp 0.75 · LR− 0.09 (proximal). Poco fiable en diáfisis media.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Rodilla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Ligamento cruzado anterior (LCA)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Lachman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Traslación anterior de la tibia a 20-30° de flexión; end-feel blando.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90-100 % · Sens 74-99 %. Test aislado de mayor rendimiento para el LCA.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Pivot shift (MacIntosh)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Valgo + rotación medial de extensión a flexión; subluxación-reducción de la meseta lateral.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97-100 % · LR+ 8.2-27 (despierto sens baja; ~95 % bajo anestesia).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Cajón anterior (rodilla crónica)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Traslación anterior a 90° de flexión; tras descartar sag posterior.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87-100 %; sens alta en crónicos (LR+ crónico ~8.9).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Ligamento cruzado posterior (LCP)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Cajón posterior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Empuje posterior de la tibia a 90° de flexión.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98-100 % · LR+ ~50 · LR− ~0.11. Mejor test para el LCP.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Posterior sag sign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La tibia cae por gravedad a 90°; pérdida del escalón tibial (step-off).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100 % · LR+ ~88 (roturas crónicas).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Quadriceps active test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La contracción del cuádriceps reposiciona anteriormente la tibia retrasada.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96-100 % · LR+ hasta ~98 · LR− bajo.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Ligamento colateral medial (LCM)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Estrés en valgo (a 20-30°)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Apertura medial con estrés en valgo; la fase flexionada es el verdadero test en un plano.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86-96 % para roturas del LCM.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Lesión meniscal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Clúster meniscal (≥2 de 6 tests)  </w:t>
      </w:r>
      <w:r>
        <w:rPr>
          <w:rFonts w:ascii="Calibri" w:cs="Calibri" w:eastAsia="Calibri" w:hAnsi="Calibri"/>
          <w:color w:val="6B21A8"/>
          <w:sz w:val="14"/>
          <w:szCs w:val="14"/>
        </w:rPr>
        <w:t xml:space="preserve">■ Clúster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Interlínea + Böhler + McMurray + Steinmann + Apley + Payr.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96.5 % · Esp 87 % · LR+ 7.42 · LR− 0.04. Muy superior a cualquier test aislado.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McMurray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Rotación + extensión desde flexión completa; chasquido con dolor en interlínea.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77-98 % · LR+ ~8.86. Mejor dentro del clúster.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rotatoria / rincón posterolateral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Supine internal rotation test (LCP/PMRI)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Torque de rotación medial a distintos ángulos; excursión aumentada del tubérculo.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95.5 % · Esp 97.1 %. Test rotatorio con mejor precisión del capítulo.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External rotation recurvatum test (PLRI)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Al elevar por los dedos, la tibia cae en varo, rotación lateral e hiperextensión.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100 % · Sens ~30 %.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rotuliana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Moving Patellar Apprehension Test (MPAT)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Aprensión con traslación lateral y ausencia con traslación medial (deben darse ambos pasos).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100 % · Esp 88.4 %. Mejor test de inestabilidad rotuliana del capítulo.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aprensión de Fairbank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Empuje lateral de la rótula a 30°; sensación de que "se va a salir".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~92 % · Sens 7-39 %.</w:t>
      </w:r>
    </w:p>
    <w:p>
      <w:pPr>
        <w:pStyle w:val="Heading1"/>
        <w:keepNext/>
        <w:shd w:fill="F3E8FF" w:val="clear"/>
        <w:spacing w:after="80" w:before="200"/>
      </w:pPr>
      <w:r>
        <w:rPr>
          <w:rFonts w:ascii="Calibri" w:cs="Calibri" w:eastAsia="Calibri" w:hAnsi="Calibri"/>
          <w:b/>
          <w:bCs/>
          <w:color w:val="4C1D6B"/>
          <w:sz w:val="24"/>
          <w:szCs w:val="24"/>
        </w:rPr>
        <w:t xml:space="preserve">  Tobillo y pie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Rotura del tendón de Aquiles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Thompson (Simmonds)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En prono se comprime la pantorrilla; ausencia de flexión plantar pasiva es positiva.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~96-100 % · Esp ~93 % · LR− ~0.04. Test de referencia (descarte de primera línea).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Matles (flexión de rodilla)  </w:t>
      </w:r>
      <w:r>
        <w:rPr>
          <w:rFonts w:ascii="Calibri" w:cs="Calibri" w:eastAsia="Calibri" w:hAnsi="Calibri"/>
          <w:color w:val="166534"/>
          <w:sz w:val="14"/>
          <w:szCs w:val="14"/>
        </w:rPr>
        <w:t xml:space="preserve">■ Cribado / descarte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En prono, al flexionar la rodilla el pie cae a neutro/dorsiflexión (pierde el tono en reposo).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~88 %. Complementa al Thompson.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Inestabilidad lateral (LTFA / LCF)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Cajón anterior del tobillo (diferido)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Traslación anterior del astrágalo en flexión plantar; más rentable a los 4-5 días, tras ceder dolor y espasmo.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Diferido: Sens ~96 % · Esp ~84 % (van Dijk, combinado con hematoma y dolor a la palpación). En agudo la sensibilidad es baja.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Sindesmosis (esguince alto)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Squeeze test (compresión de la pierna)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tibia-peroné en la pantorrilla; dolor en la sindesmosis distal es positivo.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~88-93 % · Sens ~30 %. Confirma; un negativo no descarta.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rotación externa (Kleiger)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Estrés de rotación lateral del pie a 90°; dolor sobre los ligamentos tibioperoneos.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~85 % · Sens ~20 %. Dolor medial sugiere lesión asociada del deltoideo.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Neuroma de Morton (interdigital)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Morton squeeze + click de Mulder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Compresión de las cabezas metatarsianas; dolor reproducido y chasquido palpable (Mulder).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Buena sensibilidad y especificidad frente a ecografía.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Fascitis plantar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Windlass (extensión del hallux)  </w:t>
      </w:r>
      <w:r>
        <w:rPr>
          <w:rFonts w:ascii="Calibri" w:cs="Calibri" w:eastAsia="Calibri" w:hAnsi="Calibri"/>
          <w:color w:val="9A3412"/>
          <w:sz w:val="14"/>
          <w:szCs w:val="14"/>
        </w:rPr>
        <w:t xml:space="preserve">■ Confirmatorio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Dorsiflexión pasiva del primer dedo; dolor en la inserción plantar (calcáneo medial).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Esp ~100 % · Sens ~32 % en descarga.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Pinzamiento anterolateral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Test de pinzamiento sinovial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Presión en la gotera anterolateral mientras se pasa de flexión plantar a dorsiflexión.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Sens ~94.8 % · Esp ~88 % (frente a RM/artroscopia).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6B21A8"/>
          <w:sz w:val="19"/>
          <w:szCs w:val="19"/>
        </w:rPr>
        <w:t xml:space="preserve">Síndrome de estrés tibial medial (MTSS)</w:t>
      </w:r>
    </w:p>
    <w:p>
      <w:pPr>
        <w:keepNext/>
        <w:spacing w:after="10" w:before="4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Shin oedema + shin palpation (SOT + SPT)  </w:t>
      </w:r>
      <w:r>
        <w:rPr>
          <w:rFonts w:ascii="Calibri" w:cs="Calibri" w:eastAsia="Calibri" w:hAnsi="Calibri"/>
          <w:color w:val="1D4ED8"/>
          <w:sz w:val="14"/>
          <w:szCs w:val="14"/>
        </w:rPr>
        <w:t xml:space="preserve">■ Confirma y descarta</w:t>
      </w:r>
    </w:p>
    <w:p>
      <w:pPr>
        <w:spacing w:after="1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Edema con fóvea en el tercio distal tibial + dolor difuso a lo largo del borde posteromedial.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6B7280"/>
          <w:sz w:val="16"/>
          <w:szCs w:val="16"/>
        </w:rPr>
        <w:t xml:space="preserve">Precisión. 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Combinados: LR+ ~7.94 · LR− &lt;0.001. El dolor difuso distingue MTSS de la fractura de estrés (dolor puntual).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cols w:space="5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PhysiQ ·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4"/>
        <w:szCs w:val="14"/>
      </w:rPr>
      <w:t xml:space="preserve"> /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2"/>
      </w:pBdr>
      <w:jc w:val="right"/>
    </w:pPr>
    <w:r>
      <w:rPr>
        <w:rFonts w:ascii="Calibri" w:cs="Calibri" w:eastAsia="Calibri" w:hAnsi="Calibri"/>
        <w:color w:val="6B7280"/>
        <w:sz w:val="14"/>
        <w:szCs w:val="14"/>
      </w:rPr>
      <w:t xml:space="preserve">Tests clínicos de alta evidencia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 clínicos de alta evidencia</dc:title>
  <dc:creator>PhysiQ</dc:creator>
  <cp:lastModifiedBy>Un-named</cp:lastModifiedBy>
  <cp:revision>1</cp:revision>
  <dcterms:created xsi:type="dcterms:W3CDTF">2026-07-23T22:12:42.031Z</dcterms:created>
  <dcterms:modified xsi:type="dcterms:W3CDTF">2026-07-23T22:12:42.042Z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