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80"/>
        <w:jc w:val="center"/>
      </w:pPr>
      <w:r>
        <w:drawing>
          <wp:inline distT="0" distB="0" distL="0" distR="0">
            <wp:extent cx="864000" cy="864000"/>
            <wp:docPr id="1" name="Logo USNM" descr="Logo de l’Université Souleymane Niang de Mat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nm-logo.jp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 w:line="252" w:lineRule="auto"/>
        <w:jc w:val="center"/>
      </w:pPr>
      <w:r>
        <w:rPr>
          <w:rFonts w:ascii="Tahoma" w:hAnsi="Tahoma" w:cs="Tahoma" w:eastAsia="Arial Unicode MS"/>
          <w:b/>
          <w:bCs/>
          <w:color w:val="1F3864"/>
          <w:sz w:val="24"/>
          <w:szCs w:val="24"/>
        </w:rPr>
        <w:t xml:space="preserve">UNIVERSITÉ SOULEYMANE NIANG DE MATAM</w:t>
      </w:r>
    </w:p>
    <w:p>
      <w:pPr>
        <w:spacing w:before="0" w:after="240" w:line="252" w:lineRule="auto"/>
        <w:jc w:val="center"/>
      </w:pPr>
      <w:r>
        <w:rPr>
          <w:rFonts w:ascii="Tahoma" w:hAnsi="Tahoma" w:cs="Tahoma" w:eastAsia="Arial Unicode MS"/>
          <w:sz w:val="20"/>
          <w:szCs w:val="20"/>
        </w:rPr>
        <w:t xml:space="preserve">UFR des Sciences, des Technologies et de l’Innovation (UFR-STI) • Licence PCI • L1</w:t>
      </w: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4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40"/>
                <w:szCs w:val="40"/>
              </w:rPr>
              <w:t xml:space="preserve">Cahier d’activités de l’apprenant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sz w:val="26"/>
                <w:szCs w:val="26"/>
              </w:rPr>
              <w:t xml:space="preserve">Électricité 1 (LPCI1122) — Chapitre 2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26"/>
                <w:szCs w:val="26"/>
              </w:rPr>
              <w:t xml:space="preserve">Champ et potentiel électrostatiques</w:t>
            </w:r>
          </w:p>
        </w:tc>
      </w:tr>
    </w:tbl>
    <w:p>
      <w:pPr>
        <w:spacing w:after="0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700"/>
        <w:gridCol w:w="6362"/>
      </w:tblGrid>
      <w:tr>
        <w:trPr>
          <w:tblHeader/>
          <w:cantSplit/>
        </w:trPr>
        <w:tc>
          <w:tcPr>
            <w:tcW w:w="27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Élément</w:t>
            </w:r>
          </w:p>
        </w:tc>
        <w:tc>
          <w:tcPr>
            <w:tcW w:w="63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Information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Unité d’enseignement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Physique 1 (LPCI112) — EC Électricité 1 (LPCI1122), semestre 1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Enseignant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Dr Papa Touty TRAORÉ, Enseignant-Chercheur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Durée du chapitre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3 semaines, environ 11 h de travail personnel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Prérequis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Chapitre 1 (loi de Coulomb, superposition, densités de charge) ; produit scalaire, gradient ; coordonnées sphériques et cylindriques ; dérivées partielles, intégrales simples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Ressources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Plateforme physiquefacile.github.io, onglet Électricité 1, chapitre 2 : support de cours, diaporama (en ligne et PowerPoint), série de TD n°1 (exercices 4 à 11) et son corrigé, quiz d’auto-évaluation, exercices d’entraînement, simulations « Champ et potentiel », « Anneau chargé » et « Théorème de Gauss », vidéos du chapitre</w:t>
            </w:r>
          </w:p>
        </w:tc>
      </w:tr>
      <w:tr>
        <w:trPr>
          <w:cantSplit/>
        </w:trPr>
        <w:tc>
          <w:tcPr>
            <w:tcW w:w="27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Année universitaire</w:t>
            </w:r>
          </w:p>
        </w:tc>
        <w:tc>
          <w:tcPr>
            <w:tcW w:w="63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2026 – 2027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Mode d’emploi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Ce cahier rassemble les fiches de consignes des 8 activités d’apprentissage du chapitre. Fais-les dans l’ordre : chacune prépare la suivante.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Pour chaque activité, lis l’objectif visé, réalise le travail demandé, remets le produit attendu à l’échéance indiquée et vérifie ton travail avec les critères d’autoévaluation.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Les valeurs numériques des critères te permettent de contrôler tes résultats. Cherche toujours par toi-même avant de les consulter.</w:t>
      </w:r>
    </w:p>
    <w:p>
      <w:pPr>
        <w:spacing w:before="0" w:after="50" w:line="252" w:lineRule="auto"/>
        <w:ind w:left="284" w:hanging="284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• </w:t>
      </w:r>
      <w:r>
        <w:rPr>
          <w:rFonts w:ascii="Tahoma" w:hAnsi="Tahoma" w:cs="Tahoma" w:eastAsia="Arial Unicode MS"/>
          <w:sz w:val="22"/>
          <w:szCs w:val="22"/>
        </w:rPr>
        <w:t xml:space="preserve">Tous les documents cités (support de cours, diaporama, série de TD et corrigé, quiz, exercices d’entraînement, simulations, TP) se trouvent sur la plateforme physiquefacile.github.io.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Objectifs spécifiques du chapitre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OS1 — </w:t>
      </w:r>
      <w:r>
        <w:rPr>
          <w:rFonts w:ascii="Tahoma" w:hAnsi="Tahoma" w:cs="Tahoma" w:eastAsia="Arial Unicode MS"/>
          <w:sz w:val="22"/>
          <w:szCs w:val="22"/>
        </w:rPr>
        <w:t xml:space="preserve">Définir le champ et le potentiel électrostatiques ; relier travail, potentiel et énergie potentielle.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OS2 — </w:t>
      </w:r>
      <w:r>
        <w:rPr>
          <w:rFonts w:ascii="Tahoma" w:hAnsi="Tahoma" w:cs="Tahoma" w:eastAsia="Arial Unicode MS"/>
          <w:sz w:val="22"/>
          <w:szCs w:val="22"/>
        </w:rPr>
        <w:t xml:space="preserve">Calculer le champ et le potentiel d’une charge ponctuelle et de plusieurs charges ; connaître la méthode pour une distribution continue.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OS3 — </w:t>
      </w:r>
      <w:r>
        <w:rPr>
          <w:rFonts w:ascii="Tahoma" w:hAnsi="Tahoma" w:cs="Tahoma" w:eastAsia="Arial Unicode MS"/>
          <w:sz w:val="22"/>
          <w:szCs w:val="22"/>
        </w:rPr>
        <w:t xml:space="preserve">Utiliser la relation </w:t>
      </w:r>
      <w:r>
        <w:rPr>
          <w:rFonts w:ascii="Tahoma" w:hAnsi="Tahoma" w:cs="Tahoma" w:eastAsia="Arial Unicode MS"/>
          <w:b/>
          <w:bCs/>
          <w:sz w:val="22"/>
          <w:szCs w:val="22"/>
        </w:rPr>
        <w:t xml:space="preserve">E</w:t>
      </w:r>
      <w:r>
        <w:rPr>
          <w:rFonts w:ascii="Tahoma" w:hAnsi="Tahoma" w:cs="Tahoma" w:eastAsia="Arial Unicode MS"/>
          <w:sz w:val="22"/>
          <w:szCs w:val="22"/>
        </w:rPr>
        <w:t xml:space="preserve"> = −</w:t>
      </w:r>
      <w:r>
        <w:rPr>
          <w:rFonts w:ascii="Tahoma" w:hAnsi="Tahoma" w:cs="Tahoma" w:eastAsia="Arial Unicode MS"/>
          <w:b/>
          <w:bCs/>
          <w:sz w:val="22"/>
          <w:szCs w:val="22"/>
        </w:rPr>
        <w:t xml:space="preserve">grad</w:t>
      </w:r>
      <w:r>
        <w:rPr>
          <w:rFonts w:ascii="Tahoma" w:hAnsi="Tahoma" w:cs="Tahoma" w:eastAsia="Arial Unicode MS"/>
          <w:sz w:val="22"/>
          <w:szCs w:val="22"/>
        </w:rPr>
        <w:t xml:space="preserve"> V.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OS4 — </w:t>
      </w:r>
      <w:r>
        <w:rPr>
          <w:rFonts w:ascii="Tahoma" w:hAnsi="Tahoma" w:cs="Tahoma" w:eastAsia="Arial Unicode MS"/>
          <w:sz w:val="22"/>
          <w:szCs w:val="22"/>
        </w:rPr>
        <w:t xml:space="preserve">Définir l’angle solide et le flux ; énoncer, démontrer et appliquer le théorème de Gauss.</w:t>
      </w:r>
    </w:p>
    <w:p>
      <w:pPr>
        <w:spacing w:before="0" w:after="50" w:line="252" w:lineRule="auto"/>
        <w:ind w:left="680" w:hanging="680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OS5 — </w:t>
      </w:r>
      <w:r>
        <w:rPr>
          <w:rFonts w:ascii="Tahoma" w:hAnsi="Tahoma" w:cs="Tahoma" w:eastAsia="Arial Unicode MS"/>
          <w:sz w:val="22"/>
          <w:szCs w:val="22"/>
        </w:rPr>
        <w:t xml:space="preserve">Connaître les propriétés du champ et du potentiel ; écrire les équations de Poisson et de Laplace.</w:t>
      </w:r>
    </w:p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Tableau des activités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620"/>
        <w:gridCol w:w="900"/>
        <w:gridCol w:w="3900"/>
        <w:gridCol w:w="720"/>
        <w:gridCol w:w="1100"/>
        <w:gridCol w:w="1822"/>
      </w:tblGrid>
      <w:tr>
        <w:trPr>
          <w:tblHeader/>
          <w:cantSplit/>
        </w:trPr>
        <w:tc>
          <w:tcPr>
            <w:tcW w:w="6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Fiche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Activité</w:t>
            </w:r>
          </w:p>
        </w:tc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Intitulé</w:t>
            </w:r>
          </w:p>
        </w:tc>
        <w:tc>
          <w:tcPr>
            <w:tcW w:w="72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OS</w:t>
            </w:r>
          </w:p>
        </w:tc>
        <w:tc>
          <w:tcPr>
            <w:tcW w:w="11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Durée</w:t>
            </w:r>
          </w:p>
        </w:tc>
        <w:tc>
          <w:tcPr>
            <w:tcW w:w="182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A1.1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Définir le champ et le potentiel d’une charge ponctuelle ; relier travail et potentiel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02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champ et le potentiel créés par plusieurs charges ponctuelles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1,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03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A2.2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le champ et le potentiel d’une distribution continue de charges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OS2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2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04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A3.1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Déduire le champ du potentiel : E = −grad V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OS3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05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Calculer un angle solide et un flux ; énoncer le théorème de Gauss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15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2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06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A4.2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Appliquer le théorème de Gauss à une boule chargée en volume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OS4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 30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3, avant la séance de TD n°1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07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A5.1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Écrire les équations locales : équations de Poisson et de Laplace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45 min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semaine 3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08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A5.2</w:t>
            </w:r>
          </w:p>
        </w:tc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Faire le bilan du chapitre : quiz, entraînement et autoévaluation</w:t>
            </w:r>
          </w:p>
        </w:tc>
        <w:tc>
          <w:tcPr>
            <w:tcW w:w="72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OS1–5</w:t>
            </w:r>
          </w:p>
        </w:tc>
        <w:tc>
          <w:tcPr>
            <w:tcW w:w="11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1 h</w:t>
            </w:r>
          </w:p>
        </w:tc>
        <w:tc>
          <w:tcPr>
            <w:tcW w:w="182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17"/>
                <w:szCs w:val="17"/>
              </w:rPr>
              <w:t xml:space="preserve">fin de la semaine 3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01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OS1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le champ et le potentiel électrostatiques ; relier travail, potentiel et énergie potentielle.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A1.1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le champ et le potentiel d’une charge ponctuelle ; relier travail et potentiel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2.1 et 2.2 du support (p. 3 à 6) et regarde la vidéo « Champ d’une charge ponctuelle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Recopie les expressions du champ et du potentiel d’une charge ponctuelle, ainsi que la relation W(A → B) = q (V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−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n°1 (« Champ et potentiel d’une charge ponctuelle ») jusqu’à le réussir deux fois de suite avec des valeurs différentes.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n°4 (« Travail de la force électrique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séance, avec le support de cours (PDF de la plateforme).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expressions recopiées et les données de deux essais réussis par exercice d’entraînement,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n°1.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 = q / (4πε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r²), radial ; V = q / (4πε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r), nul à l’infini.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dire si le travail de la force électrique est moteur ou résistant d’après le signe de q (V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A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−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B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exercices d’entraînement n°1 et n°4 sont marqués « juste ».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semaine 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02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champ et le potentiel d’une charge ponctuelle et de plusieurs charges ; connaître la méthode pour une distribution continue.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champ et le potentiel créés par plusieurs charges ponctuelles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2.3 du support (p. 7).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Champ et potentiel » : place deux charges de même signe, puis de signes opposés, et observe les lignes de champ.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4 (deux charges égales) et 5 (deux charges opposées)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n°5 (« Champ et potentiel de deux charges en un point du plan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additionner les champs vectoriellement et les potentiels algébriquement.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4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720 V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11 520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V/m ;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O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1200 V et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O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; W(M → O) = −7,68 × 10⁻¹⁷ J (travail résistant).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5 : V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M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 sur la médiatrice ;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(M) = 2Kqa / (a² + y²)^(3/2)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, dirigé de +q vers −q.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1,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03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OS2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champ et le potentiel d’une charge ponctuelle et de plusieurs charges ; connaître la méthode pour une distribution continue.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A2.2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le champ et le potentiel d’une distribution continue de charges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la section 2.4 du support (p. 8) : méthode générale (élément de charge, symétries, intégration).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Anneau chargé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les exercices 6 (anneau), 7 (fil infini) et 8 (disque et plan infini) de la série de TD n°1.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n°3 (« Anneau chargé : champ sur l’axe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expressions littérales avant toute application numérique ; résultats encadrés, avec leur unité et un nombre raisonnable de chiffres significatifs.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Anneau : V(z) = KQ / √(R² + z²) et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z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KQz / (R² + z²)^(3/2), maximal en z = R/√2 ; application : V ≈ 636 V et E ≈ 3,2 × 10³ V/m.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Fil infini : E = λ / (2πε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d).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Disque : V(z) = σ/(2ε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(√(R² + z²) − z) ; plan infini : E = σ/(2ε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de chaque côté, saut de σ/ε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à la traversée.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 h. Échéance : semaine 2,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04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OS3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Utiliser la relation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grad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V.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A3.1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Déduire le champ du potentiel : E = −grad V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dans la section 2.2 du support la relation entre champ et potentiel, et le paragraphe sur les surfaces équipotentielles (section 2.7, p. 12).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la question 1 de l’exercice 11 de la série de TD n°1 (V = 2x² − 3y + z).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Retrouve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z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de l’anneau (exercice 6) en dérivant V(z) par rapport à z.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11 :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−4x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+ 3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j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−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k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(V/m) ; au point P(1 ; 0 ; 0), E = √26 ≈ 5,1 V/m.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Anneau : −dV/dz redonne bien E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z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KQz / (R² + z²)^(3/2).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Tu sais que le champ est perpendiculaire aux équipotentielles et dirigé vers les potentiels décroissants.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05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l’angle solide et le flux ; énoncer, démontrer et appliquer le théorème de Gauss.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Calculer un angle solide et un flux ; énoncer le théorème de Gauss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2.5 et 2.6 du support (p. 8 à 11) et regarde la vidéo « Théorème de Gauss ».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Manipule la simulation « Théorème de Gauss » : déplace la surface et vérifie que le flux ne dépend que des charges intérieures.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l’exercice 9 de la série de TD n°1 (flux et théorème de Gauss).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Flux à travers Σ : Φ = (q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+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)/ε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226 V·m ; la charge extérieure q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3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modifie le champ sur Σ mais pas le flux.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Cône de demi-angle 60° : Ω = π sr et Φ = q/(4ε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≈ 28 V·m.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15. Échéance : semaine 2.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06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OS4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Définir l’angle solide et le flux ; énoncer, démontrer et appliquer le théorème de Gauss.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A4.2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Appliquer le théorème de Gauss à une boule chargée en volume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Regarde la vidéo « Sphère chargée en volume » (correction filmée de l’exercice 10).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seul l’exercice 10 de la série de TD n°1 : symétries, surface de Gauss, champ à l’intérieur et à l’extérieur, potentiel.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page « Entraînement », fais l’exercice n°2 (« Boule chargée en volume : théorème de Gauss ») jusqu’à le réussir deux fois de suite avec des valeurs différentes.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Exigences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justifier la direction du champ et le choix de la surface de Gauss avant tout calcul.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E(r) = ρr/(3ε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) pour r &lt; R et E(r) = Q/(4πε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r²) pour r &gt; R ; maximum en r = R.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Application : E(R/2) = 1,8 × 10⁴ V/m, E(R) = 3,6 × 10⁴ V/m, E(2R) = 9 × 10³ V/m ; V(R) = 1800 V et V(0) = 2700 V.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 30. Échéance : semaine 3, avant la séance de TD n°1.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07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OS5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Connaître les propriétés du champ et du potentiel ; écrire les équations de Poisson et de Laplace.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A5.1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Écrire les équations locales : équations de Poisson et de Laplace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Lis les sections 2.7 et 2.8 du support (p. 12 et 13).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Traite la question 2 de l’exercice 11 de la série de TD n°1 (divergence et densité de charge).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Vérifie sur la boule chargée (exercice 10) que div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ρ/ε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à l’intérieur.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préparé hors séance ; correction collective en séance de TD.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Les solutions rédigées dans ton cahier : schéma si besoin, expressions littérales avant les applications numériques, résultats encadrés avec leur unité.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en séance de TD (série n°1). Ne consulte le corrigé détaillé de la plateforme qu’après avoir rédigé ta propre solution.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 11 : div </w:t>
            </w: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E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−4, donc ρ = −4ε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≈ −3,5 × 10⁻¹¹ C/m³ ; l’équation de Poisson ΔV + ρ/ε</w:t>
            </w:r>
            <w:r>
              <w:rPr>
                <w:rFonts w:ascii="Tahoma" w:hAnsi="Tahoma" w:cs="Tahoma" w:eastAsia="Arial Unicode MS"/>
                <w:sz w:val="22"/>
                <w:szCs w:val="22"/>
                <w:vertAlign w:val="subscript"/>
              </w:rPr>
              <w:t xml:space="preserve">0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= 0 est vérifiée.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Boule : la forme locale du théorème de Gauss est vérifiée à l’intérieur.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45 min. Échéance :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Fiche de consignes d’activités 08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Objectif spécifique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Synthèse —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Mobiliser l’ensemble des compétences du chapitre (objectifs spécifiques 1 à 5) et évaluer sa propre maîtrise.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Activité</w:t>
      </w:r>
      <w:r>
        <w:rPr>
          <w:rFonts w:ascii="Tahoma" w:hAnsi="Tahoma" w:cs="Tahoma" w:eastAsia="Arial Unicode MS"/>
          <w:sz w:val="24"/>
          <w:szCs w:val="24"/>
        </w:rPr>
        <w:t xml:space="preserve"> A5.2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Intitulé de l’activité :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Faire le bilan du chapitre : quiz, entraînement et autoévaluation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Travail demandé et modalités de réalisation des tâches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Relis la fiche « L’essentiel du chapitre » (support, p. 14) et vérifie que tu sais redémontrer chaque résultat encadré.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2.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Sur la plateforme, fais le quiz d’auto-évaluation du chapitre jusqu’à obtenir au moins 8/10.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3.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Refais les exercices d’entraînement du chapitre (n°1 à n°5) sur la plateforme, avec de nouvelles valeurs, jusqu’à les réussir.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4.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Remplis la grille d’autoévaluation à la fin de ce cahier.</w:t>
            </w:r>
          </w:p>
          <w:p>
            <w:pPr>
              <w:spacing w:before="0" w:after="50" w:line="252" w:lineRule="auto"/>
              <w:ind w:left="340" w:hanging="340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5.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Pour chaque compétence « à revoir », note où retravailler et une question précise à poser en TD (TD n°1).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Modalités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travail individuel hors séance.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Produit attendu et modalités de restitution (in situ) ou de dépôt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Ton meilleur score au quiz, la grille d’autoévaluation remplie et ta question, notés dans ton cahier.</w:t>
            </w:r>
          </w:p>
          <w:p>
            <w:pPr>
              <w:spacing w:before="0" w:after="70" w:line="252" w:lineRule="auto"/>
              <w:jc w:val="both"/>
            </w:pPr>
            <w:r>
              <w:rPr>
                <w:rFonts w:ascii="Tahoma" w:hAnsi="Tahoma" w:cs="Tahoma" w:eastAsia="Arial Unicode MS"/>
                <w:b/>
                <w:bCs/>
                <w:sz w:val="22"/>
                <w:szCs w:val="22"/>
              </w:rPr>
              <w:t xml:space="preserve">Restitution :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 présentés à l’enseignant lors de la dernière séance de TD du chapitre.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Critères d’autoévaluation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Score au quiz supérieur ou égal à 8/10.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Exercices d’entraînement du chapitre réussis (au moins 4 sur 5).</w:t>
            </w:r>
          </w:p>
          <w:p>
            <w:pPr>
              <w:spacing w:before="0" w:after="50" w:line="252" w:lineRule="auto"/>
              <w:ind w:left="284" w:hanging="284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• </w:t>
            </w: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Chaque compétence de la grille est cochée « acquis », ou accompagnée d’un plan de révision précis.</w:t>
            </w:r>
          </w:p>
        </w:tc>
      </w:tr>
    </w:tbl>
    <w:p>
      <w:pPr>
        <w:keepNext/>
        <w:spacing w:before="150" w:after="70" w:line="252" w:lineRule="auto"/>
        <w:jc w:val="left"/>
      </w:pPr>
      <w:r>
        <w:rPr>
          <w:rFonts w:ascii="Tahoma" w:hAnsi="Tahoma" w:cs="Tahoma" w:eastAsia="Arial Unicode MS"/>
          <w:b/>
          <w:bCs/>
          <w:sz w:val="24"/>
          <w:szCs w:val="24"/>
          <w:u w:val="single"/>
        </w:rPr>
        <w:t xml:space="preserve">Échéancier / durée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both"/>
            </w:pPr>
            <w:r>
              <w:rPr>
                <w:rFonts w:ascii="Tahoma" w:hAnsi="Tahoma" w:cs="Tahoma" w:eastAsia="Arial Unicode MS"/>
                <w:sz w:val="22"/>
                <w:szCs w:val="22"/>
              </w:rPr>
              <w:t xml:space="preserve">1 h. Échéance : fin de la semaine 3.</w:t>
            </w:r>
          </w:p>
        </w:tc>
      </w:tr>
    </w:tbl>
    <w:p>
      <w:pPr>
        <w:pageBreakBefore/>
        <w:spacing w:after="0"/>
      </w:pPr>
    </w:p>
    <w:tbl>
      <w:tblPr>
        <w:tblW w:w="906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val="04A0" w:firstRow="1" w:lastRow="0" w:firstColumn="1" w:lastColumn="0" w:noHBand="0" w:noVBand="1"/>
      </w:tblPr>
      <w:tblGrid>
        <w:gridCol w:w="9062"/>
      </w:tblGrid>
      <w:tr>
        <w:trPr>
          <w:cantSplit/>
        </w:trPr>
        <w:tc>
          <w:tcPr>
            <w:tcW w:w="9062" w:type="dxa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b/>
                <w:bCs/>
                <w:sz w:val="36"/>
                <w:szCs w:val="36"/>
              </w:rPr>
              <w:t xml:space="preserve">Grille d’autoévaluation du chapitre</w:t>
            </w:r>
          </w:p>
        </w:tc>
      </w:tr>
    </w:tbl>
    <w:p>
      <w:pPr>
        <w:spacing w:before="160" w:after="120" w:line="252" w:lineRule="auto"/>
        <w:jc w:val="both"/>
      </w:pPr>
      <w:r>
        <w:rPr>
          <w:rFonts w:ascii="Tahoma" w:hAnsi="Tahoma" w:cs="Tahoma" w:eastAsia="Arial Unicode MS"/>
          <w:sz w:val="22"/>
          <w:szCs w:val="22"/>
        </w:rPr>
        <w:t xml:space="preserve">Coche une case par compétence à la fin du chapitre. Pour chaque compétence « à revoir », reprends les activités indiquées.</w:t>
      </w: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900"/>
        <w:gridCol w:w="1000"/>
        <w:gridCol w:w="32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Compétence (objectif spécifique)</w:t>
            </w:r>
          </w:p>
        </w:tc>
        <w:tc>
          <w:tcPr>
            <w:tcW w:w="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Acquis</w:t>
            </w:r>
          </w:p>
        </w:tc>
        <w:tc>
          <w:tcPr>
            <w:tcW w:w="10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revoir</w:t>
            </w:r>
          </w:p>
        </w:tc>
        <w:tc>
          <w:tcPr>
            <w:tcW w:w="32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Où retravailler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OS1 — Champ, potentiel, travail et énergie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A1.1 ; support § 2.1 et 2.2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OS2 — Charges ponctuelles et distributions continues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A2.1 et A2.2 ; support § 2.3 et 2.4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OS3 — Relation E = −grad V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A3.1 ; support § 2.2 et 2.7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OS4 — Angle solide, flux, théorème de Gauss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Activités A4.1 et A4.2 ; support § 2.5 et 2.6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OS5 — Propriétés, équations de Poisson et de Laplace</w:t>
            </w:r>
          </w:p>
        </w:tc>
        <w:tc>
          <w:tcPr>
            <w:tcW w:w="9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☐</w:t>
            </w:r>
          </w:p>
        </w:tc>
        <w:tc>
          <w:tcPr>
            <w:tcW w:w="32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Activité A5.1 ; support § 2.7 et 2.8</w:t>
            </w:r>
          </w:p>
        </w:tc>
      </w:tr>
    </w:tbl>
    <w:p>
      <w:pPr>
        <w:spacing w:before="0" w:after="120" w:line="252" w:lineRule="auto"/>
        <w:jc w:val="both"/>
      </w:pPr>
    </w:p>
    <w:tbl>
      <w:tblPr>
        <w:tblW w:w="9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900"/>
        <w:gridCol w:w="5162"/>
      </w:tblGrid>
      <w:tr>
        <w:trPr>
          <w:tblHeader/>
          <w:cantSplit/>
        </w:trPr>
        <w:tc>
          <w:tcPr>
            <w:tcW w:w="3900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Bilan</w:t>
            </w:r>
          </w:p>
        </w:tc>
        <w:tc>
          <w:tcPr>
            <w:tcW w:w="5162" w:type="dxa"/>
            <w:shd w:val="clear" w:color="auto" w:fill="D9E2F3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b/>
                <w:bCs/>
                <w:sz w:val="20"/>
                <w:szCs w:val="20"/>
              </w:rPr>
              <w:t xml:space="preserve">À compléter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Meilleur score au quiz du chapitre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10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Exercices d’entraînement réussis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 / 5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Question à poser en TD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  <w:tr>
        <w:trPr>
          <w:cantSplit/>
        </w:trPr>
        <w:tc>
          <w:tcPr>
            <w:tcW w:w="3900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Date et signature de l’étudiant</w:t>
            </w:r>
          </w:p>
        </w:tc>
        <w:tc>
          <w:tcPr>
            <w:tcW w:w="5162" w:type="dxa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ahoma" w:hAnsi="Tahoma" w:cs="Tahoma" w:eastAsia="Arial Unicode MS"/>
                <w:sz w:val="20"/>
                <w:szCs w:val="20"/>
              </w:rPr>
              <w:t xml:space="preserve">…………………………………………………………………………</w:t>
            </w:r>
          </w:p>
        </w:tc>
      </w:tr>
    </w:tbl>
    <w:sectPr>
      <w:footerReference w:type="default" r:id="rId91"/>
      <w:pgSz w:w="11906" w:h="16838"/>
      <w:pgMar w:top="1134" w:right="1417" w:bottom="1134" w:left="141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A6A6A6"/>
      </w:pBdr>
      <w:tabs>
        <w:tab w:val="right" w:pos="9072"/>
      </w:tabs>
      <w:spacing w:after="0"/>
    </w:pPr>
    <w:r>
      <w:rPr>
        <w:rFonts w:ascii="Tahoma" w:hAnsi="Tahoma" w:cs="Tahoma" w:eastAsia="Arial Unicode MS"/>
        <w:color w:val="595959"/>
        <w:sz w:val="16"/>
        <w:szCs w:val="16"/>
      </w:rPr>
      <w:t xml:space="preserve">Université Souleymane Niang de Matam • Électricité 1 — Chapitre 2 • Cahier d’activités</w:t>
    </w:r>
    <w:r>
      <w:rPr>
        <w:rFonts w:ascii="Tahoma" w:hAnsi="Tahoma" w:cs="Tahoma" w:eastAsia="Arial Unicode MS"/>
        <w:sz w:val="16"/>
        <w:szCs w:val="16"/>
      </w:rPr>
      <w:tab/>
    </w:r>
    <w:r>
      <w:rPr>
        <w:rFonts w:ascii="Tahoma" w:hAnsi="Tahoma" w:cs="Tahoma" w:eastAsia="Arial Unicode MS"/>
        <w:color w:val="595959"/>
        <w:sz w:val="16"/>
        <w:szCs w:val="16"/>
      </w:rPr>
      <w:t xml:space="preserve">Page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PAGE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  <w:r>
      <w:rPr>
        <w:rFonts w:ascii="Tahoma" w:hAnsi="Tahoma" w:cs="Tahoma" w:eastAsia="Arial Unicode MS"/>
        <w:color w:val="595959"/>
        <w:sz w:val="16"/>
        <w:szCs w:val="16"/>
      </w:rPr>
      <w:t xml:space="preserve"> / </w:t>
    </w:r>
    <w:r>
      <w:rPr>
        <w:rFonts w:ascii="Tahoma" w:hAnsi="Tahoma" w:cs="Tahoma" w:eastAsia="Arial Unicode MS"/>
        <w:color w:val="595959"/>
        <w:sz w:val="16"/>
        <w:szCs w:val="16"/>
      </w:rPr>
      <w:fldChar w:fldCharType="begin"/>
    </w:r>
    <w:r>
      <w:rPr>
        <w:rFonts w:ascii="Tahoma" w:hAnsi="Tahoma" w:cs="Tahoma" w:eastAsia="Arial Unicode MS"/>
        <w:color w:val="595959"/>
        <w:sz w:val="16"/>
        <w:szCs w:val="16"/>
      </w:rPr>
      <w:instrText xml:space="preserve"> NUMPAGES </w:instrText>
    </w:r>
    <w:r>
      <w:rPr>
        <w:rFonts w:ascii="Tahoma" w:hAnsi="Tahoma" w:cs="Tahoma" w:eastAsia="Arial Unicode MS"/>
        <w:color w:val="595959"/>
        <w:sz w:val="16"/>
        <w:szCs w:val="16"/>
      </w:rPr>
      <w:fldChar w:fldCharType="separate"/>
    </w:r>
    <w:r>
      <w:rPr>
        <w:rFonts w:ascii="Tahoma" w:hAnsi="Tahoma" w:cs="Tahoma" w:eastAsia="Arial Unicode MS"/>
        <w:color w:val="595959"/>
        <w:sz w:val="16"/>
        <w:szCs w:val="16"/>
      </w:rPr>
      <w:t>1</w:t>
    </w:r>
    <w:r>
      <w:rPr>
        <w:rFonts w:ascii="Tahoma" w:hAnsi="Tahoma" w:cs="Tahoma" w:eastAsia="Arial Unicode MS"/>
        <w:color w:val="595959"/>
        <w:sz w:val="16"/>
        <w:szCs w:val="16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CB"/>
    <w:rsid w:val="006010F4"/>
    <w:rsid w:val="006503CB"/>
    <w:rsid w:val="007423EC"/>
    <w:rsid w:val="00E20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781B4"/>
  <w15:chartTrackingRefBased/>
  <w15:docId w15:val="{43102510-C880-4DFB-B4A6-8C11A9427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Theme="minorHAnsi" w:hAnsi="Tahoma" w:cs="Tahoma"/>
        <w:kern w:val="2"/>
        <w:sz w:val="24"/>
        <w:szCs w:val="24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3CB"/>
    <w:pPr>
      <w:spacing w:after="120" w:line="264" w:lineRule="auto"/>
    </w:pPr>
    <w:rPr>
      <w:rFonts w:asciiTheme="minorHAnsi" w:eastAsiaTheme="minorEastAsia" w:hAnsiTheme="minorHAnsi" w:cstheme="minorBidi"/>
      <w:kern w:val="0"/>
      <w:sz w:val="20"/>
      <w:szCs w:val="2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6503CB"/>
    <w:pPr>
      <w:autoSpaceDE w:val="0"/>
      <w:autoSpaceDN w:val="0"/>
      <w:adjustRightInd w:val="0"/>
      <w:spacing w:after="0" w:line="240" w:lineRule="auto"/>
    </w:pPr>
    <w:rPr>
      <w:rFonts w:ascii="Monotype Corsiva" w:eastAsia="Calibri" w:hAnsi="Monotype Corsiva" w:cs="Monotype Corsiva"/>
      <w:color w:val="000000"/>
      <w:kern w:val="0"/>
      <w:lang w:val="fr-FR"/>
      <w14:ligatures w14:val="none"/>
    </w:rPr>
  </w:style>
  <w:style w:type="character" w:styleId="Lienhypertexte">
    <w:name w:val="Hyperlink"/>
    <w:uiPriority w:val="99"/>
    <w:unhideWhenUsed/>
    <w:rsid w:val="006503CB"/>
    <w:rPr>
      <w:color w:val="33333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0" Type="http://schemas.openxmlformats.org/officeDocument/2006/relationships/image" Target="media/usnm-logo.jpg"/><Relationship Id="rId9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Dr Papa Touty Traoré</dc:creator>
  <cp:keywords/>
  <dc:description/>
  <cp:lastModifiedBy>Mansour Thiao</cp:lastModifiedBy>
  <cp:revision>3</cp:revision>
  <dcterms:created xsi:type="dcterms:W3CDTF">2026-08-28T09:25:00Z</dcterms:created>
  <dcterms:modified xsi:type="dcterms:W3CDTF">2026-08-29T11:49:00Z</dcterms:modified>
  <dc:title>Cahier d’activités — Électricité 1, chapitre 2</dc:title>
</cp:coreProperties>
</file>