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drawing>
          <wp:inline distT="0" distB="0" distL="0" distR="0">
            <wp:extent cx="864000" cy="864000"/>
            <wp:docPr id="1" name="Logo USNM" descr="Logo de l’Université Souleymane Niang de Mat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nm-logo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Tahoma" w:hAnsi="Tahoma" w:cs="Tahoma" w:eastAsia="Arial Unicode MS"/>
          <w:b/>
          <w:bCs/>
          <w:color w:val="1F3864"/>
          <w:sz w:val="24"/>
          <w:szCs w:val="24"/>
        </w:rPr>
        <w:t xml:space="preserve">UNIVERSITÉ SOULEYMANE NIANG DE MATAM</w:t>
      </w:r>
    </w:p>
    <w:p>
      <w:pPr>
        <w:spacing w:before="0" w:after="240" w:line="252" w:lineRule="auto"/>
        <w:jc w:val="center"/>
      </w:pPr>
      <w:r>
        <w:rPr>
          <w:rFonts w:ascii="Tahoma" w:hAnsi="Tahoma" w:cs="Tahoma" w:eastAsia="Arial Unicode MS"/>
          <w:sz w:val="20"/>
          <w:szCs w:val="20"/>
        </w:rPr>
        <w:t xml:space="preserve">UFR des Sciences, des Technologies et de l’Innovation (UFR-STI) • Licence BCG • L1</w:t>
      </w: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4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40"/>
                <w:szCs w:val="40"/>
              </w:rPr>
              <w:t xml:space="preserve">Cahier d’activités de l’apprenant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sz w:val="26"/>
                <w:szCs w:val="26"/>
              </w:rPr>
              <w:t xml:space="preserve">Physique générale 2 (LBCG1221) — Chapitre 2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26"/>
                <w:szCs w:val="26"/>
              </w:rPr>
              <w:t xml:space="preserve">Thermodynamique (2) : second principe et changements d’état</w:t>
            </w:r>
          </w:p>
        </w:tc>
      </w:tr>
    </w:tbl>
    <w:p>
      <w:pPr>
        <w:spacing w:after="0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6362"/>
      </w:tblGrid>
      <w:tr>
        <w:trPr>
          <w:tblHeader/>
          <w:cantSplit/>
        </w:trPr>
        <w:tc>
          <w:tcPr>
            <w:tcW w:w="27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w="63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Information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Unité d’enseignement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Physique 2 (LBCG122) — EC Physique générale 2 (LBCG1221), Licence BCG, semestre 2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Enseignant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Dr Papa Touty TRAORÉ, Enseignant-Chercheur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Durée du chapitre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3 semaines, environ 9 h de travail personnel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Prérequis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Chapitre 1 (premier principe, gaz parfait) ; logarithme népérien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Ressources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Plateforme physiquefacile.github.io, Licence BCG, onglet Physique générale 2, chapitre 2 : support de cours (démonstrations, exemples, exercices d’entraînement corrigés, fiche « L’essentiel »), série de TD n°2 et son corrigé détaillé, quiz « Second principe et changements d’état »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Année universitaire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2026 – 2027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Mode d’emploi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Ce cahier rassemble les fiches de consignes des 5 activités d’apprentissage du chapitre. Fais-les dans l’ordre : chacune prépare la suivante.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Pour chaque activité, lis l’objectif visé, réalise le travail demandé, remets le produit attendu à l’échéance indiquée et vérifie ton travail avec les critères d’autoévaluation.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valeurs numériques des critères te permettent de contrôler tes résultats. Cherche toujours par toi-même avant de les consulter.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objectifs spécifiques (OS) et les codes des activités sont ceux du syllabus de l’EC LBCG1221 : par exemple, A21 est la première activité de l’OS2 ; B2 est le bilan du chapitre.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Tous les documents cités (support de cours, série de TD et corrigé, quiz, simulations, TP) se trouvent sur la plateforme physiquefacile.github.io.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Objectifs spécifiques du syllabus visés (LBCG1221)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OS2 — </w:t>
      </w:r>
      <w:r>
        <w:rPr>
          <w:rFonts w:ascii="Tahoma" w:hAnsi="Tahoma" w:cs="Tahoma" w:eastAsia="Arial Unicode MS"/>
          <w:sz w:val="22"/>
          <w:szCs w:val="22"/>
        </w:rPr>
        <w:t xml:space="preserve">Appliquer le second principe : machines thermiques, entropie, enthalpie libre et changements d’état.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Résultats d’apprentissage attendus du chapitre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(OS2) </w:t>
      </w:r>
      <w:r>
        <w:rPr>
          <w:rFonts w:ascii="Tahoma" w:hAnsi="Tahoma" w:cs="Tahoma" w:eastAsia="Arial Unicode MS"/>
          <w:sz w:val="22"/>
          <w:szCs w:val="22"/>
        </w:rPr>
        <w:t xml:space="preserve">Faire le bilan énergétique d’une machine thermique ; utiliser le rendement et l’efficacité de Carnot.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(OS2) </w:t>
      </w:r>
      <w:r>
        <w:rPr>
          <w:rFonts w:ascii="Tahoma" w:hAnsi="Tahoma" w:cs="Tahoma" w:eastAsia="Arial Unicode MS"/>
          <w:sz w:val="22"/>
          <w:szCs w:val="22"/>
        </w:rPr>
        <w:t xml:space="preserve">Calculer une variation d’entropie ; distinguer entropie échangée et entropie créée.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(OS2) </w:t>
      </w:r>
      <w:r>
        <w:rPr>
          <w:rFonts w:ascii="Tahoma" w:hAnsi="Tahoma" w:cs="Tahoma" w:eastAsia="Arial Unicode MS"/>
          <w:sz w:val="22"/>
          <w:szCs w:val="22"/>
        </w:rPr>
        <w:t xml:space="preserve">Prévoir la spontanéité d’une transformation à l’aide de l’enthalpie libre.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(OS2) </w:t>
      </w:r>
      <w:r>
        <w:rPr>
          <w:rFonts w:ascii="Tahoma" w:hAnsi="Tahoma" w:cs="Tahoma" w:eastAsia="Arial Unicode MS"/>
          <w:sz w:val="22"/>
          <w:szCs w:val="22"/>
        </w:rPr>
        <w:t xml:space="preserve">Lire un diagramme de phases ; utiliser la pression de vapeur saturante et la relation de Clapeyron.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Tableau des activités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900"/>
        <w:gridCol w:w="3900"/>
        <w:gridCol w:w="720"/>
        <w:gridCol w:w="1100"/>
        <w:gridCol w:w="1822"/>
      </w:tblGrid>
      <w:tr>
        <w:trPr>
          <w:tblHeader/>
          <w:cantSplit/>
        </w:trPr>
        <w:tc>
          <w:tcPr>
            <w:tcW w:w="6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Fiche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Activité</w:t>
            </w:r>
          </w:p>
        </w:tc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Intitulé</w:t>
            </w:r>
          </w:p>
        </w:tc>
        <w:tc>
          <w:tcPr>
            <w:tcW w:w="7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Durée</w:t>
            </w:r>
          </w:p>
        </w:tc>
        <w:tc>
          <w:tcPr>
            <w:tcW w:w="182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Échéance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le bilan d’une machine thermique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2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Calculer une variation d’entropie et l’entropie créée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2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2, avant la séance de TD n°2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03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A23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Prévoir la spontanéité avec l’enthalpie libre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04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A24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Lire un diagramme de phases ; utiliser la relation de Clapeyron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3, avant la séance de TD n°2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05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B2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le bilan du chapitre : exercices corrigés, quiz et autoévaluation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fin de la semaine 3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01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 second principe : machines thermiques, entropie, enthalpie libre et changements d’état.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énergétique d’une machine thermique ; utiliser le rendement et l’efficacité de Carnot.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d’une machine thermique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2.1 du support de cours (p. 3) : irréversibilité, énoncés de Clausius et Kelvin, machines thermiques, cycle de Carnot.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Refais seul la démonstration de η = 1 − T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f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/ T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c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pour le cycle de Carnot d’un gaz parfait.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1 (« Moteur d’une pirogue ») et 2 (« Réfrigérateur de laboratoire ») de la série de TD n°2.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n°2).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1 : travail fourni 0,50 kJ par cycle, η ≈ 28 % contre 83 % pour Carnot ; puissance 25 kW.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2 :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max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5,1 ; puissance minimale ≈ 30 W, réelle 75 W.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 h. Échéance : semaine 1, avant la séance de TD n°2.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 second principe : machines thermiques, entropie, enthalpie libre et changements d’état.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une variation d’entropie ; distinguer entropie échangée et entropie créée.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une variation d’entropie et l’entropie créée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2.2 du support de cours (p. 5) : définition de l’entropie, bilan d’entropie, calculs usuels.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Construis une fiche des formules de ΔS : chauffage, changement d’état, gaz parfait, thermostat.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3 (« Eau chaude dans un lac »), 4 (« De la glace à la vapeur ») et 5 (« Diffusion d’un gaz : entropie de mélange ») de la série de TD n°2.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« Second principe et changements d’état » et note ton score ; refais-le jusqu’à obtenir au moins 8/10.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n°2).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3 : ΔS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eau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−1,56 × 10³ J/K ; ΔS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lac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+1,71 × 10³ J/K ; entropie créée ≈ +1,5 × 10² J/K &gt; 0.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4 : ΔS ≈ 8,6 × 10³ J/K, dont 70 % pour la vaporisation.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5 : ΔS = 2R ln 2 ≈ 11,5 J/K, entièrement créée.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 h 30. Échéance : semaine 2, avant la séance de TD n°2.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 second principe : machines thermiques, entropie, enthalpie libre et changements d’état.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Prévoir la spontanéité d’une transformation à l’aide de l’enthalpie libre.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A23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Prévoir la spontanéité avec l’enthalpie libre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2.3 du support de cours (p. 7) : énergie libre, enthalpie libre, critère d’évolution.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6 de la série de TD n°2 (« Dénaturation d’une protéine »).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Rédige cinq lignes : comment une cellule réalise-t-elle une réaction de ΔG &gt; 0 ? (couplage avec l’hydrolyse de l’ATP).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n°2).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6 : ΔG ≈ +28 kJ/mol à 37 °C (forme repliée stable) ; température de dénaturation ≈ 333 K ≈ 60 °C.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texte utilise l’additivité des ΔG de deux réactions couplées.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 second principe : machines thermiques, entropie, enthalpie libre et changements d’état.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Lire un diagramme de phases ; utiliser la pression de vapeur saturante et la relation de Clapeyron.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A24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Lire un diagramme de phases ; utiliser la relation de Clapeyron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2.4 du support de cours (p. 7) : changements d’état, diagramme (p, T), pression de vapeur saturante, Clapeyron.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Reproduis le diagramme de phases de l’eau ; place le point triple, le point critique, les conditions de Dakar, du sommet du Kilimandjaro et d’un autoclave.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7 de la série de TD n°2 (« Ébullition en altitude : relation de Clapeyron »).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n°2).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7 : ébullition vers 353 K ≈ 80 °C sous 0,48 bar ; 121 °C exige environ 2,0 bar.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ton diagramme, la courbe de fusion de l’eau penche vers la gauche (pente négative).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30. Échéance : semaine 3, avant la séance de TD n°2.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Synthèse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Mobiliser l’ensemble des compétences du chapitre 2 et évaluer sa propre maîtrise.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OS visés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B2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du chapitre : exercices corrigés, quiz et autoévaluation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la fiche « L’essentiel du chapitre » (support, p. 10) et vérifie que tu sais redémontrer chaque résultat encadré.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Fais les exercices d’entraînement corrigés de la section 2.5 du support (p. 9) sans regarder les corrigés, puis compare.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« Second principe et changements d’état » jusqu’à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Remplis la grille d’autoévaluation à la fin de ce cahier.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compétence « à revoir », note où retravailler et une question précise à poser en TD (TD n°2).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meilleur score au quiz, la grille d’autoévaluation remplie et ta question, notés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présentés à l’enseignant lors de la dernière séance de TD du chapitre.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Score au quiz supérieur ou égal à 8/10.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Exercices d’entraînement du support réussis sans aide (au moins trois sur quatre).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compétence de la grille est cochée « acquis », ou accompagnée d’un plan de révision précis.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fin de la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Grille d’autoévaluation du chapitre</w:t>
            </w:r>
          </w:p>
        </w:tc>
      </w:tr>
    </w:tbl>
    <w:p>
      <w:pPr>
        <w:spacing w:before="160" w:after="120" w:line="252" w:lineRule="auto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Coche une case par compétence à la fin du chapitre. Pour chaque compétence « à revoir », reprends les activités indiquées.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900"/>
        <w:gridCol w:w="1000"/>
        <w:gridCol w:w="32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Compétence (OS du syllabus)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Acquis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revoir</w:t>
            </w:r>
          </w:p>
        </w:tc>
        <w:tc>
          <w:tcPr>
            <w:tcW w:w="32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Où retravailler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OS2 — Machines thermiques, Carnot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A21 ; support § 2.1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OS2 — Entropie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A22 ; support § 2.2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OS2 — Enthalpie libre et spontanéité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A23 ; support § 2.3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OS2 — Changements d’état, Clapeyron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A24 ; support § 2.4</w:t>
            </w:r>
          </w:p>
        </w:tc>
      </w:tr>
    </w:tbl>
    <w:p>
      <w:pPr>
        <w:spacing w:before="0" w:after="120" w:line="252" w:lineRule="auto"/>
        <w:jc w:val="both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51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Bilan</w:t>
            </w:r>
          </w:p>
        </w:tc>
        <w:tc>
          <w:tcPr>
            <w:tcW w:w="51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compléter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Meilleur score au quiz du chapitre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10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Exercices d’entraînement réussis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Question à poser en TD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Date et signature de l’étudiant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</w:tbl>
    <w:sectPr>
      <w:footerReference w:type="default" r:id="rId91"/>
      <w:pgSz w:w="11906" w:h="16838"/>
      <w:pgMar w:top="1134" w:right="1417" w:bottom="1134" w:left="1417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A6A6A6"/>
      </w:pBdr>
      <w:tabs>
        <w:tab w:val="right" w:pos="9072"/>
      </w:tabs>
      <w:spacing w:after="0"/>
    </w:pPr>
    <w:r>
      <w:rPr>
        <w:rFonts w:ascii="Tahoma" w:hAnsi="Tahoma" w:cs="Tahoma" w:eastAsia="Arial Unicode MS"/>
        <w:color w:val="595959"/>
        <w:sz w:val="16"/>
        <w:szCs w:val="16"/>
      </w:rPr>
      <w:t xml:space="preserve">Université Souleymane Niang de Matam • Physique générale 2 — Chapitre 2 • Cahier d’activités</w:t>
    </w:r>
    <w:r>
      <w:rPr>
        <w:rFonts w:ascii="Tahoma" w:hAnsi="Tahoma" w:cs="Tahoma" w:eastAsia="Arial Unicode MS"/>
        <w:sz w:val="16"/>
        <w:szCs w:val="16"/>
      </w:rPr>
      <w:tab/>
    </w:r>
    <w:r>
      <w:rPr>
        <w:rFonts w:ascii="Tahoma" w:hAnsi="Tahoma" w:cs="Tahoma" w:eastAsia="Arial Unicode MS"/>
        <w:color w:val="595959"/>
        <w:sz w:val="16"/>
        <w:szCs w:val="16"/>
      </w:rPr>
      <w:t xml:space="preserve">Page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PAGE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  <w:r>
      <w:rPr>
        <w:rFonts w:ascii="Tahoma" w:hAnsi="Tahoma" w:cs="Tahoma" w:eastAsia="Arial Unicode MS"/>
        <w:color w:val="595959"/>
        <w:sz w:val="16"/>
        <w:szCs w:val="16"/>
      </w:rPr>
      <w:t xml:space="preserve"> /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NUMPAGES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CB"/>
    <w:rsid w:val="006010F4"/>
    <w:rsid w:val="006503CB"/>
    <w:rsid w:val="007423EC"/>
    <w:rsid w:val="00E2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81B4"/>
  <w15:chartTrackingRefBased/>
  <w15:docId w15:val="{43102510-C880-4DFB-B4A6-8C11A942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CB"/>
    <w:pPr>
      <w:spacing w:after="120" w:line="264" w:lineRule="auto"/>
    </w:pPr>
    <w:rPr>
      <w:rFonts w:asciiTheme="minorHAnsi" w:eastAsiaTheme="minorEastAsia" w:hAnsiTheme="minorHAnsi" w:cstheme="minorBidi"/>
      <w:kern w:val="0"/>
      <w:sz w:val="20"/>
      <w:szCs w:val="2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6503CB"/>
    <w:pPr>
      <w:autoSpaceDE w:val="0"/>
      <w:autoSpaceDN w:val="0"/>
      <w:adjustRightInd w:val="0"/>
      <w:spacing w:after="0" w:line="240" w:lineRule="auto"/>
    </w:pPr>
    <w:rPr>
      <w:rFonts w:ascii="Monotype Corsiva" w:eastAsia="Calibri" w:hAnsi="Monotype Corsiva" w:cs="Monotype Corsiva"/>
      <w:color w:val="000000"/>
      <w:kern w:val="0"/>
      <w:lang w:val="fr-FR"/>
      <w14:ligatures w14:val="none"/>
    </w:rPr>
  </w:style>
  <w:style w:type="character" w:styleId="Lienhypertexte">
    <w:name w:val="Hyperlink"/>
    <w:uiPriority w:val="99"/>
    <w:unhideWhenUsed/>
    <w:rsid w:val="006503CB"/>
    <w:rPr>
      <w:color w:val="33333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0" Type="http://schemas.openxmlformats.org/officeDocument/2006/relationships/image" Target="media/usnm-logo.jpg"/><Relationship Id="rId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Dr Papa Touty Traoré</dc:creator>
  <cp:keywords/>
  <dc:description/>
  <cp:lastModifiedBy>Mansour Thiao</cp:lastModifiedBy>
  <cp:revision>3</cp:revision>
  <dcterms:created xsi:type="dcterms:W3CDTF">2026-08-28T09:25:00Z</dcterms:created>
  <dcterms:modified xsi:type="dcterms:W3CDTF">2026-08-29T11:49:00Z</dcterms:modified>
  <dc:title>Cahier d’activités — Physique générale 2, chapitre 2</dc:title>
</cp:coreProperties>
</file>