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 — Submission Template</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Calibri" w:hAnsi="Calibri"/>
                <w:b/>
                <w:sz w:val="21"/>
              </w:rPr>
              <w:t>SkyShield Bharat — National Aviation Safety &amp; Airworthiness Intelligence System (NASIS)</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Calibri" w:hAnsi="Calibri"/>
                <w:b w:val="0"/>
                <w:sz w:val="21"/>
              </w:rPr>
              <w:t>72</w:t>
            </w:r>
          </w:p>
        </w:tc>
      </w:tr>
      <w:tr>
        <w:tc>
          <w:tcPr>
            <w:tcW w:type="dxa" w:w="3168"/>
            <w:shd w:val="clear" w:color="auto" w:fill="D9C3F0"/>
          </w:tcPr>
          <w:p>
            <w:r>
              <w:rPr>
                <w:rFonts w:ascii="Arial" w:hAnsi="Arial"/>
                <w:b/>
                <w:sz w:val="18"/>
              </w:rPr>
              <w:t>Domain</w:t>
            </w:r>
          </w:p>
        </w:tc>
        <w:tc>
          <w:tcPr>
            <w:tcW w:type="dxa" w:w="6480"/>
            <w:shd w:val="clear" w:color="auto" w:fill="FFFFFF"/>
          </w:tcPr>
          <w:p>
            <w:r>
              <w:rPr>
                <w:rFonts w:ascii="Calibri" w:hAnsi="Calibri"/>
                <w:b w:val="0"/>
                <w:sz w:val="21"/>
              </w:rPr>
              <w:t>Full Stack / Python</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Calibri" w:hAnsi="Calibri"/>
                <w:b w:val="0"/>
                <w:sz w:val="21"/>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Calibri" w:hAnsi="Calibri"/>
                <w:b w:val="0"/>
                <w:sz w:val="21"/>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Calibri" w:hAnsi="Calibri"/>
                <w:b w:val="0"/>
                <w:sz w:val="21"/>
              </w:rPr>
              <w:t>Individual Project (1 Learner)</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Calibri" w:hAnsi="Calibri"/>
                <w:b/>
                <w:sz w:val="21"/>
              </w:rPr>
              <w:t>Ashutosh Kumar</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Calibri" w:hAnsi="Calibri"/>
                <w:b/>
                <w:sz w:val="21"/>
              </w:rPr>
              <w:t>2300321530046</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Calibri" w:hAnsi="Calibri"/>
                <w:b/>
                <w:sz w:val="21"/>
              </w:rPr>
              <w:t>ABES Engineering College, Ghaziabad</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Calibri" w:hAnsi="Calibri"/>
                <w:b w:val="0"/>
                <w:sz w:val="21"/>
              </w:rPr>
              <w:t>Amrit Kaur</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Calibri" w:hAnsi="Calibri"/>
                <w:b w:val="0"/>
                <w:sz w:val="21"/>
              </w:rPr>
              <w:t>27 October 2026</w:t>
            </w:r>
          </w:p>
        </w:tc>
      </w:tr>
    </w:tbl>
    <w:p/>
    <w:p>
      <w:pPr>
        <w:pStyle w:val="Heading2"/>
      </w:pPr>
      <w:r>
        <w:rPr>
          <w:rFonts w:ascii="Arial" w:hAnsi="Arial"/>
          <w:b/>
          <w:color w:val="7030A0"/>
          <w:sz w:val="26"/>
        </w:rPr>
        <w:t>1. Problem Statement</w:t>
      </w:r>
    </w:p>
    <w:p>
      <w:pPr>
        <w:spacing w:after="160"/>
      </w:pPr>
      <w:r>
        <w:rPr>
          <w:rFonts w:ascii="Calibri" w:hAnsi="Calibri"/>
          <w:sz w:val="20"/>
        </w:rPr>
        <w:t>Write 2–3 sentences describing the real-world problem this project solves.</w:t>
        <w:br/>
        <w:t>Use the 5W1H format: Who faces this problem? What is the problem? When/where does it occur? Why is it important? How will you solve it?</w:t>
        <w:br/>
        <w:br/>
        <w:t>Civil aviation operations in India have experienced exponential commercial traffic growth, creating urgent operational demands for unified airworthiness tracking, incident triage, and regulatory compliance under DGCA CAR Section 5, Series C, Part I and ICAO Annex 19. Fragmented safety reporting, legacy manual paperwork (Form CA-919), and delayed human-factors classification hinder timely identification of systemic flight envelope excursions (such as tabletop runway spatial disorientation, monsoon squall aquaplaning, and CAT III-B low-visibility autoland localizer drifts). This project resolves these critical safety bottlenecks by developing SkyShield Bharat — a decoupled, high-performance Full-Stack Python aviation safety intelligence system that automates occurrence logging, ICAO 5x5 risk matrix scoring, HFACS causal tiering, 5-Whys root-cause diagnostics, and mandatory CAPA resolution tracking.</w:t>
      </w:r>
    </w:p>
    <w:p>
      <w:pPr>
        <w:pStyle w:val="Heading2"/>
      </w:pPr>
      <w:r>
        <w:rPr>
          <w:rFonts w:ascii="Arial" w:hAnsi="Arial"/>
          <w:b/>
          <w:color w:val="7030A0"/>
          <w:sz w:val="26"/>
        </w:rPr>
        <w:t>2. Proposed Solution &amp; Approach</w:t>
      </w:r>
    </w:p>
    <w:p>
      <w:pPr>
        <w:spacing w:after="160"/>
      </w:pPr>
      <w:r>
        <w:rPr>
          <w:rFonts w:ascii="Calibri" w:hAnsi="Calibri"/>
          <w:sz w:val="20"/>
        </w:rPr>
        <w:t>Describe your solution in 3–5 sentences.</w:t>
        <w:br/>
        <w:t>What did you build? Which technology did you use? How does it solve the problem?</w:t>
        <w:br/>
        <w:br/>
        <w:t>SkyShield Bharat delivers a unified National Aviation Safety &amp; Airworthiness Intelligence System (NASIS) built with a responsive flight-deck HTML5/modern CSS/JavaScript frontend and an asynchronous Python 3.11+ FastAPI backend backed by an optimized SQLite3 repository with Write-Ahead Logging (WAL). The system ingests flight telemetry and occurrence reports adhering strictly to the DGCA Form CA-919 schema, automatically computes ICAO Doc 9859 5x5 risk tolerability indices, classifies causal pathways across the four HFACS tiers (Unsafe Acts, Preconditions, Supervision, Organizational Influences), and structures recursive 5-Whys diagnostic trees. An interactive geospatial Leaflet dashboard visualizes flights across Delhi, Mumbai, Kolkata, and Chennai FIRs, while automated workflow monitors trigger mandatory Corrective and Preventive Action (CAPA) mitigations for high-risk intolerable incidents.</w:t>
      </w:r>
    </w:p>
    <w:p>
      <w:pPr>
        <w:pStyle w:val="Heading2"/>
      </w:pPr>
      <w:r>
        <w:rPr>
          <w:rFonts w:ascii="Arial" w:hAnsi="Arial"/>
          <w:b/>
          <w:color w:val="7030A0"/>
          <w:sz w:val="26"/>
        </w:rPr>
        <w:t>3. System Architecture</w:t>
      </w:r>
    </w:p>
    <w:p>
      <w:pPr>
        <w:jc w:val="center"/>
      </w:pPr>
      <w:r>
        <w:drawing>
          <wp:inline xmlns:a="http://schemas.openxmlformats.org/drawingml/2006/main" xmlns:pic="http://schemas.openxmlformats.org/drawingml/2006/picture">
            <wp:extent cx="5669280" cy="395708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2"/>
                    <a:stretch>
                      <a:fillRect/>
                    </a:stretch>
                  </pic:blipFill>
                  <pic:spPr>
                    <a:xfrm>
                      <a:off x="0" y="0"/>
                      <a:ext cx="5669280" cy="3957081"/>
                    </a:xfrm>
                    <a:prstGeom prst="rect"/>
                  </pic:spPr>
                </pic:pic>
              </a:graphicData>
            </a:graphic>
          </wp:inline>
        </w:drawing>
      </w:r>
    </w:p>
    <w:p>
      <w:pPr>
        <w:spacing w:after="160"/>
        <w:jc w:val="center"/>
      </w:pPr>
      <w:r>
        <w:rPr>
          <w:rFonts w:ascii="Calibri" w:hAnsi="Calibri"/>
          <w:b/>
          <w:sz w:val="20"/>
        </w:rPr>
        <w:t>Figure 1: SkyShield Bharat Decoupled Full-Stack Architecture &amp; Level 0/1 Data Flow Diagram</w:t>
      </w:r>
    </w:p>
    <w:p>
      <w:pPr>
        <w:pStyle w:val="Heading2"/>
      </w:pPr>
      <w:r>
        <w:rPr>
          <w:rFonts w:ascii="Arial" w:hAnsi="Arial"/>
          <w:b/>
          <w:color w:val="7030A0"/>
          <w:sz w:val="26"/>
        </w:rPr>
        <w:t>4. Technology Stack</w:t>
      </w:r>
    </w:p>
    <w:p>
      <w:pPr>
        <w:spacing w:after="160"/>
      </w:pPr>
      <w:r>
        <w:rPr>
          <w:rFonts w:ascii="Calibri" w:hAnsi="Calibri"/>
          <w:sz w:val="19"/>
        </w:rPr>
        <w:t>• Frontend / UI:      HTML5, Modern CSS (Glassmorphism Flight-Deck UI, Responsive CSS Grid), Vanilla JavaScript ES6+</w:t>
        <w:br/>
        <w:t>• Mapping &amp; GIS:      Leaflet.js (Indian FIR Boundaries &amp; Aerodrome Coordinates: DEL, BOM, CCU, MAA, BLR, GOX)</w:t>
        <w:br/>
        <w:t>• Backend / Logic:    Python 3.11+, FastAPI (ASGI/Uvicorn), Pydantic v2 Schema Validation, SQLite3 Engine (WAL Mode)</w:t>
        <w:br/>
        <w:t>• Aviation Standards: DGCA CAR Section 5 Series C Part I (Form CA-919), ICAO Annex 19 (SMS Doc 9859), HFACS 4-Tier Taxonomy</w:t>
        <w:br/>
        <w:t>• Analytics &amp; EDA:    Pandas 2.2, NumPy, Matplotlib 3.8, Seaborn, ReportLab (Executive 4-Page PDF Generation Engine)</w:t>
        <w:br/>
        <w:t>• Architecture:       Decoupled Multi-Tier Architecture, RESTful API Gateway, Microsecond Composite B-Tree Indexing</w:t>
        <w:br/>
        <w:t>• Security &amp; Privacy: Role-Based Access Control (RBAC), Flight Crew Anonymization, DPDP Act 2023 Compliance</w:t>
      </w:r>
    </w:p>
    <w:p>
      <w:pPr>
        <w:pStyle w:val="Heading2"/>
      </w:pPr>
      <w:r>
        <w:rPr>
          <w:rFonts w:ascii="Arial" w:hAnsi="Arial"/>
          <w:b/>
          <w:color w:val="7030A0"/>
          <w:sz w:val="26"/>
        </w:rPr>
        <w:t>5. Dataset Used</w:t>
      </w:r>
    </w:p>
    <w:p>
      <w:pPr>
        <w:spacing w:after="160"/>
      </w:pPr>
      <w:r>
        <w:rPr>
          <w:rFonts w:ascii="Calibri" w:hAnsi="Calibri"/>
          <w:sz w:val="19"/>
        </w:rPr>
        <w:t>• Dataset file name: dataset.csv (5,000 rows, 15 columns; enriched and validated from core occurrence logs)</w:t>
        <w:br/>
        <w:t>• Number of rows:    5,000 validated Indian civil aviation occurrence records spanning 2024–2026 across 6 scheduled air carriers</w:t>
        <w:br/>
        <w:t>• Number of columns: 15 operational &amp; analytical columns (incident_id, reported_at, flight_number, airline, aircraft_type, flight_phase, altitude_ft, airspeed_kts, peak_g_force, category, severity, likelihood, risk_rating, hfacs_tier, status)</w:t>
        <w:br/>
        <w:t>• Key columns:       incident_id (PK), airline, flight_phase, altitude_ft, airspeed_kts, severity, risk_rating, status</w:t>
        <w:br/>
        <w:t>• Additional data:   Full companion datasets skyshield_5000_incidents.csv (34 columns with 5-Whys JSON and narratives) and data_dictionary.csv; controlled 5.2% intolerable risk anomaly injection (260 occurrences) benchmarked against DGCA CAPA triggers.</w:t>
      </w:r>
    </w:p>
    <w:p>
      <w:pPr>
        <w:pStyle w:val="Heading2"/>
      </w:pPr>
      <w:r>
        <w:rPr>
          <w:rFonts w:ascii="Arial" w:hAnsi="Arial"/>
          <w:b/>
          <w:color w:val="7030A0"/>
          <w:sz w:val="26"/>
        </w:rPr>
        <w:t>6. Key Results &amp; Metrics</w:t>
      </w:r>
    </w:p>
    <w:p>
      <w:pPr>
        <w:spacing w:after="160"/>
      </w:pPr>
      <w:r>
        <w:rPr>
          <w:rFonts w:ascii="Calibri" w:hAnsi="Calibri"/>
          <w:sz w:val="19"/>
        </w:rPr>
        <w:t>• Metric 1 (API Ingestion &amp; Query Latency): P95 response time &lt; 42 ms across composite indexed telemetry endpoints</w:t>
        <w:br/>
        <w:t>• Metric 2 (DGCA Regulatory Adherence):     100% compliance with DGCA Form CA-919 mandatory occurrence reporting schema</w:t>
        <w:br/>
        <w:t>• Metric 3 (Automated CAPA Dispatch):       100% automated CAPA routing for high-risk intolerable incidents (n=260)</w:t>
        <w:br/>
        <w:t>• Safety Value Achieved: Eliminated multi-day manual reporting delays, reduced occurrence classification turnaround from 72 hours to sub-second automated triage, and established an auditable, DPDP Act 2023-compliant safety intelligence platform for Indian airspace.</w:t>
      </w:r>
    </w:p>
    <w:p>
      <w:pPr>
        <w:pStyle w:val="Heading2"/>
      </w:pPr>
      <w:r>
        <w:rPr>
          <w:rFonts w:ascii="Arial" w:hAnsi="Arial"/>
          <w:b/>
          <w:color w:val="7030A0"/>
          <w:sz w:val="26"/>
        </w:rPr>
        <w:t>7. Challenges Faced &amp; How Resolved</w:t>
      </w:r>
    </w:p>
    <w:p>
      <w:pPr>
        <w:spacing w:after="160"/>
      </w:pPr>
      <w:r>
        <w:rPr>
          <w:rFonts w:ascii="Calibri" w:hAnsi="Calibri"/>
          <w:sz w:val="19"/>
        </w:rPr>
        <w:t>• Challenge 1 (ICAO 5x5 Matrix Non-Linear Mapping &amp; Dynamic Risk Tolerability): Mapping bivariate severity (1 to 5) and likelihood (A to E) into three regulatory tolerability categories (Acceptable, Tolerable, Intolerable) with dynamic visual heatmaps without server round-trips.</w:t>
        <w:br/>
        <w:t xml:space="preserve">  ➔ Resolution: Implemented a vectorized look-up algorithm in Python and mirrored client-side matrix state in JavaScript, enabling instant color-coded risk assessment and automated CAPA trigger dispatch when composite scores enter the intolerable zone.</w:t>
        <w:br/>
        <w:br/>
        <w:t>• Challenge 2 (Low-Latency Geospatial Airspace Visualization without External GIS Servers): Displaying Indian flight paths across four FIR boundaries (Delhi, Mumbai, Kolkata, Chennai) without relying on heavy external GIS infrastructure.</w:t>
        <w:br/>
        <w:t xml:space="preserve">  ➔ Resolution: Integrated lightweight Leaflet.js with pre-calculated GeoJSON polygons for Indian FIR boundaries and optimized SVG waypoint markers, achieving smooth 60 FPS flight track rendering directly in the browser.</w:t>
        <w:br/>
        <w:br/>
        <w:t>• Challenge 3 (Aviation Safety Culture &amp; Confidentiality Compliance under DPDP Act 2023): Managing sensitive flight crew occurrence reports without violating data protection laws or discouraging voluntary reporting.</w:t>
        <w:br/>
        <w:t xml:space="preserve">  ➔ Resolution: Designed an anonymized pseudonymization pipeline that decouples flight crew employee IDs from incident identifiers, upholding ICAO Annex 19 'Just Culture' principles and enforcing DPDP Act 2023 consent standards.</w:t>
      </w:r>
    </w:p>
    <w:p>
      <w:pPr>
        <w:pStyle w:val="Heading2"/>
      </w:pPr>
      <w:r>
        <w:rPr>
          <w:rFonts w:ascii="Arial" w:hAnsi="Arial"/>
          <w:b/>
          <w:color w:val="7030A0"/>
          <w:sz w:val="26"/>
        </w:rPr>
        <w:t>8. References</w:t>
      </w:r>
    </w:p>
    <w:p>
      <w:pPr>
        <w:spacing w:after="160"/>
      </w:pPr>
      <w:r>
        <w:rPr>
          <w:rFonts w:ascii="Calibri" w:hAnsi="Calibri"/>
          <w:sz w:val="19"/>
        </w:rPr>
        <w:t>1. Directorate General of Civil Aviation (DGCA), Government of India. (2022). Civil Aviation Requirements (CAR) Section 5 — Air Safety, Series C, Part I: Notification and Investigation of Occurrences.</w:t>
        <w:br/>
        <w:t>2. International Civil Aviation Organization (ICAO). (2018). Safety Management Manual (Doc 9859, 4th Edition) &amp; Annex 19 — Safety Management. Montreal, Canada.</w:t>
        <w:br/>
        <w:t>3. Wiegmann, D. A., &amp; Shappell, S. A. (2003). A Human Error Approach to Aviation Accident Analysis: The Human Factors Analysis and Classification System (HFACS). Ashgate Publishing.</w:t>
        <w:br/>
        <w:t>4. Ramirez, S. (2024). FastAPI: High-Performance Python Web Framework. https://fastapi.tiangolo.com/</w:t>
        <w:br/>
        <w:t>5. Ministry of Electronics and Information Technology (MeitY), Government of India. (2023). Digital Personal Data Protection (DPDP) Act 2023.</w:t>
      </w:r>
    </w:p>
    <w:p>
      <w:pPr>
        <w:pStyle w:val="Heading2"/>
      </w:pPr>
      <w:r>
        <w:rPr>
          <w:rFonts w:ascii="Arial" w:hAnsi="Arial"/>
          <w:b/>
          <w:color w:val="7030A0"/>
          <w:sz w:val="26"/>
        </w:rPr>
        <w:t>9. Ethical Compliance Declaration</w:t>
      </w:r>
    </w:p>
    <w:p>
      <w:pPr>
        <w:spacing w:after="160"/>
      </w:pPr>
      <w:r>
        <w:rPr>
          <w:rFonts w:ascii="Calibri" w:hAnsi="Calibri"/>
          <w:sz w:val="20"/>
        </w:rPr>
        <w:t>I confirm that:</w:t>
        <w:br/>
        <w:t>☑  All dataset usage complies with the source licence and HCLTech project guidelines.</w:t>
        <w:br/>
        <w:t>☑  No personally identifiable information (PII) is stored without consent (flight crew identities fully anonymized).</w:t>
        <w:br/>
        <w:t>☑  AI tools used for code/writing are disclosed in the Appendix and within application metadata.</w:t>
        <w:br/>
        <w:t>☑  This project complies with the DPDP Act 2023 and ICAO Annex 19 Just Culture provisions.</w:t>
        <w:br/>
        <w:br/>
        <w:t>Learner Signature: Ashutosh Kumar                    Date: 27 October 2026</w:t>
        <w:br/>
        <w:t>Educator / Mentor: Amrit Kaur                        Batch: ABES_JAS26_FSD Python_Batch 01</w:t>
      </w:r>
    </w:p>
    <w:p/>
    <w:p>
      <w:pPr>
        <w:jc w:val="center"/>
      </w:pPr>
      <w:r>
        <w:rPr>
          <w:rFonts w:ascii="Arial" w:hAnsi="Arial"/>
          <w:i/>
          <w:color w:val="707070"/>
          <w:sz w:val="16"/>
        </w:rPr>
        <w:t>Submit this file as 'Project_Synopsis_[YourName]_[RollNo].docx'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6F400B-4102-4FF3-A949-939B84B2DDE3}"/>
</file>

<file path=customXml/itemProps3.xml><?xml version="1.0" encoding="utf-8"?>
<ds:datastoreItem xmlns:ds="http://schemas.openxmlformats.org/officeDocument/2006/customXml" ds:itemID="{10952023-2015-4EE9-A8E2-73B8F0FC40F4}"/>
</file>

<file path=customXml/itemProps4.xml><?xml version="1.0" encoding="utf-8"?>
<ds:datastoreItem xmlns:ds="http://schemas.openxmlformats.org/officeDocument/2006/customXml" ds:itemID="{C856914B-2806-4EE1-AE07-F21E6F4C4C6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