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rFonts w:ascii="Arial" w:hAnsi="Arial" w:eastAsia="黑体"/>
          <w:b/>
          <w:color w:val="0B2545"/>
          <w:sz w:val="52"/>
        </w:rPr>
        <w:t>平台知识管理工具</w:t>
      </w:r>
    </w:p>
    <w:p>
      <w:pPr>
        <w:spacing w:after="640"/>
        <w:jc w:val="center"/>
      </w:pPr>
      <w:r>
        <w:rPr>
          <w:rFonts w:ascii="Arial" w:hAnsi="Arial" w:eastAsia="黑体"/>
          <w:b/>
          <w:color w:val="2E74B5"/>
          <w:sz w:val="44"/>
        </w:rPr>
        <w:t>用户手册</w:t>
      </w:r>
    </w:p>
    <w:tbl>
      <w:tblPr>
        <w:tblW w:type="dxa" w:w="737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</w:tblPr>
      <w:tblGrid>
        <w:gridCol w:w="2267"/>
        <w:gridCol w:w="5102"/>
      </w:tblGrid>
      <w:tr>
        <w:tc>
          <w:tcPr>
            <w:tcW w:type="dxa" w:w="2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22"/>
              </w:rPr>
              <w:t>报告类别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22"/>
              </w:rPr>
              <w:t>软件研制文档</w:t>
            </w:r>
          </w:p>
        </w:tc>
      </w:tr>
      <w:tr>
        <w:tc>
          <w:tcPr>
            <w:tcW w:type="dxa" w:w="2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22"/>
              </w:rPr>
              <w:t>文档版本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22"/>
              </w:rPr>
              <w:t>V1.0</w:t>
            </w:r>
          </w:p>
        </w:tc>
      </w:tr>
      <w:tr>
        <w:tc>
          <w:tcPr>
            <w:tcW w:type="dxa" w:w="2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22"/>
              </w:rPr>
              <w:t>适用项目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22"/>
              </w:rPr>
              <w:t>平台知识管理工具</w:t>
            </w:r>
          </w:p>
        </w:tc>
      </w:tr>
      <w:tr>
        <w:tc>
          <w:tcPr>
            <w:tcW w:type="dxa" w:w="2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22"/>
              </w:rPr>
              <w:t>密级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22"/>
              </w:rPr>
              <w:t>公开</w:t>
            </w:r>
          </w:p>
        </w:tc>
      </w:tr>
      <w:tr>
        <w:tc>
          <w:tcPr>
            <w:tcW w:type="dxa" w:w="2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22"/>
              </w:rPr>
              <w:t>编写单位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22"/>
              </w:rPr>
              <w:t>项目组</w:t>
            </w:r>
          </w:p>
        </w:tc>
      </w:tr>
      <w:tr>
        <w:tc>
          <w:tcPr>
            <w:tcW w:type="dxa" w:w="2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22"/>
              </w:rPr>
              <w:t>日期</w:t>
            </w:r>
          </w:p>
        </w:tc>
        <w:tc>
          <w:tcPr>
            <w:tcW w:type="dxa" w:w="51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22"/>
              </w:rPr>
              <w:t>2026 年 06 月 23 日</w:t>
            </w:r>
          </w:p>
        </w:tc>
      </w:tr>
    </w:tbl>
    <w:p/>
    <w:p>
      <w:pPr>
        <w:jc w:val="center"/>
      </w:pPr>
      <w:r>
        <w:rPr>
          <w:rFonts w:ascii="Arial" w:hAnsi="Arial" w:eastAsia="宋体"/>
          <w:b w:val="0"/>
          <w:color w:val="555555"/>
          <w:sz w:val="21"/>
        </w:rPr>
        <w:t>本文档依据平台知识管理工具当前项目代码、配置、构建脚本和页面模块编写。</w:t>
      </w:r>
    </w:p>
    <w:p>
      <w:r>
        <w:br w:type="page"/>
      </w:r>
    </w:p>
    <w:p>
      <w:pPr>
        <w:pStyle w:val="Heading1"/>
      </w:pPr>
      <w:r>
        <w:t>修改页</w:t>
      </w:r>
    </w:p>
    <w:tbl>
      <w:tblPr>
        <w:tblW w:type="dxa" w:w="907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381"/>
        <w:gridCol w:w="1133"/>
        <w:gridCol w:w="1474"/>
        <w:gridCol w:w="1133"/>
        <w:gridCol w:w="2948"/>
      </w:tblGrid>
      <w:tr>
        <w:trPr>
          <w:tblHeader w:val="true"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文档名称</w:t>
            </w:r>
          </w:p>
        </w:tc>
        <w:tc>
          <w:tcPr>
            <w:tcW w:type="dxa" w:w="11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文档版本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修改时间</w:t>
            </w:r>
          </w:p>
        </w:tc>
        <w:tc>
          <w:tcPr>
            <w:tcW w:type="dxa" w:w="113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修改人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修改内容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平台知识管理工具用户手册</w:t>
            </w:r>
          </w:p>
        </w:tc>
        <w:tc>
          <w:tcPr>
            <w:tcW w:type="dxa" w:w="11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V0.1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2026.03.15</w:t>
            </w:r>
          </w:p>
        </w:tc>
        <w:tc>
          <w:tcPr>
            <w:tcW w:type="dxa" w:w="11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项目组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创建文档初稿，明确文档结构和基础内容。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平台知识管理工具用户手册</w:t>
            </w:r>
          </w:p>
        </w:tc>
        <w:tc>
          <w:tcPr>
            <w:tcW w:type="dxa" w:w="11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V1.0</w:t>
            </w:r>
          </w:p>
        </w:tc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2026.06.23</w:t>
            </w:r>
          </w:p>
        </w:tc>
        <w:tc>
          <w:tcPr>
            <w:tcW w:type="dxa" w:w="11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项目组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依据当前项目代码、页面和配置更新为正式交付稿。</w:t>
            </w:r>
          </w:p>
        </w:tc>
      </w:tr>
    </w:tbl>
    <w:p>
      <w:pPr>
        <w:spacing w:after="40"/>
      </w:pPr>
    </w:p>
    <w:p>
      <w:pPr>
        <w:pStyle w:val="Heading1"/>
      </w:pPr>
      <w:r>
        <w:t>目录</w:t>
      </w:r>
    </w:p>
    <w:p>
      <w:pPr>
        <w:pStyle w:val="ListBullet"/>
        <w:spacing w:after="60" w:line="269" w:lineRule="auto"/>
      </w:pPr>
      <w:r>
        <w:rPr>
          <w:rFonts w:ascii="Arial" w:hAnsi="Arial" w:eastAsia="宋体"/>
          <w:sz w:val="20"/>
        </w:rPr>
        <w:t>1 范围</w:t>
      </w:r>
    </w:p>
    <w:p>
      <w:pPr>
        <w:pStyle w:val="ListBullet"/>
        <w:spacing w:after="60" w:line="269" w:lineRule="auto"/>
      </w:pPr>
      <w:r>
        <w:rPr>
          <w:rFonts w:ascii="Arial" w:hAnsi="Arial" w:eastAsia="宋体"/>
          <w:sz w:val="20"/>
        </w:rPr>
        <w:t>2 引用文档</w:t>
      </w:r>
    </w:p>
    <w:p>
      <w:pPr>
        <w:pStyle w:val="ListBullet"/>
        <w:spacing w:after="60" w:line="269" w:lineRule="auto"/>
      </w:pPr>
      <w:r>
        <w:rPr>
          <w:rFonts w:ascii="Arial" w:hAnsi="Arial" w:eastAsia="宋体"/>
          <w:sz w:val="20"/>
        </w:rPr>
        <w:t>3 软件综述</w:t>
      </w:r>
    </w:p>
    <w:p>
      <w:pPr>
        <w:pStyle w:val="ListBullet"/>
        <w:spacing w:after="60" w:line="269" w:lineRule="auto"/>
      </w:pPr>
      <w:r>
        <w:rPr>
          <w:rFonts w:ascii="Arial" w:hAnsi="Arial" w:eastAsia="宋体"/>
          <w:sz w:val="20"/>
        </w:rPr>
        <w:t>4 软件入门</w:t>
      </w:r>
    </w:p>
    <w:p>
      <w:pPr>
        <w:pStyle w:val="ListBullet"/>
        <w:spacing w:after="60" w:line="269" w:lineRule="auto"/>
      </w:pPr>
      <w:r>
        <w:rPr>
          <w:rFonts w:ascii="Arial" w:hAnsi="Arial" w:eastAsia="宋体"/>
          <w:sz w:val="20"/>
        </w:rPr>
        <w:t>5 基础使用</w:t>
      </w:r>
    </w:p>
    <w:p>
      <w:pPr>
        <w:pStyle w:val="ListBullet"/>
        <w:spacing w:after="60" w:line="269" w:lineRule="auto"/>
      </w:pPr>
      <w:r>
        <w:rPr>
          <w:rFonts w:ascii="Arial" w:hAnsi="Arial" w:eastAsia="宋体"/>
          <w:sz w:val="20"/>
        </w:rPr>
        <w:t>6 内容发布与协作</w:t>
      </w:r>
    </w:p>
    <w:p>
      <w:pPr>
        <w:pStyle w:val="ListBullet"/>
        <w:spacing w:after="60" w:line="269" w:lineRule="auto"/>
      </w:pPr>
      <w:r>
        <w:rPr>
          <w:rFonts w:ascii="Arial" w:hAnsi="Arial" w:eastAsia="宋体"/>
          <w:sz w:val="20"/>
        </w:rPr>
        <w:t>7 后台管理</w:t>
      </w:r>
    </w:p>
    <w:p>
      <w:pPr>
        <w:pStyle w:val="ListBullet"/>
        <w:spacing w:after="60" w:line="269" w:lineRule="auto"/>
      </w:pPr>
      <w:r>
        <w:rPr>
          <w:rFonts w:ascii="Arial" w:hAnsi="Arial" w:eastAsia="宋体"/>
          <w:sz w:val="20"/>
        </w:rPr>
        <w:t>8 运维维护</w:t>
      </w:r>
    </w:p>
    <w:p>
      <w:pPr>
        <w:pStyle w:val="ListBullet"/>
        <w:spacing w:after="60" w:line="269" w:lineRule="auto"/>
      </w:pPr>
      <w:r>
        <w:rPr>
          <w:rFonts w:ascii="Arial" w:hAnsi="Arial" w:eastAsia="宋体"/>
          <w:sz w:val="20"/>
        </w:rPr>
        <w:t>9 常见问题</w:t>
      </w:r>
    </w:p>
    <w:p>
      <w:pPr>
        <w:pStyle w:val="ListBullet"/>
        <w:spacing w:after="60" w:line="269" w:lineRule="auto"/>
      </w:pPr>
      <w:r>
        <w:rPr>
          <w:rFonts w:ascii="Arial" w:hAnsi="Arial" w:eastAsia="宋体"/>
          <w:sz w:val="20"/>
        </w:rPr>
        <w:t>10 注释</w:t>
      </w:r>
    </w:p>
    <w:p>
      <w:r>
        <w:br w:type="page"/>
      </w:r>
    </w:p>
    <w:p>
      <w:pPr>
        <w:pStyle w:val="Heading1"/>
      </w:pPr>
      <w:r>
        <w:t>1 范围</w:t>
      </w:r>
    </w:p>
    <w:p>
      <w:pPr>
        <w:pStyle w:val="Heading2"/>
      </w:pPr>
      <w:r>
        <w:t>1.1 标识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本文档适用于平台知识管理工具 V1.0。文档标题为《平台知识管理工具用户手册》，用于指导普通用户、内容维护人员、管理员和运维人员完成安装初始化、日常使用、内容治理和基础维护。</w:t>
      </w:r>
    </w:p>
    <w:p>
      <w:pPr>
        <w:pStyle w:val="Heading2"/>
      </w:pPr>
      <w:r>
        <w:t>1.2 系统概述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平台知识管理工具是面向知识沉淀和协作问答场景的 Web 应用。系统支持话题讨论、问答处理、文章知识库、评论互动、标签分类、附件上传、全文搜索、用户管理、角色权限、举报处理、敏感词管理、系统配置和站点地图生成等能力。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系统采用浏览器访问方式，前台用户通过首页、话题、文章、搜索和个人中心完成知识生产与检索；管理员通过后台管理台完成用户、内容、权限、系统配置和运维任务。</w:t>
      </w:r>
    </w:p>
    <w:p>
      <w:r>
        <w:drawing>
          <wp:inline xmlns:a="http://schemas.openxmlformats.org/drawingml/2006/main" xmlns:pic="http://schemas.openxmlformats.org/drawingml/2006/picture">
            <wp:extent cx="5760720" cy="24323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2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Arial" w:hAnsi="Arial" w:eastAsia="宋体"/>
          <w:b w:val="0"/>
          <w:color w:val="555555"/>
          <w:sz w:val="18"/>
        </w:rPr>
        <w:t>图 1 用户操作主流程</w:t>
      </w:r>
    </w:p>
    <w:p>
      <w:pPr>
        <w:pStyle w:val="Heading2"/>
      </w:pPr>
      <w:r>
        <w:t>1.3 角色说明</w:t>
      </w:r>
    </w:p>
    <w:tbl>
      <w:tblPr>
        <w:tblW w:type="dxa" w:w="8503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417"/>
        <w:gridCol w:w="2267"/>
        <w:gridCol w:w="4818"/>
      </w:tblGrid>
      <w:tr>
        <w:trPr>
          <w:tblHeader w:val="true"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角色</w:t>
            </w:r>
          </w:p>
        </w:tc>
        <w:tc>
          <w:tcPr>
            <w:tcW w:type="dxa" w:w="2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适用人员</w:t>
            </w:r>
          </w:p>
        </w:tc>
        <w:tc>
          <w:tcPr>
            <w:tcW w:type="dxa" w:w="48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主要能力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游客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未登录访问者</w:t>
            </w:r>
          </w:p>
        </w:tc>
        <w:tc>
          <w:tcPr>
            <w:tcW w:type="dxa" w:w="48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浏览公开内容、搜索内容、查看文章和话题详情。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注册用户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已登录普通用户</w:t>
            </w:r>
          </w:p>
        </w:tc>
        <w:tc>
          <w:tcPr>
            <w:tcW w:type="dxa" w:w="48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发布问答或文章、评论回复、点赞、上传附件、维护个人资料。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内容维护人员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负责知识运营的人员</w:t>
            </w:r>
          </w:p>
        </w:tc>
        <w:tc>
          <w:tcPr>
            <w:tcW w:type="dxa" w:w="48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审核内容、处理举报、维护分类标签、置顶推荐优质内容。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系统管理员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平台管理人员</w:t>
            </w:r>
          </w:p>
        </w:tc>
        <w:tc>
          <w:tcPr>
            <w:tcW w:type="dxa" w:w="48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管理用户、角色权限、系统配置、敏感词、日志、搜索索引和站点地图。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运维人员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部署和维护人员</w:t>
            </w:r>
          </w:p>
        </w:tc>
        <w:tc>
          <w:tcPr>
            <w:tcW w:type="dxa" w:w="48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安装部署、配置数据库和存储、查看日志、备份数据和升级发布。</w:t>
            </w:r>
          </w:p>
        </w:tc>
      </w:tr>
    </w:tbl>
    <w:p>
      <w:pPr>
        <w:spacing w:after="40"/>
      </w:pPr>
    </w:p>
    <w:p>
      <w:pPr>
        <w:spacing w:before="60" w:after="140"/>
        <w:jc w:val="center"/>
      </w:pPr>
      <w:r>
        <w:rPr>
          <w:rFonts w:ascii="Arial" w:hAnsi="Arial" w:eastAsia="宋体"/>
          <w:b w:val="0"/>
          <w:color w:val="555555"/>
          <w:sz w:val="18"/>
        </w:rPr>
        <w:t>表 1 用户角色说明</w:t>
      </w:r>
    </w:p>
    <w:p>
      <w:pPr>
        <w:pStyle w:val="Heading2"/>
      </w:pPr>
      <w:r>
        <w:t>1.4 约定和示例数据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本文档中的账号、分类、文章标题、问答内容和服务器地址均为操作示例，正式环境应使用实际账号和真实业务数据。示例站点地址以 http://localhost:3000 表示，后端接口由系统自动代理或配置到服务地址。</w:t>
      </w:r>
    </w:p>
    <w:p>
      <w:pPr>
        <w:pStyle w:val="Heading1"/>
      </w:pPr>
      <w:r>
        <w:t>2 引用文档</w:t>
      </w:r>
    </w:p>
    <w:tbl>
      <w:tblPr>
        <w:tblW w:type="dxa" w:w="8617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66"/>
        <w:gridCol w:w="2494"/>
        <w:gridCol w:w="2721"/>
        <w:gridCol w:w="2834"/>
      </w:tblGrid>
      <w:tr>
        <w:trPr>
          <w:tblHeader w:val="true"/>
        </w:trPr>
        <w:tc>
          <w:tcPr>
            <w:tcW w:type="dxa" w:w="5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6"/>
              </w:rPr>
              <w:t>编号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6"/>
              </w:rPr>
              <w:t>标题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6"/>
              </w:rPr>
              <w:t>来源/位置</w:t>
            </w:r>
          </w:p>
        </w:tc>
        <w:tc>
          <w:tcPr>
            <w:tcW w:type="dxa" w:w="28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6"/>
              </w:rPr>
              <w:t>用途</w:t>
            </w:r>
          </w:p>
        </w:tc>
      </w:tr>
      <w:tr>
        <w:tc>
          <w:tcPr>
            <w:tcW w:type="dxa" w:w="5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1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软件开发计划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docx/02平台知识管理工具开发计划.docx</w:t>
            </w:r>
          </w:p>
        </w:tc>
        <w:tc>
          <w:tcPr>
            <w:tcW w:type="dxa" w:w="28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说明开发范围、进度和质量要求。</w:t>
            </w:r>
          </w:p>
        </w:tc>
      </w:tr>
      <w:tr>
        <w:tc>
          <w:tcPr>
            <w:tcW w:type="dxa" w:w="5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2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软件测试报告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docx/03平台知识管理工具测试报告.docx</w:t>
            </w:r>
          </w:p>
        </w:tc>
        <w:tc>
          <w:tcPr>
            <w:tcW w:type="dxa" w:w="28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说明测试范围和验证结论。</w:t>
            </w:r>
          </w:p>
        </w:tc>
      </w:tr>
      <w:tr>
        <w:tc>
          <w:tcPr>
            <w:tcW w:type="dxa" w:w="5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3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部署编排文件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docker-compose.yml</w:t>
            </w:r>
          </w:p>
        </w:tc>
        <w:tc>
          <w:tcPr>
            <w:tcW w:type="dxa" w:w="28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说明容器化运行所需服务、端口和持久化目录。</w:t>
            </w:r>
          </w:p>
        </w:tc>
      </w:tr>
      <w:tr>
        <w:tc>
          <w:tcPr>
            <w:tcW w:type="dxa" w:w="5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4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配置样例文件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项目配置样例</w:t>
            </w:r>
          </w:p>
        </w:tc>
        <w:tc>
          <w:tcPr>
            <w:tcW w:type="dxa" w:w="28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说明端口、数据库、日志、搜索索引等配置项。</w:t>
            </w:r>
          </w:p>
        </w:tc>
      </w:tr>
      <w:tr>
        <w:tc>
          <w:tcPr>
            <w:tcW w:type="dxa" w:w="5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5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服务路由设计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internal/server/router.go</w:t>
            </w:r>
          </w:p>
        </w:tc>
        <w:tc>
          <w:tcPr>
            <w:tcW w:type="dxa" w:w="28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说明前台、后台、安装、搜索、附件等 API 能力。</w:t>
            </w:r>
          </w:p>
        </w:tc>
      </w:tr>
    </w:tbl>
    <w:p>
      <w:pPr>
        <w:spacing w:after="40"/>
      </w:pPr>
    </w:p>
    <w:p>
      <w:pPr>
        <w:spacing w:before="60" w:after="140"/>
        <w:jc w:val="center"/>
      </w:pPr>
      <w:r>
        <w:rPr>
          <w:rFonts w:ascii="Arial" w:hAnsi="Arial" w:eastAsia="宋体"/>
          <w:b w:val="0"/>
          <w:color w:val="555555"/>
          <w:sz w:val="18"/>
        </w:rPr>
        <w:t>表 2 引用文档列表</w:t>
      </w:r>
    </w:p>
    <w:p>
      <w:pPr>
        <w:pStyle w:val="Heading1"/>
      </w:pPr>
      <w:r>
        <w:t>3 软件综述</w:t>
      </w:r>
    </w:p>
    <w:p>
      <w:pPr>
        <w:pStyle w:val="Heading2"/>
      </w:pPr>
      <w:r>
        <w:t>3.1 软件应用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平台知识管理工具适用于技术支持知识库、项目经验沉淀、问题追踪、内部问答社区、产品用户社区和内容型知识门户等场景。系统强调问题可追踪、答案可沉淀、内容可检索、权限可控制、运营可治理。</w:t>
      </w:r>
    </w:p>
    <w:p>
      <w:pPr>
        <w:pStyle w:val="Heading2"/>
      </w:pPr>
      <w:r>
        <w:t>3.2 软件清单</w:t>
      </w:r>
    </w:p>
    <w:tbl>
      <w:tblPr>
        <w:tblW w:type="dxa" w:w="8503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66"/>
        <w:gridCol w:w="2381"/>
        <w:gridCol w:w="5555"/>
      </w:tblGrid>
      <w:tr>
        <w:trPr>
          <w:tblHeader w:val="true"/>
        </w:trPr>
        <w:tc>
          <w:tcPr>
            <w:tcW w:type="dxa" w:w="56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序号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文件或组件</w:t>
            </w:r>
          </w:p>
        </w:tc>
        <w:tc>
          <w:tcPr>
            <w:tcW w:type="dxa" w:w="55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5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1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服务端程序</w:t>
            </w:r>
          </w:p>
        </w:tc>
        <w:tc>
          <w:tcPr>
            <w:tcW w:type="dxa" w:w="55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提供 API、路由、权限校验、数据访问、搜索索引和静态资源服务。</w:t>
            </w:r>
          </w:p>
        </w:tc>
      </w:tr>
      <w:tr>
        <w:tc>
          <w:tcPr>
            <w:tcW w:type="dxa" w:w="5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2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前端页面产物</w:t>
            </w:r>
          </w:p>
        </w:tc>
        <w:tc>
          <w:tcPr>
            <w:tcW w:type="dxa" w:w="55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提供首页、话题、文章、搜索、用户中心、后台管理和安装向导页面。</w:t>
            </w:r>
          </w:p>
        </w:tc>
      </w:tr>
      <w:tr>
        <w:tc>
          <w:tcPr>
            <w:tcW w:type="dxa" w:w="5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3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配置文件</w:t>
            </w:r>
          </w:p>
        </w:tc>
        <w:tc>
          <w:tcPr>
            <w:tcW w:type="dxa" w:w="55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包含端口、数据库、日志、搜索索引、上传存储等运行参数。</w:t>
            </w:r>
          </w:p>
        </w:tc>
      </w:tr>
      <w:tr>
        <w:tc>
          <w:tcPr>
            <w:tcW w:type="dxa" w:w="5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4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数据库迁移脚本</w:t>
            </w:r>
          </w:p>
        </w:tc>
        <w:tc>
          <w:tcPr>
            <w:tcW w:type="dxa" w:w="55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用于初始化表结构、默认配置和后续升级迁移。</w:t>
            </w:r>
          </w:p>
        </w:tc>
      </w:tr>
      <w:tr>
        <w:tc>
          <w:tcPr>
            <w:tcW w:type="dxa" w:w="5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5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容器部署文件</w:t>
            </w:r>
          </w:p>
        </w:tc>
        <w:tc>
          <w:tcPr>
            <w:tcW w:type="dxa" w:w="55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用于启动应用服务、MySQL 数据库、持久化目录和健康检查。</w:t>
            </w:r>
          </w:p>
        </w:tc>
      </w:tr>
      <w:tr>
        <w:tc>
          <w:tcPr>
            <w:tcW w:type="dxa" w:w="56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6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用户文档</w:t>
            </w:r>
          </w:p>
        </w:tc>
        <w:tc>
          <w:tcPr>
            <w:tcW w:type="dxa" w:w="55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包含设计说明、开发计划、测试报告和用户手册。</w:t>
            </w:r>
          </w:p>
        </w:tc>
      </w:tr>
    </w:tbl>
    <w:p>
      <w:pPr>
        <w:spacing w:after="40"/>
      </w:pPr>
    </w:p>
    <w:p>
      <w:pPr>
        <w:spacing w:before="60" w:after="140"/>
        <w:jc w:val="center"/>
      </w:pPr>
      <w:r>
        <w:rPr>
          <w:rFonts w:ascii="Arial" w:hAnsi="Arial" w:eastAsia="宋体"/>
          <w:b w:val="0"/>
          <w:color w:val="555555"/>
          <w:sz w:val="18"/>
        </w:rPr>
        <w:t>表 3 软件清单</w:t>
      </w:r>
    </w:p>
    <w:p>
      <w:pPr>
        <w:pStyle w:val="Heading2"/>
      </w:pPr>
      <w:r>
        <w:t>3.3 软件环境</w:t>
      </w:r>
    </w:p>
    <w:tbl>
      <w:tblPr>
        <w:tblW w:type="dxa" w:w="8503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700"/>
        <w:gridCol w:w="2551"/>
        <w:gridCol w:w="4251"/>
      </w:tblGrid>
      <w:tr>
        <w:trPr>
          <w:tblHeader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环境项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最低建议</w:t>
            </w:r>
          </w:p>
        </w:tc>
        <w:tc>
          <w:tcPr>
            <w:tcW w:type="dxa" w:w="42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CPU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2 核及以上</w:t>
            </w:r>
          </w:p>
        </w:tc>
        <w:tc>
          <w:tcPr>
            <w:tcW w:type="dxa" w:w="42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用于运行应用服务、数据库和搜索索引。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内存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4 GB 及以上</w:t>
            </w:r>
          </w:p>
        </w:tc>
        <w:tc>
          <w:tcPr>
            <w:tcW w:type="dxa" w:w="42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生产环境建议按用户量和并发访问量提升配置。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磁盘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20 GB 及以上</w:t>
            </w:r>
          </w:p>
        </w:tc>
        <w:tc>
          <w:tcPr>
            <w:tcW w:type="dxa" w:w="42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用于数据库、日志、上传文件和搜索索引，需预留备份空间。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浏览器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Chrome、Edge、Safari、Firefox 近两年版本</w:t>
            </w:r>
          </w:p>
        </w:tc>
        <w:tc>
          <w:tcPr>
            <w:tcW w:type="dxa" w:w="42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用户通过现代浏览器访问系统。</w:t>
            </w:r>
          </w:p>
        </w:tc>
      </w:tr>
    </w:tbl>
    <w:p>
      <w:pPr>
        <w:spacing w:after="40"/>
      </w:pPr>
    </w:p>
    <w:p>
      <w:pPr>
        <w:spacing w:before="60" w:after="140"/>
        <w:jc w:val="center"/>
      </w:pPr>
      <w:r>
        <w:rPr>
          <w:rFonts w:ascii="Arial" w:hAnsi="Arial" w:eastAsia="宋体"/>
          <w:b w:val="0"/>
          <w:color w:val="555555"/>
          <w:sz w:val="18"/>
        </w:rPr>
        <w:t>表 4 软件运行硬件和客户端环境要求</w:t>
      </w:r>
    </w:p>
    <w:tbl>
      <w:tblPr>
        <w:tblW w:type="dxa" w:w="8503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700"/>
        <w:gridCol w:w="2551"/>
        <w:gridCol w:w="4251"/>
      </w:tblGrid>
      <w:tr>
        <w:trPr>
          <w:tblHeader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软件项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版本/要求</w:t>
            </w:r>
          </w:p>
        </w:tc>
        <w:tc>
          <w:tcPr>
            <w:tcW w:type="dxa" w:w="42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操作系统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Linux 发行版或容器运行环境</w:t>
            </w:r>
          </w:p>
        </w:tc>
        <w:tc>
          <w:tcPr>
            <w:tcW w:type="dxa" w:w="42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推荐生产环境使用容器化部署。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数据库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MySQL 8.4 或兼容版本</w:t>
            </w:r>
          </w:p>
        </w:tc>
        <w:tc>
          <w:tcPr>
            <w:tcW w:type="dxa" w:w="42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数据库字符集建议使用 utf8mb4。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容器工具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Docker 与 Docker Compose</w:t>
            </w:r>
          </w:p>
        </w:tc>
        <w:tc>
          <w:tcPr>
            <w:tcW w:type="dxa" w:w="42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用于快速启动应用和数据库。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对象存储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本地目录、阿里云 OSS、腾讯 COS 或 AWS S3</w:t>
            </w:r>
          </w:p>
        </w:tc>
        <w:tc>
          <w:tcPr>
            <w:tcW w:type="dxa" w:w="42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根据上传配置选择。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邮件服务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SMTP 服务</w:t>
            </w:r>
          </w:p>
        </w:tc>
        <w:tc>
          <w:tcPr>
            <w:tcW w:type="dxa" w:w="42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用于找回密码、邮件验证和通知。</w:t>
            </w:r>
          </w:p>
        </w:tc>
      </w:tr>
    </w:tbl>
    <w:p>
      <w:pPr>
        <w:spacing w:after="40"/>
      </w:pPr>
    </w:p>
    <w:p>
      <w:pPr>
        <w:spacing w:before="60" w:after="140"/>
        <w:jc w:val="center"/>
      </w:pPr>
      <w:r>
        <w:rPr>
          <w:rFonts w:ascii="Arial" w:hAnsi="Arial" w:eastAsia="宋体"/>
          <w:b w:val="0"/>
          <w:color w:val="555555"/>
          <w:sz w:val="18"/>
        </w:rPr>
        <w:t>表 5 软件运行软件环境要求</w:t>
      </w:r>
    </w:p>
    <w:p>
      <w:pPr>
        <w:pStyle w:val="Heading2"/>
      </w:pPr>
      <w:r>
        <w:t>3.4 软件组织和操作概述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系统由前台知识社区、后台管理台、后端接口服务、数据库、搜索索引、上传存储和配置日志模块组成。用户通过浏览器访问页面，页面通过 API 调用后端服务，后端服务将业务数据写入数据库，并按需要更新搜索索引或上传文件。</w:t>
      </w:r>
    </w:p>
    <w:p>
      <w:r>
        <w:drawing>
          <wp:inline xmlns:a="http://schemas.openxmlformats.org/drawingml/2006/main" xmlns:pic="http://schemas.openxmlformats.org/drawingml/2006/picture">
            <wp:extent cx="5760720" cy="34564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6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40"/>
        <w:jc w:val="center"/>
      </w:pPr>
      <w:r>
        <w:rPr>
          <w:rFonts w:ascii="Arial" w:hAnsi="Arial" w:eastAsia="宋体"/>
          <w:b w:val="0"/>
          <w:color w:val="555555"/>
          <w:sz w:val="18"/>
        </w:rPr>
        <w:t>图 2 软件组织结构图</w:t>
      </w:r>
    </w:p>
    <w:p>
      <w:pPr>
        <w:pStyle w:val="Heading2"/>
      </w:pPr>
      <w:r>
        <w:t>3.5 意外事故及运行的备用状态及方式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当数据库连接失败、对象存储不可用、搜索索引异常或服务进程退出时，管理员应优先查看运行日志和健康检查结果。普通用户遇到页面异常时，可刷新页面、重新登录或联系管理员。系统不要求普通用户切换备用运行模式。</w:t>
      </w:r>
    </w:p>
    <w:p>
      <w:pPr>
        <w:pStyle w:val="Heading2"/>
      </w:pPr>
      <w:r>
        <w:t>3.6 保密性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本文档不包含敏感数据。生产环境中应保护管理员账号、数据库密码、对象存储密钥、SMTP 密码、第三方登录密钥和用户个人信息。导出日志或截图时，应遮盖真实手机号、邮箱、Token 和密钥。</w:t>
      </w:r>
    </w:p>
    <w:p>
      <w:pPr>
        <w:pStyle w:val="Heading2"/>
      </w:pPr>
      <w:r>
        <w:t>3.7 帮助和问题报告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用户使用过程中如遇到问题，可先在系统内搜索相关帮助内容；若问题仍未解决，可通过“举报/反馈”或联系管理员提交问题。提交问题时建议包含页面路径、操作步骤、错误提示、发生时间和截图。</w:t>
      </w:r>
    </w:p>
    <w:p>
      <w:pPr>
        <w:pStyle w:val="Heading1"/>
      </w:pPr>
      <w:r>
        <w:t>4 软件入门</w:t>
      </w:r>
    </w:p>
    <w:p>
      <w:pPr>
        <w:pStyle w:val="Heading2"/>
      </w:pPr>
      <w:r>
        <w:t>4.1 安装概述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平台知识管理工具支持容器化部署和本地二进制部署。推荐使用容器化方式部署，由应用服务和 MySQL 数据库组成，上传文件、日志和配置文件需要持久化保存。</w:t>
      </w:r>
    </w:p>
    <w:p>
      <w:pPr>
        <w:pStyle w:val="Heading2"/>
      </w:pPr>
      <w:r>
        <w:t>4.2 容器化部署</w:t>
      </w:r>
    </w:p>
    <w:p>
      <w:pPr>
        <w:numPr>
          <w:ilvl w:val="0"/>
          <w:numId w:val="10"/>
        </w:numPr>
        <w:spacing w:after="60" w:line="269" w:lineRule="auto"/>
        <w:ind w:left="425" w:hanging="198"/>
      </w:pPr>
      <w:r>
        <w:rPr>
          <w:rFonts w:ascii="Arial" w:hAnsi="Arial" w:eastAsia="宋体"/>
          <w:sz w:val="20"/>
        </w:rPr>
        <w:t>准备服务器，确认已安装 Docker 与 Docker Compose，并预留数据目录。</w:t>
      </w:r>
    </w:p>
    <w:p>
      <w:pPr>
        <w:numPr>
          <w:ilvl w:val="0"/>
          <w:numId w:val="10"/>
        </w:numPr>
        <w:spacing w:after="60" w:line="269" w:lineRule="auto"/>
        <w:ind w:left="425" w:hanging="198"/>
      </w:pPr>
      <w:r>
        <w:rPr>
          <w:rFonts w:ascii="Arial" w:hAnsi="Arial" w:eastAsia="宋体"/>
          <w:sz w:val="20"/>
        </w:rPr>
        <w:t>在部署目录放置部署编排文件，按需调整数据库账号、密码、端口和持久化目录。</w:t>
      </w:r>
    </w:p>
    <w:p>
      <w:pPr>
        <w:numPr>
          <w:ilvl w:val="0"/>
          <w:numId w:val="10"/>
        </w:numPr>
        <w:spacing w:after="60" w:line="269" w:lineRule="auto"/>
        <w:ind w:left="425" w:hanging="198"/>
      </w:pPr>
      <w:r>
        <w:rPr>
          <w:rFonts w:ascii="Arial" w:hAnsi="Arial" w:eastAsia="宋体"/>
          <w:sz w:val="20"/>
        </w:rPr>
        <w:t>执行启动命令，等待数据库健康检查通过后应用服务自动启动。</w:t>
      </w:r>
    </w:p>
    <w:p>
      <w:pPr>
        <w:spacing w:after="80"/>
        <w:ind w:left="397"/>
      </w:pPr>
      <w:r>
        <w:rPr>
          <w:rFonts w:ascii="Arial" w:hAnsi="Arial" w:eastAsia="Courier New"/>
          <w:b w:val="0"/>
          <w:color w:val="111827"/>
          <w:sz w:val="18"/>
        </w:rPr>
        <w:t>docker compose up -d</w:t>
      </w:r>
    </w:p>
    <w:p>
      <w:pPr>
        <w:numPr>
          <w:ilvl w:val="0"/>
          <w:numId w:val="10"/>
        </w:numPr>
        <w:spacing w:after="60" w:line="269" w:lineRule="auto"/>
        <w:ind w:left="425" w:hanging="198"/>
      </w:pPr>
      <w:r>
        <w:rPr>
          <w:rFonts w:ascii="Arial" w:hAnsi="Arial" w:eastAsia="宋体"/>
          <w:sz w:val="20"/>
        </w:rPr>
        <w:t>浏览器访问 http://localhost:3000/install，进入安装向导。</w:t>
      </w:r>
    </w:p>
    <w:p>
      <w:pPr>
        <w:pStyle w:val="Heading2"/>
      </w:pPr>
      <w:r>
        <w:t>4.3 本地配置部署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本地部署时，需要先准备 MySQL 数据库，并在配置文件中设置端口、数据库连接、日志路径和搜索索引路径。配置文件中的数据库连接格式如下：</w:t>
      </w:r>
    </w:p>
    <w:p>
      <w:pPr>
        <w:spacing w:after="80"/>
        <w:ind w:left="397"/>
      </w:pPr>
      <w:r>
        <w:rPr>
          <w:rFonts w:ascii="Arial" w:hAnsi="Arial" w:eastAsia="Courier New"/>
          <w:b w:val="0"/>
          <w:color w:val="111827"/>
          <w:sz w:val="18"/>
        </w:rPr>
        <w:t>username:password@tcp(localhost:3306)/platform_km?charset=utf8mb4&amp;parseTime=True&amp;multiStatements=true&amp;loc=Local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配置完成后启动服务，默认后端服务端口为 8082；如使用前端代理或容器入口，用户访问端口通常为 3000。</w:t>
      </w:r>
    </w:p>
    <w:p>
      <w:pPr>
        <w:pStyle w:val="Heading2"/>
      </w:pPr>
      <w:r>
        <w:t>4.4 初始化安装</w:t>
      </w:r>
    </w:p>
    <w:p>
      <w:pPr>
        <w:numPr>
          <w:ilvl w:val="0"/>
          <w:numId w:val="11"/>
        </w:numPr>
        <w:spacing w:after="60" w:line="269" w:lineRule="auto"/>
        <w:ind w:left="425" w:hanging="198"/>
      </w:pPr>
      <w:r>
        <w:rPr>
          <w:rFonts w:ascii="Arial" w:hAnsi="Arial" w:eastAsia="宋体"/>
          <w:sz w:val="20"/>
        </w:rPr>
        <w:t>访问 /install 页面，系统会显示安装状态。</w:t>
      </w:r>
    </w:p>
    <w:p>
      <w:pPr>
        <w:numPr>
          <w:ilvl w:val="0"/>
          <w:numId w:val="11"/>
        </w:numPr>
        <w:spacing w:after="60" w:line="269" w:lineRule="auto"/>
        <w:ind w:left="425" w:hanging="198"/>
      </w:pPr>
      <w:r>
        <w:rPr>
          <w:rFonts w:ascii="Arial" w:hAnsi="Arial" w:eastAsia="宋体"/>
          <w:sz w:val="20"/>
        </w:rPr>
        <w:t>填写数据库地址、端口、库名、用户名和密码，点击测试连接。</w:t>
      </w:r>
    </w:p>
    <w:p>
      <w:pPr>
        <w:numPr>
          <w:ilvl w:val="0"/>
          <w:numId w:val="11"/>
        </w:numPr>
        <w:spacing w:after="60" w:line="269" w:lineRule="auto"/>
        <w:ind w:left="425" w:hanging="198"/>
      </w:pPr>
      <w:r>
        <w:rPr>
          <w:rFonts w:ascii="Arial" w:hAnsi="Arial" w:eastAsia="宋体"/>
          <w:sz w:val="20"/>
        </w:rPr>
        <w:t>连接成功后填写站点名称和管理员账号信息。示例管理员账号：admin@example.com，用户名 admin，密码按正式环境安全策略设置。</w:t>
      </w:r>
    </w:p>
    <w:p>
      <w:pPr>
        <w:numPr>
          <w:ilvl w:val="0"/>
          <w:numId w:val="11"/>
        </w:numPr>
        <w:spacing w:after="60" w:line="269" w:lineRule="auto"/>
        <w:ind w:left="425" w:hanging="198"/>
      </w:pPr>
      <w:r>
        <w:rPr>
          <w:rFonts w:ascii="Arial" w:hAnsi="Arial" w:eastAsia="宋体"/>
          <w:sz w:val="20"/>
        </w:rPr>
        <w:t>提交安装后系统会创建表结构、默认配置、默认角色和管理员账号。</w:t>
      </w:r>
    </w:p>
    <w:p>
      <w:pPr>
        <w:numPr>
          <w:ilvl w:val="0"/>
          <w:numId w:val="11"/>
        </w:numPr>
        <w:spacing w:after="60" w:line="269" w:lineRule="auto"/>
        <w:ind w:left="425" w:hanging="198"/>
      </w:pPr>
      <w:r>
        <w:rPr>
          <w:rFonts w:ascii="Arial" w:hAnsi="Arial" w:eastAsia="宋体"/>
          <w:sz w:val="20"/>
        </w:rPr>
        <w:t>安装完成后返回首页或进入后台管理台。</w:t>
      </w:r>
    </w:p>
    <w:p>
      <w:pPr>
        <w:pStyle w:val="Heading2"/>
      </w:pPr>
      <w:r>
        <w:t>4.5 登录和退出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用户可通过密码登录、短信登录、微信登录、Google 登录或 GitHub 登录进入系统，具体可用方式由管理员在系统设置中开启。登录后右上角显示用户入口，用户可进入个人中心、账号设置或退出登录。</w:t>
      </w:r>
    </w:p>
    <w:p>
      <w:pPr>
        <w:pStyle w:val="Heading2"/>
      </w:pPr>
      <w:r>
        <w:t>4.6 首次配置建议</w:t>
      </w:r>
    </w:p>
    <w:tbl>
      <w:tblPr>
        <w:tblW w:type="dxa" w:w="8503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700"/>
        <w:gridCol w:w="6803"/>
      </w:tblGrid>
      <w:tr>
        <w:trPr>
          <w:tblHeader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配置项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建议操作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站点信息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设置站点标题、站点描述、关键词、Logo 和页脚链接。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模块开关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按业务需要启用问答、文章、动态或话题模块。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注册登录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确认密码登录、第三方登录、短信登录和邮箱验证策略。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上传配置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确认图片和附件的存储方式、大小限制、格式限制和数量限制。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通知配置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配置 SMTP 和站内信/邮件通知频率。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权限配置</w:t>
            </w:r>
          </w:p>
        </w:tc>
        <w:tc>
          <w:tcPr>
            <w:tcW w:type="dxa" w:w="68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创建运营角色，为内容维护人员分配最小必要权限。</w:t>
            </w:r>
          </w:p>
        </w:tc>
      </w:tr>
    </w:tbl>
    <w:p>
      <w:pPr>
        <w:spacing w:after="40"/>
      </w:pPr>
    </w:p>
    <w:p>
      <w:pPr>
        <w:spacing w:before="60" w:after="140"/>
        <w:jc w:val="center"/>
      </w:pPr>
      <w:r>
        <w:rPr>
          <w:rFonts w:ascii="Arial" w:hAnsi="Arial" w:eastAsia="宋体"/>
          <w:b w:val="0"/>
          <w:color w:val="555555"/>
          <w:sz w:val="18"/>
        </w:rPr>
        <w:t>表 6 首次配置建议</w:t>
      </w:r>
    </w:p>
    <w:p>
      <w:pPr>
        <w:pStyle w:val="Heading1"/>
      </w:pPr>
      <w:r>
        <w:t>5 基础使用</w:t>
      </w:r>
    </w:p>
    <w:p>
      <w:pPr>
        <w:pStyle w:val="Heading2"/>
      </w:pPr>
      <w:r>
        <w:t>5.1 首页和导航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首页用于展示站点导航、推荐标签、最新内容和主要入口。顶部导航根据管理员配置显示话题、问答、文章、搜索、个人中心和后台入口。未登录用户只能访问公开内容；登录用户可看到创建按钮和个人菜单。</w:t>
      </w:r>
    </w:p>
    <w:p>
      <w:pPr>
        <w:pStyle w:val="Heading2"/>
      </w:pPr>
      <w:r>
        <w:t>5.2 搜索内容</w:t>
      </w:r>
    </w:p>
    <w:p>
      <w:pPr>
        <w:numPr>
          <w:ilvl w:val="0"/>
          <w:numId w:val="12"/>
        </w:numPr>
        <w:spacing w:after="60" w:line="269" w:lineRule="auto"/>
        <w:ind w:left="425" w:hanging="198"/>
      </w:pPr>
      <w:r>
        <w:rPr>
          <w:rFonts w:ascii="Arial" w:hAnsi="Arial" w:eastAsia="宋体"/>
          <w:sz w:val="20"/>
        </w:rPr>
        <w:t>在顶部搜索框输入关键词，例如“部署问题”“权限配置”“接口报错”。</w:t>
      </w:r>
    </w:p>
    <w:p>
      <w:pPr>
        <w:numPr>
          <w:ilvl w:val="0"/>
          <w:numId w:val="12"/>
        </w:numPr>
        <w:spacing w:after="60" w:line="269" w:lineRule="auto"/>
        <w:ind w:left="425" w:hanging="198"/>
      </w:pPr>
      <w:r>
        <w:rPr>
          <w:rFonts w:ascii="Arial" w:hAnsi="Arial" w:eastAsia="宋体"/>
          <w:sz w:val="20"/>
        </w:rPr>
        <w:t>进入搜索结果页后，可按话题或文章切换结果类型。</w:t>
      </w:r>
    </w:p>
    <w:p>
      <w:pPr>
        <w:numPr>
          <w:ilvl w:val="0"/>
          <w:numId w:val="12"/>
        </w:numPr>
        <w:spacing w:after="60" w:line="269" w:lineRule="auto"/>
        <w:ind w:left="425" w:hanging="198"/>
      </w:pPr>
      <w:r>
        <w:rPr>
          <w:rFonts w:ascii="Arial" w:hAnsi="Arial" w:eastAsia="宋体"/>
          <w:sz w:val="20"/>
        </w:rPr>
        <w:t>点击结果标题进入详情页，查看正文、评论、附件和相关标签。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搜索结果依赖搜索索引。若管理员刚导入大量历史内容，建议在后台执行搜索索引重建后再检索。</w:t>
      </w:r>
    </w:p>
    <w:p>
      <w:pPr>
        <w:pStyle w:val="Heading2"/>
      </w:pPr>
      <w:r>
        <w:t>5.3 个人中心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个人中心用于查看用户资料、已发布内容和账号设置。用户可维护昵称、头像、主页、个人简介、密码、邮箱等信息。被禁言用户在禁言期间不能发布或评论，但可查看公开内容。</w:t>
      </w:r>
    </w:p>
    <w:p>
      <w:pPr>
        <w:pStyle w:val="Heading2"/>
      </w:pPr>
      <w:r>
        <w:t>5.4 消息与通知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系统会根据配置生成站内消息或邮件通知，例如评论回复、文章评论、问答答案被采纳、内容被推荐等。若未收到邮件通知，请确认邮箱地址、SMTP 配置和通知频率。</w:t>
      </w:r>
    </w:p>
    <w:p>
      <w:pPr>
        <w:pStyle w:val="Heading1"/>
      </w:pPr>
      <w:r>
        <w:t>6 内容发布与协作</w:t>
      </w:r>
    </w:p>
    <w:p>
      <w:pPr>
        <w:pStyle w:val="Heading2"/>
      </w:pPr>
      <w:r>
        <w:t>6.1 发布问答</w:t>
      </w:r>
    </w:p>
    <w:p>
      <w:pPr>
        <w:numPr>
          <w:ilvl w:val="0"/>
          <w:numId w:val="13"/>
        </w:numPr>
        <w:spacing w:after="60" w:line="269" w:lineRule="auto"/>
        <w:ind w:left="425" w:hanging="198"/>
      </w:pPr>
      <w:r>
        <w:rPr>
          <w:rFonts w:ascii="Arial" w:hAnsi="Arial" w:eastAsia="宋体"/>
          <w:sz w:val="20"/>
        </w:rPr>
        <w:t>点击“创建”，选择“问答”。</w:t>
      </w:r>
    </w:p>
    <w:p>
      <w:pPr>
        <w:numPr>
          <w:ilvl w:val="0"/>
          <w:numId w:val="13"/>
        </w:numPr>
        <w:spacing w:after="60" w:line="269" w:lineRule="auto"/>
        <w:ind w:left="425" w:hanging="198"/>
      </w:pPr>
      <w:r>
        <w:rPr>
          <w:rFonts w:ascii="Arial" w:hAnsi="Arial" w:eastAsia="宋体"/>
          <w:sz w:val="20"/>
        </w:rPr>
        <w:t>选择分类，填写标题和正文。标题建议包含问题对象和现象，例如“安装后访问首页提示数据库未连接”。</w:t>
      </w:r>
    </w:p>
    <w:p>
      <w:pPr>
        <w:numPr>
          <w:ilvl w:val="0"/>
          <w:numId w:val="13"/>
        </w:numPr>
        <w:spacing w:after="60" w:line="269" w:lineRule="auto"/>
        <w:ind w:left="425" w:hanging="198"/>
      </w:pPr>
      <w:r>
        <w:rPr>
          <w:rFonts w:ascii="Arial" w:hAnsi="Arial" w:eastAsia="宋体"/>
          <w:sz w:val="20"/>
        </w:rPr>
        <w:t>根据需要填写平台模块、业务场景、问题来源、优先级、严重程度和责任人。</w:t>
      </w:r>
    </w:p>
    <w:p>
      <w:pPr>
        <w:numPr>
          <w:ilvl w:val="0"/>
          <w:numId w:val="13"/>
        </w:numPr>
        <w:spacing w:after="60" w:line="269" w:lineRule="auto"/>
        <w:ind w:left="425" w:hanging="198"/>
      </w:pPr>
      <w:r>
        <w:rPr>
          <w:rFonts w:ascii="Arial" w:hAnsi="Arial" w:eastAsia="宋体"/>
          <w:sz w:val="20"/>
        </w:rPr>
        <w:t>添加标签和附件，提交后等待系统保存。若开启审核，内容需审核通过后显示。</w:t>
      </w:r>
    </w:p>
    <w:p>
      <w:pPr>
        <w:pStyle w:val="Heading2"/>
      </w:pPr>
      <w:r>
        <w:t>6.2 回复与采纳答案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用户可在问答详情页发表评论或回复。提问者或具备权限的管理员可将某条回复采纳为答案，系统会记录采纳评论和解决时间。管理员也可在后台将问答标记为已解决或未解决。</w:t>
      </w:r>
    </w:p>
    <w:p>
      <w:pPr>
        <w:pStyle w:val="Heading2"/>
      </w:pPr>
      <w:r>
        <w:t>6.3 发布文章</w:t>
      </w:r>
    </w:p>
    <w:p>
      <w:pPr>
        <w:numPr>
          <w:ilvl w:val="0"/>
          <w:numId w:val="14"/>
        </w:numPr>
        <w:spacing w:after="60" w:line="269" w:lineRule="auto"/>
        <w:ind w:left="425" w:hanging="198"/>
      </w:pPr>
      <w:r>
        <w:rPr>
          <w:rFonts w:ascii="Arial" w:hAnsi="Arial" w:eastAsia="宋体"/>
          <w:sz w:val="20"/>
        </w:rPr>
        <w:t>点击“创建”，选择“文章”。</w:t>
      </w:r>
    </w:p>
    <w:p>
      <w:pPr>
        <w:numPr>
          <w:ilvl w:val="0"/>
          <w:numId w:val="14"/>
        </w:numPr>
        <w:spacing w:after="60" w:line="269" w:lineRule="auto"/>
        <w:ind w:left="425" w:hanging="198"/>
      </w:pPr>
      <w:r>
        <w:rPr>
          <w:rFonts w:ascii="Arial" w:hAnsi="Arial" w:eastAsia="宋体"/>
          <w:sz w:val="20"/>
        </w:rPr>
        <w:t>填写标题、摘要、正文、封面图、标签和来源链接。</w:t>
      </w:r>
    </w:p>
    <w:p>
      <w:pPr>
        <w:numPr>
          <w:ilvl w:val="0"/>
          <w:numId w:val="14"/>
        </w:numPr>
        <w:spacing w:after="60" w:line="269" w:lineRule="auto"/>
        <w:ind w:left="425" w:hanging="198"/>
      </w:pPr>
      <w:r>
        <w:rPr>
          <w:rFonts w:ascii="Arial" w:hAnsi="Arial" w:eastAsia="宋体"/>
          <w:sz w:val="20"/>
        </w:rPr>
        <w:t>正文支持 Markdown 或富文本编辑，建议使用清晰的标题层级和代码块。</w:t>
      </w:r>
    </w:p>
    <w:p>
      <w:pPr>
        <w:numPr>
          <w:ilvl w:val="0"/>
          <w:numId w:val="14"/>
        </w:numPr>
        <w:spacing w:after="60" w:line="269" w:lineRule="auto"/>
        <w:ind w:left="425" w:hanging="198"/>
      </w:pPr>
      <w:r>
        <w:rPr>
          <w:rFonts w:ascii="Arial" w:hAnsi="Arial" w:eastAsia="宋体"/>
          <w:sz w:val="20"/>
        </w:rPr>
        <w:t>提交后进入文章详情页或等待管理员审核。</w:t>
      </w:r>
    </w:p>
    <w:p>
      <w:pPr>
        <w:pStyle w:val="Heading2"/>
      </w:pPr>
      <w:r>
        <w:t>6.4 评论、点赞和投票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用户可对话题、问答、文章进行评论和回复，也可对内容点赞。话题支持投票能力，发布者可设置单选或多选、投票标题、选项和截止时间。投票提交后结果按系统规则展示。</w:t>
      </w:r>
    </w:p>
    <w:p>
      <w:pPr>
        <w:pStyle w:val="Heading2"/>
      </w:pPr>
      <w:r>
        <w:t>6.5 附件上传和下载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发布话题时可上传附件，附件类型、大小和数量由管理员配置。附件上传成功后会绑定到对应话题。用户下载附件时系统会记录下载日志，便于后续审计和统计。</w:t>
      </w:r>
    </w:p>
    <w:tbl>
      <w:tblPr>
        <w:tblW w:type="dxa" w:w="8503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474"/>
        <w:gridCol w:w="2948"/>
        <w:gridCol w:w="4081"/>
      </w:tblGrid>
      <w:tr>
        <w:trPr>
          <w:tblHeader w:val="true"/>
        </w:trP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内容类型</w:t>
            </w:r>
          </w:p>
        </w:tc>
        <w:tc>
          <w:tcPr>
            <w:tcW w:type="dxa" w:w="29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建议填写</w:t>
            </w:r>
          </w:p>
        </w:tc>
        <w:tc>
          <w:tcPr>
            <w:tcW w:type="dxa" w:w="40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示例</w:t>
            </w:r>
          </w:p>
        </w:tc>
      </w:tr>
      <w:t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问答标题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问题对象 + 异常现象</w:t>
            </w:r>
          </w:p>
        </w:tc>
        <w:tc>
          <w:tcPr>
            <w:tcW w:type="dxa" w:w="40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部署后访问首页提示数据库未连接</w:t>
            </w:r>
          </w:p>
        </w:tc>
      </w:tr>
      <w:t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平台模块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问题所属模块</w:t>
            </w:r>
          </w:p>
        </w:tc>
        <w:tc>
          <w:tcPr>
            <w:tcW w:type="dxa" w:w="40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安装部署 / 搜索 / 权限 / 附件</w:t>
            </w:r>
          </w:p>
        </w:tc>
      </w:tr>
      <w:t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业务场景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触发问题的业务动作</w:t>
            </w:r>
          </w:p>
        </w:tc>
        <w:tc>
          <w:tcPr>
            <w:tcW w:type="dxa" w:w="40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管理员重建搜索索引</w:t>
            </w:r>
          </w:p>
        </w:tc>
      </w:tr>
      <w:t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标签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便于检索的关键词</w:t>
            </w:r>
          </w:p>
        </w:tc>
        <w:tc>
          <w:tcPr>
            <w:tcW w:type="dxa" w:w="40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部署、MySQL、权限、索引</w:t>
            </w:r>
          </w:p>
        </w:tc>
      </w:tr>
      <w:t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附件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日志、截图、说明文档</w:t>
            </w:r>
          </w:p>
        </w:tc>
        <w:tc>
          <w:tcPr>
            <w:tcW w:type="dxa" w:w="40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error.log、配置截图、操作记录</w:t>
            </w:r>
          </w:p>
        </w:tc>
      </w:tr>
    </w:tbl>
    <w:p>
      <w:pPr>
        <w:spacing w:after="40"/>
      </w:pPr>
    </w:p>
    <w:p>
      <w:pPr>
        <w:spacing w:before="60" w:after="140"/>
        <w:jc w:val="center"/>
      </w:pPr>
      <w:r>
        <w:rPr>
          <w:rFonts w:ascii="Arial" w:hAnsi="Arial" w:eastAsia="宋体"/>
          <w:b w:val="0"/>
          <w:color w:val="555555"/>
          <w:sz w:val="18"/>
        </w:rPr>
        <w:t>表 7 内容发布填写建议</w:t>
      </w:r>
    </w:p>
    <w:p>
      <w:pPr>
        <w:pStyle w:val="Heading1"/>
      </w:pPr>
      <w:r>
        <w:t>7 后台管理</w:t>
      </w:r>
    </w:p>
    <w:p>
      <w:pPr>
        <w:pStyle w:val="Heading2"/>
      </w:pPr>
      <w:r>
        <w:t>7.1 进入后台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具有后台访问权限的用户登录后，可从用户菜单进入后台管理台。后台入口默认路径为 /dashboard。若没有后台入口，请联系管理员检查用户角色和权限。</w:t>
      </w:r>
    </w:p>
    <w:p>
      <w:pPr>
        <w:pStyle w:val="Heading2"/>
      </w:pPr>
      <w:r>
        <w:t>7.2 内容管理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后台内容管理用于查看、审核、推荐、置顶、删除和恢复话题或文章。管理员处理内容时，应保留必要的操作记录，并优先通过审核、推荐和置顶引导优质内容沉淀。</w:t>
      </w:r>
    </w:p>
    <w:tbl>
      <w:tblPr>
        <w:tblW w:type="dxa" w:w="8503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417"/>
        <w:gridCol w:w="2834"/>
        <w:gridCol w:w="4251"/>
      </w:tblGrid>
      <w:tr>
        <w:trPr>
          <w:tblHeader w:val="true"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6"/>
              </w:rPr>
              <w:t>管理对象</w:t>
            </w:r>
          </w:p>
        </w:tc>
        <w:tc>
          <w:tcPr>
            <w:tcW w:type="dxa" w:w="28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6"/>
              </w:rPr>
              <w:t>常见操作</w:t>
            </w:r>
          </w:p>
        </w:tc>
        <w:tc>
          <w:tcPr>
            <w:tcW w:type="dxa" w:w="42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6"/>
              </w:rPr>
              <w:t>注意事项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话题/问答</w:t>
            </w:r>
          </w:p>
        </w:tc>
        <w:tc>
          <w:tcPr>
            <w:tcW w:type="dxa" w:w="28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列表筛选、查看详情、审核、推荐、置顶、删除、恢复、标记解决</w:t>
            </w:r>
          </w:p>
        </w:tc>
        <w:tc>
          <w:tcPr>
            <w:tcW w:type="dxa" w:w="42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问答处理状态应与实际解决情况一致。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文章</w:t>
            </w:r>
          </w:p>
        </w:tc>
        <w:tc>
          <w:tcPr>
            <w:tcW w:type="dxa" w:w="28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列表筛选、查看详情、编辑、审核、删除、维护标签</w:t>
            </w:r>
          </w:p>
        </w:tc>
        <w:tc>
          <w:tcPr>
            <w:tcW w:type="dxa" w:w="42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知识类文章建议补充摘要和标签。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分类</w:t>
            </w:r>
          </w:p>
        </w:tc>
        <w:tc>
          <w:tcPr>
            <w:tcW w:type="dxa" w:w="28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创建、编辑、排序、删除</w:t>
            </w:r>
          </w:p>
        </w:tc>
        <w:tc>
          <w:tcPr>
            <w:tcW w:type="dxa" w:w="42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删除分类前应确认没有重要内容依赖。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标签</w:t>
            </w:r>
          </w:p>
        </w:tc>
        <w:tc>
          <w:tcPr>
            <w:tcW w:type="dxa" w:w="28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创建、编辑、自动补全</w:t>
            </w:r>
          </w:p>
        </w:tc>
        <w:tc>
          <w:tcPr>
            <w:tcW w:type="dxa" w:w="42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避免同义标签过多造成检索分散。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举报</w:t>
            </w:r>
          </w:p>
        </w:tc>
        <w:tc>
          <w:tcPr>
            <w:tcW w:type="dxa" w:w="28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查看、创建、更新、审核</w:t>
            </w:r>
          </w:p>
        </w:tc>
        <w:tc>
          <w:tcPr>
            <w:tcW w:type="dxa" w:w="42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处理结果应明确，必要时同步处理原内容。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敏感词</w:t>
            </w:r>
          </w:p>
        </w:tc>
        <w:tc>
          <w:tcPr>
            <w:tcW w:type="dxa" w:w="28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创建、编辑、删除</w:t>
            </w:r>
          </w:p>
        </w:tc>
        <w:tc>
          <w:tcPr>
            <w:tcW w:type="dxa" w:w="42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正则类敏感词上线前需谨慎验证。</w:t>
            </w:r>
          </w:p>
        </w:tc>
      </w:tr>
    </w:tbl>
    <w:p>
      <w:pPr>
        <w:spacing w:after="40"/>
      </w:pPr>
    </w:p>
    <w:p>
      <w:pPr>
        <w:spacing w:before="60" w:after="140"/>
        <w:jc w:val="center"/>
      </w:pPr>
      <w:r>
        <w:rPr>
          <w:rFonts w:ascii="Arial" w:hAnsi="Arial" w:eastAsia="宋体"/>
          <w:b w:val="0"/>
          <w:color w:val="555555"/>
          <w:sz w:val="18"/>
        </w:rPr>
        <w:t>表 8 后台内容管理</w:t>
      </w:r>
    </w:p>
    <w:p>
      <w:pPr>
        <w:pStyle w:val="Heading2"/>
      </w:pPr>
      <w:r>
        <w:t>7.3 用户管理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用户管理用于查看用户列表、创建用户、编辑用户资料、分配角色、禁言用户、重置密码和同步用户统计。永久禁言和重置密码属于高风险操作，应仅分配给受信任管理员。</w:t>
      </w:r>
    </w:p>
    <w:p>
      <w:pPr>
        <w:pStyle w:val="Heading2"/>
      </w:pPr>
      <w:r>
        <w:t>7.4 角色和权限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角色用于组合后台权限。管理员可创建自定义角色，并为角色分配查看、创建、编辑、审核、删除、排序、重建索引、生成 Sitemap 等权限。建议按最小权限原则创建“内容维护”“用户管理”“系统运维”等角色。</w:t>
      </w:r>
    </w:p>
    <w:p>
      <w:pPr>
        <w:pStyle w:val="Heading2"/>
      </w:pPr>
      <w:r>
        <w:t>7.5 系统设置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系统设置包含站点标题、站点描述、站点关键词、Logo、导航、页脚链接、关于页面、登录方式、SMTP、上传存储、附件策略、模块开关、邮箱白名单、脚本注入和通知配置。修改设置后建议刷新页面并进行一次主要流程验证。</w:t>
      </w:r>
    </w:p>
    <w:p>
      <w:pPr>
        <w:pStyle w:val="Heading2"/>
      </w:pPr>
      <w:r>
        <w:t>7.6 搜索索引和站点地图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后台提供搜索索引重建和 Sitemap 生成入口。导入历史数据、批量更新内容或发现搜索结果异常时，可执行搜索索引重建。站点地图用于搜索引擎收录，生成前应确认站点 Base URL 配置正确。</w:t>
      </w:r>
    </w:p>
    <w:p>
      <w:pPr>
        <w:pStyle w:val="Heading2"/>
      </w:pPr>
      <w:r>
        <w:t>7.7 日志和邮件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后台可查看邮件发送日志和运营操作日志。邮件日志用于排查邮件通知、邮箱验证和密码重置问题；运营日志用于追踪管理员操作、审计高风险变更。</w:t>
      </w:r>
    </w:p>
    <w:p>
      <w:pPr>
        <w:pStyle w:val="Heading1"/>
      </w:pPr>
      <w:r>
        <w:t>8 运维维护</w:t>
      </w:r>
    </w:p>
    <w:p>
      <w:pPr>
        <w:pStyle w:val="Heading2"/>
      </w:pPr>
      <w:r>
        <w:t>8.1 日常检查</w:t>
      </w:r>
    </w:p>
    <w:tbl>
      <w:tblPr>
        <w:tblW w:type="dxa" w:w="8503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700"/>
        <w:gridCol w:w="4535"/>
        <w:gridCol w:w="2267"/>
      </w:tblGrid>
      <w:tr>
        <w:trPr>
          <w:tblHeader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检查项</w:t>
            </w:r>
          </w:p>
        </w:tc>
        <w:tc>
          <w:tcPr>
            <w:tcW w:type="dxa" w:w="45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检查内容</w:t>
            </w:r>
          </w:p>
        </w:tc>
        <w:tc>
          <w:tcPr>
            <w:tcW w:type="dxa" w:w="2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建议频率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服务状态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应用容器、数据库容器、健康检查接口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每日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磁盘空间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数据库、日志、上传目录、搜索索引目录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每日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错误日志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应用启动错误、接口错误、数据库连接错误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每日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备份状态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数据库备份、上传目录备份、配置文件备份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每日/每周</w:t>
            </w:r>
          </w:p>
        </w:tc>
      </w:tr>
      <w:t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安全配置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管理员账号、密钥、SMTP、对象存储配置</w:t>
            </w:r>
          </w:p>
        </w:tc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每次变更后</w:t>
            </w:r>
          </w:p>
        </w:tc>
      </w:tr>
    </w:tbl>
    <w:p>
      <w:pPr>
        <w:spacing w:after="40"/>
      </w:pPr>
    </w:p>
    <w:p>
      <w:pPr>
        <w:spacing w:before="60" w:after="140"/>
        <w:jc w:val="center"/>
      </w:pPr>
      <w:r>
        <w:rPr>
          <w:rFonts w:ascii="Arial" w:hAnsi="Arial" w:eastAsia="宋体"/>
          <w:b w:val="0"/>
          <w:color w:val="555555"/>
          <w:sz w:val="18"/>
        </w:rPr>
        <w:t>表 9 日常运维检查项</w:t>
      </w:r>
    </w:p>
    <w:p>
      <w:pPr>
        <w:pStyle w:val="Heading2"/>
      </w:pPr>
      <w:r>
        <w:t>8.2 数据备份</w:t>
      </w:r>
    </w:p>
    <w:p>
      <w:pPr>
        <w:spacing w:after="120" w:line="283" w:lineRule="auto"/>
        <w:ind w:firstLine="420"/>
      </w:pPr>
      <w:r>
        <w:rPr>
          <w:rFonts w:ascii="Arial" w:hAnsi="Arial" w:eastAsia="宋体"/>
          <w:sz w:val="21"/>
        </w:rPr>
        <w:t>建议至少备份数据库、上传文件目录、配置文件和搜索索引目录。数据库备份可使用 MySQL 工具完成；上传文件和配置文件可通过文件系统快照或定时复制完成。恢复前应先在测试环境验证备份可用。</w:t>
      </w:r>
    </w:p>
    <w:p>
      <w:pPr>
        <w:spacing w:after="80"/>
        <w:ind w:left="397"/>
      </w:pPr>
      <w:r>
        <w:rPr>
          <w:rFonts w:ascii="Arial" w:hAnsi="Arial" w:eastAsia="Courier New"/>
          <w:b w:val="0"/>
          <w:color w:val="111827"/>
          <w:sz w:val="18"/>
        </w:rPr>
        <w:t>mysqldump -h 127.0.0.1 -u platform_user -p platform_km &gt; platform_km_20260623.sql</w:t>
      </w:r>
    </w:p>
    <w:p>
      <w:pPr>
        <w:pStyle w:val="Heading2"/>
      </w:pPr>
      <w:r>
        <w:t>8.3 升级发布</w:t>
      </w:r>
    </w:p>
    <w:p>
      <w:pPr>
        <w:numPr>
          <w:ilvl w:val="0"/>
          <w:numId w:val="15"/>
        </w:numPr>
        <w:spacing w:after="60" w:line="269" w:lineRule="auto"/>
        <w:ind w:left="425" w:hanging="198"/>
      </w:pPr>
      <w:r>
        <w:rPr>
          <w:rFonts w:ascii="Arial" w:hAnsi="Arial" w:eastAsia="宋体"/>
          <w:sz w:val="20"/>
        </w:rPr>
        <w:t>记录当前版本、配置文件、数据库迁移版本和镜像/二进制信息。</w:t>
      </w:r>
    </w:p>
    <w:p>
      <w:pPr>
        <w:numPr>
          <w:ilvl w:val="0"/>
          <w:numId w:val="15"/>
        </w:numPr>
        <w:spacing w:after="60" w:line="269" w:lineRule="auto"/>
        <w:ind w:left="425" w:hanging="198"/>
      </w:pPr>
      <w:r>
        <w:rPr>
          <w:rFonts w:ascii="Arial" w:hAnsi="Arial" w:eastAsia="宋体"/>
          <w:sz w:val="20"/>
        </w:rPr>
        <w:t>备份数据库、上传目录和配置文件。</w:t>
      </w:r>
    </w:p>
    <w:p>
      <w:pPr>
        <w:numPr>
          <w:ilvl w:val="0"/>
          <w:numId w:val="15"/>
        </w:numPr>
        <w:spacing w:after="60" w:line="269" w:lineRule="auto"/>
        <w:ind w:left="425" w:hanging="198"/>
      </w:pPr>
      <w:r>
        <w:rPr>
          <w:rFonts w:ascii="Arial" w:hAnsi="Arial" w:eastAsia="宋体"/>
          <w:sz w:val="20"/>
        </w:rPr>
        <w:t>在测试环境启动新版本，验证安装状态、登录、发布、搜索、后台和附件下载。</w:t>
      </w:r>
    </w:p>
    <w:p>
      <w:pPr>
        <w:numPr>
          <w:ilvl w:val="0"/>
          <w:numId w:val="15"/>
        </w:numPr>
        <w:spacing w:after="60" w:line="269" w:lineRule="auto"/>
        <w:ind w:left="425" w:hanging="198"/>
      </w:pPr>
      <w:r>
        <w:rPr>
          <w:rFonts w:ascii="Arial" w:hAnsi="Arial" w:eastAsia="宋体"/>
          <w:sz w:val="20"/>
        </w:rPr>
        <w:t>在生产环境替换镜像或二进制，观察健康检查和日志。</w:t>
      </w:r>
    </w:p>
    <w:p>
      <w:pPr>
        <w:numPr>
          <w:ilvl w:val="0"/>
          <w:numId w:val="15"/>
        </w:numPr>
        <w:spacing w:after="60" w:line="269" w:lineRule="auto"/>
        <w:ind w:left="425" w:hanging="198"/>
      </w:pPr>
      <w:r>
        <w:rPr>
          <w:rFonts w:ascii="Arial" w:hAnsi="Arial" w:eastAsia="宋体"/>
          <w:sz w:val="20"/>
        </w:rPr>
        <w:t>如发现异常，按备份和版本记录执行回滚。</w:t>
      </w:r>
    </w:p>
    <w:p>
      <w:pPr>
        <w:pStyle w:val="Heading2"/>
      </w:pPr>
      <w:r>
        <w:t>8.4 安全建议</w:t>
      </w:r>
    </w:p>
    <w:p>
      <w:pPr>
        <w:pStyle w:val="ListBullet"/>
        <w:spacing w:after="60" w:line="269" w:lineRule="auto"/>
      </w:pPr>
      <w:r>
        <w:rPr>
          <w:rFonts w:ascii="Arial" w:hAnsi="Arial" w:eastAsia="宋体"/>
          <w:sz w:val="20"/>
        </w:rPr>
        <w:t>管理员账号使用强密码，并定期检查角色权限。</w:t>
      </w:r>
    </w:p>
    <w:p>
      <w:pPr>
        <w:pStyle w:val="ListBullet"/>
        <w:spacing w:after="60" w:line="269" w:lineRule="auto"/>
      </w:pPr>
      <w:r>
        <w:rPr>
          <w:rFonts w:ascii="Arial" w:hAnsi="Arial" w:eastAsia="宋体"/>
          <w:sz w:val="20"/>
        </w:rPr>
        <w:t>数据库密码、对象存储密钥、SMTP 密码和第三方登录密钥不得写入公开文档。</w:t>
      </w:r>
    </w:p>
    <w:p>
      <w:pPr>
        <w:pStyle w:val="ListBullet"/>
        <w:spacing w:after="60" w:line="269" w:lineRule="auto"/>
      </w:pPr>
      <w:r>
        <w:rPr>
          <w:rFonts w:ascii="Arial" w:hAnsi="Arial" w:eastAsia="宋体"/>
          <w:sz w:val="20"/>
        </w:rPr>
        <w:t>开启 HTTPS 或由网关提供 HTTPS 访问。</w:t>
      </w:r>
    </w:p>
    <w:p>
      <w:pPr>
        <w:pStyle w:val="ListBullet"/>
        <w:spacing w:after="60" w:line="269" w:lineRule="auto"/>
      </w:pPr>
      <w:r>
        <w:rPr>
          <w:rFonts w:ascii="Arial" w:hAnsi="Arial" w:eastAsia="宋体"/>
          <w:sz w:val="20"/>
        </w:rPr>
        <w:t>限制后台访问人员和服务器登录人员范围。</w:t>
      </w:r>
    </w:p>
    <w:p>
      <w:pPr>
        <w:pStyle w:val="ListBullet"/>
        <w:spacing w:after="60" w:line="269" w:lineRule="auto"/>
      </w:pPr>
      <w:r>
        <w:rPr>
          <w:rFonts w:ascii="Arial" w:hAnsi="Arial" w:eastAsia="宋体"/>
          <w:sz w:val="20"/>
        </w:rPr>
        <w:t>定期更新依赖和基础镜像，关注安全漏洞修复。</w:t>
      </w:r>
    </w:p>
    <w:p>
      <w:pPr>
        <w:pStyle w:val="Heading1"/>
      </w:pPr>
      <w:r>
        <w:t>9 常见问题</w:t>
      </w:r>
    </w:p>
    <w:tbl>
      <w:tblPr>
        <w:tblW w:type="dxa" w:w="8503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267"/>
        <w:gridCol w:w="2834"/>
        <w:gridCol w:w="3401"/>
      </w:tblGrid>
      <w:tr>
        <w:trPr>
          <w:tblHeader w:val="true"/>
        </w:trPr>
        <w:tc>
          <w:tcPr>
            <w:tcW w:type="dxa" w:w="226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6"/>
              </w:rPr>
              <w:t>问题</w:t>
            </w:r>
          </w:p>
        </w:tc>
        <w:tc>
          <w:tcPr>
            <w:tcW w:type="dxa" w:w="28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6"/>
              </w:rPr>
              <w:t>可能原因</w:t>
            </w:r>
          </w:p>
        </w:tc>
        <w:tc>
          <w:tcPr>
            <w:tcW w:type="dxa" w:w="34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6"/>
              </w:rPr>
              <w:t>处理建议</w:t>
            </w:r>
          </w:p>
        </w:tc>
      </w:tr>
      <w:tr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无法打开安装页面</w:t>
            </w:r>
          </w:p>
        </w:tc>
        <w:tc>
          <w:tcPr>
            <w:tcW w:type="dxa" w:w="28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服务未启动、端口未开放、反向代理配置错误</w:t>
            </w:r>
          </w:p>
        </w:tc>
        <w:tc>
          <w:tcPr>
            <w:tcW w:type="dxa" w:w="34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检查容器状态、端口映射和访问地址。</w:t>
            </w:r>
          </w:p>
        </w:tc>
      </w:tr>
      <w:tr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数据库连接测试失败</w:t>
            </w:r>
          </w:p>
        </w:tc>
        <w:tc>
          <w:tcPr>
            <w:tcW w:type="dxa" w:w="28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地址、端口、账号、密码或字符集配置错误</w:t>
            </w:r>
          </w:p>
        </w:tc>
        <w:tc>
          <w:tcPr>
            <w:tcW w:type="dxa" w:w="34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确认 MySQL 可访问，账号具备建表和读写权限。</w:t>
            </w:r>
          </w:p>
        </w:tc>
      </w:tr>
      <w:tr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登录后没有后台入口</w:t>
            </w:r>
          </w:p>
        </w:tc>
        <w:tc>
          <w:tcPr>
            <w:tcW w:type="dxa" w:w="28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用户未分配后台权限或角色被禁用</w:t>
            </w:r>
          </w:p>
        </w:tc>
        <w:tc>
          <w:tcPr>
            <w:tcW w:type="dxa" w:w="34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由管理员检查用户角色和 dashboard 相关权限。</w:t>
            </w:r>
          </w:p>
        </w:tc>
      </w:tr>
      <w:tr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搜索不到新内容</w:t>
            </w:r>
          </w:p>
        </w:tc>
        <w:tc>
          <w:tcPr>
            <w:tcW w:type="dxa" w:w="28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搜索索引未更新或索引目录异常</w:t>
            </w:r>
          </w:p>
        </w:tc>
        <w:tc>
          <w:tcPr>
            <w:tcW w:type="dxa" w:w="34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后台执行搜索索引重建，检查索引目录权限。</w:t>
            </w:r>
          </w:p>
        </w:tc>
      </w:tr>
      <w:tr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附件上传失败</w:t>
            </w:r>
          </w:p>
        </w:tc>
        <w:tc>
          <w:tcPr>
            <w:tcW w:type="dxa" w:w="28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附件功能未开启、类型/大小超限、对象存储配置错误</w:t>
            </w:r>
          </w:p>
        </w:tc>
        <w:tc>
          <w:tcPr>
            <w:tcW w:type="dxa" w:w="34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检查附件配置、上传存储配置和服务日志。</w:t>
            </w:r>
          </w:p>
        </w:tc>
      </w:tr>
      <w:tr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邮件通知失败</w:t>
            </w:r>
          </w:p>
        </w:tc>
        <w:tc>
          <w:tcPr>
            <w:tcW w:type="dxa" w:w="28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SMTP 配置错误或通知频率限制</w:t>
            </w:r>
          </w:p>
        </w:tc>
        <w:tc>
          <w:tcPr>
            <w:tcW w:type="dxa" w:w="34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检查 SMTP 主机、端口、账号、SSL 设置和邮件日志。</w:t>
            </w:r>
          </w:p>
        </w:tc>
      </w:tr>
      <w:tr>
        <w:tc>
          <w:tcPr>
            <w:tcW w:type="dxa" w:w="226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6"/>
              </w:rPr>
              <w:t>内容发布后不可见</w:t>
            </w:r>
          </w:p>
        </w:tc>
        <w:tc>
          <w:tcPr>
            <w:tcW w:type="dxa" w:w="28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开启审核、分类状态异常或内容被删除</w:t>
            </w:r>
          </w:p>
        </w:tc>
        <w:tc>
          <w:tcPr>
            <w:tcW w:type="dxa" w:w="34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6"/>
              </w:rPr>
              <w:t>检查后台审核状态、分类状态和内容状态。</w:t>
            </w:r>
          </w:p>
        </w:tc>
      </w:tr>
    </w:tbl>
    <w:p>
      <w:pPr>
        <w:spacing w:after="40"/>
      </w:pPr>
    </w:p>
    <w:p>
      <w:pPr>
        <w:spacing w:before="60" w:after="140"/>
        <w:jc w:val="center"/>
      </w:pPr>
      <w:r>
        <w:rPr>
          <w:rFonts w:ascii="Arial" w:hAnsi="Arial" w:eastAsia="宋体"/>
          <w:b w:val="0"/>
          <w:color w:val="555555"/>
          <w:sz w:val="18"/>
        </w:rPr>
        <w:t>表 10 常见问题处理</w:t>
      </w:r>
    </w:p>
    <w:p>
      <w:pPr>
        <w:pStyle w:val="Heading1"/>
      </w:pPr>
      <w:r>
        <w:t>10 注释</w:t>
      </w:r>
    </w:p>
    <w:tbl>
      <w:tblPr>
        <w:tblW w:type="dxa" w:w="8503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984"/>
        <w:gridCol w:w="6519"/>
      </w:tblGrid>
      <w:tr>
        <w:trPr>
          <w:tblHeader w:val="true"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术语/缩略语</w:t>
            </w:r>
          </w:p>
        </w:tc>
        <w:tc>
          <w:tcPr>
            <w:tcW w:type="dxa" w:w="651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/>
                <w:sz w:val="17"/>
              </w:rPr>
              <w:t>说明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话题</w:t>
            </w:r>
          </w:p>
        </w:tc>
        <w:tc>
          <w:tcPr>
            <w:tcW w:type="dxa" w:w="65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用户发布的讨论内容，可包含正文、标签、图片、附件和评论。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问答</w:t>
            </w:r>
          </w:p>
        </w:tc>
        <w:tc>
          <w:tcPr>
            <w:tcW w:type="dxa" w:w="65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带有解决状态和答案采纳流程的话题类型。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文章</w:t>
            </w:r>
          </w:p>
        </w:tc>
        <w:tc>
          <w:tcPr>
            <w:tcW w:type="dxa" w:w="65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用于沉淀结构化知识的长内容，支持摘要、封面、标签和来源链接。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后台管理台</w:t>
            </w:r>
          </w:p>
        </w:tc>
        <w:tc>
          <w:tcPr>
            <w:tcW w:type="dxa" w:w="65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管理员进行内容治理、用户管理、权限配置和系统维护的页面。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搜索索引</w:t>
            </w:r>
          </w:p>
        </w:tc>
        <w:tc>
          <w:tcPr>
            <w:tcW w:type="dxa" w:w="65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用于提升内容检索效率的本地索引数据。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Sitemap</w:t>
            </w:r>
          </w:p>
        </w:tc>
        <w:tc>
          <w:tcPr>
            <w:tcW w:type="dxa" w:w="65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站点地图，用于向搜索引擎提供可收录页面列表。</w:t>
            </w:r>
          </w:p>
        </w:tc>
      </w:tr>
      <w:t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宋体"/>
                <w:b w:val="0"/>
                <w:sz w:val="17"/>
              </w:rPr>
              <w:t>对象存储</w:t>
            </w:r>
          </w:p>
        </w:tc>
        <w:tc>
          <w:tcPr>
            <w:tcW w:type="dxa" w:w="65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宋体"/>
                <w:b w:val="0"/>
                <w:sz w:val="17"/>
              </w:rPr>
              <w:t>用于保存图片和附件的外部存储服务，如 OSS、COS 或 S3。</w:t>
            </w:r>
          </w:p>
        </w:tc>
      </w:tr>
    </w:tbl>
    <w:p>
      <w:pPr>
        <w:spacing w:after="40"/>
      </w:pPr>
    </w:p>
    <w:p>
      <w:pPr>
        <w:spacing w:before="60" w:after="140"/>
        <w:jc w:val="center"/>
      </w:pPr>
      <w:r>
        <w:rPr>
          <w:rFonts w:ascii="Arial" w:hAnsi="Arial" w:eastAsia="宋体"/>
          <w:b w:val="0"/>
          <w:color w:val="555555"/>
          <w:sz w:val="18"/>
        </w:rPr>
        <w:t>表 11 术语和缩略语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531" w:bottom="1247" w:left="1531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666666"/>
        <w:sz w:val="18"/>
      </w:rPr>
      <w:t xml:space="preserve">第 </w:t>
    </w:r>
    <w:fldSimple w:instr="PAGE">
      <w:r/>
    </w:fldSimple>
    <w:r>
      <w:rPr>
        <w:rFonts w:ascii="Arial" w:hAnsi="Arial" w:eastAsia="宋体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Arial" w:hAnsi="Arial" w:eastAsia="宋体"/>
        <w:b w:val="0"/>
        <w:color w:val="666666"/>
        <w:sz w:val="18"/>
      </w:rPr>
      <w:t>平台知识管理工具  用户手册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276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9" w:lineRule="auto"/>
      <w:ind w:left="425" w:hanging="198"/>
      <w:contextualSpacing/>
    </w:pPr>
    <w:rPr>
      <w:rFonts w:ascii="宋体" w:hAnsi="宋体" w:eastAsia="宋体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9" w:lineRule="auto"/>
      <w:ind w:left="425" w:hanging="198"/>
      <w:contextualSpacing/>
    </w:pPr>
    <w:rPr>
      <w:rFonts w:ascii="宋体" w:hAnsi="宋体" w:eastAsia="宋体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平台知识管理工具用户手册</dc:title>
  <dc:subject/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