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echart实例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echart.init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dom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HTMLDivElement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HTMLCanvasElement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theme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Object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opts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  devicePixelRatio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  renderer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  width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right="-225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  height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?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})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=&gt;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ECharts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opts：</w:t>
      </w:r>
    </w:p>
    <w:p>
      <w:pPr>
        <w:ind w:firstLine="420" w:firstLineChars="0"/>
      </w:pPr>
      <w:r>
        <w:t>devicePixelRatio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t>renderer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默认是</w:t>
      </w:r>
      <w:r>
        <w:rPr>
          <w:rFonts w:hint="eastAsia"/>
          <w:lang w:val="en-US" w:eastAsia="zh-CN"/>
        </w:rPr>
        <w:t>canvas（大数据量），可以选择svg（内存更低，渲染性能高，缩放不模糊，适合移动端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t>width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t>height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</w:t>
      </w:r>
      <w:r>
        <w:fldChar w:fldCharType="begin"/>
      </w:r>
      <w:r>
        <w:instrText xml:space="preserve"> HYPERLINK "http://echarts.baidu.com/api.html" \l "echartsInstance.getDataURL" </w:instrText>
      </w:r>
      <w:r>
        <w:fldChar w:fldCharType="separate"/>
      </w:r>
      <w:r>
        <w:rPr>
          <w:rFonts w:hint="default"/>
        </w:rPr>
        <w:t>getDataURL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获取图片url（base64）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注意，这里需要图标完全生成后，才能拿到完整图像数据（echart中异步生成图表）。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可选格式，分辨率，背景色，忽略组件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.resize()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D0011"/>
    <w:rsid w:val="2DB00CEF"/>
    <w:rsid w:val="4AAC5201"/>
    <w:rsid w:val="5B9E49CD"/>
    <w:rsid w:val="61670049"/>
    <w:rsid w:val="6E115EA7"/>
    <w:rsid w:val="7619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2018-03-21T09:51:50Z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