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面向方面编程。（或面向切面）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一种旨向通过分离横切关注点而增加模块化的编程范式。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指的就是：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像函数记忆就是AOP的一种应用。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是电脑网络中进程数据流的端点。使用网际协议为通信基础的网络嵌套字，称为网际嵌套字。（Internet socket）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在操作系统中，通常会为操作系统提供一组API，称为嵌套字接口--socket API。应用程序可以通过嵌套字接口，来使用网络嵌套字，以进行数据交换。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在嵌套字接口中，以 ip地址和通信端口组成嵌套字地址。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半相关： 网络中用一个三元组可以在全局唯一标志一个进程（协议，本地ip，本地端口号），指定连接的每半部分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全相关： 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异步模块定义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算法的事件复杂度是一个函数，定性的描述该算法的运行时间。通常指的是渐进时间复杂度（符号： O），时间复杂度是渐进的，即考察输入值大小接近无穷大时。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如对于一个大小为n的输入， 需要 5n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+3n时间运行完毕，那么他的时间复杂度是O(n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EF737"/>
    <w:multiLevelType w:val="singleLevel"/>
    <w:tmpl w:val="D5AEF7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273080F"/>
    <w:rsid w:val="127757D2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DFC0DB7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6F4B3C9C"/>
    <w:rsid w:val="6FA072D4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2018-04-13T05:47:31Z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