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15="http://schemas.microsoft.com/office/word/2012/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5 w14 wp14">
  <w:body>
    <w:p>
      <w:pPr>
        <w:pStyle w:val="Title"/>
      </w:pPr>
      <w:r>
        <w:rPr>
          <w:rFonts w:ascii="Calibri" w:hAnsi="Calibri"/>
          <w:color w:val="1F3A5F"/>
        </w:rPr>
        <w:t>CliniProof revised cases for the next clinician review</w:t>
      </w:r>
    </w:p>
    <w:p>
      <w:pPr>
        <w:spacing w:after="120"/>
      </w:pPr>
      <w:r>
        <w:rPr>
          <w:rFonts w:ascii="Calibri" w:hAnsi="Calibri" w:cs="Calibri"/>
          <w:b w:val="0"/>
          <w:sz w:val="22"/>
        </w:rPr>
        <w:t>These four charts were revised from the clean base after both clinicians had commented on them. They are ready for the next clinician review. They are not clinically validated.</w:t>
      </w:r>
    </w:p>
    <w:p>
      <w:pPr>
        <w:spacing w:after="120"/>
      </w:pPr>
      <w:r>
        <w:rPr>
          <w:rFonts w:ascii="Calibri" w:hAnsi="Calibri" w:cs="Calibri"/>
          <w:b w:val="0"/>
          <w:sz w:val="22"/>
        </w:rPr>
        <w:t>The coding instrument is unchanged: C1 through C5, then an overall recommendation of Accept, Revise, or Exclude. Blank fields stay blank. There is no deliberately introduced medication-reconciliation discrepancy in these charts.</w:t>
      </w:r>
    </w:p>
    <w:p>
      <w:pPr>
        <w:spacing w:after="120"/>
      </w:pPr>
      <w:r>
        <w:rPr>
          <w:rFonts w:ascii="Calibri" w:hAnsi="Calibri" w:cs="Calibri"/>
          <w:b w:val="0"/>
          <w:sz w:val="22"/>
        </w:rPr>
        <w:t>Cases: VAL-801, VAL-805, VAL-809, and VAL-813.</w:t>
      </w:r>
    </w:p>
    <w:p>
      <w:pPr>
        <w:sectPr>
          <w:footerReference w:type="default" r:id="rId9"/>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VAL-801</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75</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81.000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Acute delirium, a change from baseline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75-year-old man with mild major neurocognitive disorder and acute delirium during a urinary tract infection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New confusion, worse than baseline</w:t>
      </w:r>
    </w:p>
    <w:p>
      <w:pPr>
        <w:pStyle w:val="ListBullet"/>
        <w:spacing w:after="40" w:before="0"/>
      </w:pPr>
      <w:r>
        <w:rPr>
          <w:rFonts w:ascii="Calibri" w:hAnsi="Calibri" w:cs="Calibri"/>
          <w:b/>
          <w:sz w:val="22"/>
        </w:rPr>
        <w:t xml:space="preserve">Symptoms: </w:t>
      </w:r>
      <w:r>
        <w:rPr>
          <w:rFonts w:ascii="Calibri" w:hAnsi="Calibri" w:cs="Calibri"/>
          <w:b w:val="0"/>
          <w:sz w:val="22"/>
        </w:rPr>
        <w:t>Confusion, Fatigue</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returned to the reported baseline</w:t>
      </w:r>
    </w:p>
    <w:p>
      <w:pPr>
        <w:pStyle w:val="Heading3"/>
      </w:pPr>
      <w:r>
        <w:rPr>
          <w:rFonts w:ascii="Calibri" w:hAnsi="Calibri"/>
          <w:color w:val="1F3A5F"/>
        </w:rPr>
        <w:t>History of present illness</w:t>
      </w:r>
    </w:p>
    <w:p>
      <w:pPr>
        <w:spacing w:after="120"/>
      </w:pPr>
      <w:r>
        <w:rPr>
          <w:rFonts w:ascii="Calibri" w:hAnsi="Calibri" w:cs="Calibri"/>
          <w:b w:val="0"/>
          <w:sz w:val="22"/>
        </w:rPr>
        <w:t>A 75-year-old man with mild major neurocognitive disorder is admitted because a family caregiver reports two days of new confusion. At baseline he recognizes family and converses at home. On arrival he was disoriented, and that change is the delirium. Oral intake had been poor. He had been taking ibuprofen for knee pain. After his attention improved, a collateral list from the caregiver and the pharmacy was verified: lisinopril 10 mg daily, atorvastatin 40 mg daily, and metformin 500 mg twice daily. Ibuprofen 400 mg orally every 8 hours as needed was on that list. Fever and a urinalysis with leukocyte esterase led to a urine culture that grew Escherichia coli. He completed seven days of ceftriaxone 1 g intravenously once daily before discharge and is not taking an antibiotic at discharge. Outpatient creatinine was 1.0 mg/dL. Admission creatinine was 1.5 mg/dL. Ibuprofen was stopped and was not restarted. Lisinopril and metformin were held while creatinine was above baseline and intake was poor, then restarted when creatinine returned to 1.0 mg/dL and he was eating. Atorvastatin was continued. Confusion returned to the caregiver's reported baseline.</w:t>
      </w:r>
    </w:p>
    <w:p>
      <w:pPr>
        <w:pStyle w:val="Heading3"/>
      </w:pPr>
      <w:r>
        <w:rPr>
          <w:rFonts w:ascii="Calibri" w:hAnsi="Calibri"/>
          <w:color w:val="1F3A5F"/>
        </w:rPr>
        <w:t>Admission note</w:t>
      </w:r>
    </w:p>
    <w:p>
      <w:pPr>
        <w:spacing w:after="120"/>
      </w:pPr>
      <w:r>
        <w:rPr>
          <w:rFonts w:ascii="Calibri" w:hAnsi="Calibri" w:cs="Calibri"/>
          <w:b w:val="0"/>
          <w:sz w:val="22"/>
        </w:rPr>
        <w:t>Admission note. Acute confusion is a change from a known mild major neurocognitive disorder. Temperature 38.2 C. Urinalysis shows leukocyte esterase. Outpatient creatinine 1.0 mg/dL; admission creatinine 1.5 mg/dL. Ibuprofen, lisinopril, and metformin are held. Atorvastatin is continued.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Mild major neurocognitive disorder, Essential (primary) hypertension, Type 2 diabetes mellitus without complications,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delirium, a change from baseline cognitive function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Urinary tract infection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resolved</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Mild major neurocognitive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Acute delirium on mild major neurocognitive disorder</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Urinary tract infection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Lives at home with a family caregiver who can describe his cognitive baseline</w:t>
      </w:r>
    </w:p>
    <w:p>
      <w:pPr>
        <w:pStyle w:val="ListBullet"/>
        <w:spacing w:after="40" w:before="0"/>
      </w:pPr>
      <w:r>
        <w:rPr>
          <w:rFonts w:ascii="Calibri" w:hAnsi="Calibri" w:cs="Calibri"/>
          <w:b/>
          <w:sz w:val="22"/>
        </w:rPr>
        <w:t xml:space="preserve">Social context: </w:t>
      </w:r>
      <w:r>
        <w:rPr>
          <w:rFonts w:ascii="Calibri" w:hAnsi="Calibri" w:cs="Calibri"/>
          <w:b w:val="0"/>
          <w:sz w:val="22"/>
        </w:rPr>
        <w:t>Lives at home. A family caregiver reports his baseline: he recognizes family and holds a simple conversation.</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Urine culture grew Escherichia coli. Ceftriaxone 1 g intravenously once daily was given for seven days and the course finished before discharge. Fever resolved and attention returned to the caregiver's reported baseline. Creatinine returned to 1.0 mg/dL. Lisinopril 10 mg daily and metformin 500 mg twice daily were restarted. Ibuprofen was not restarted. The collateral medication list was verified with the caregiver and the pharmacy. No antibiotic is planned after discharge.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38.20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136/78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163.0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1.5</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Urinalysis</w:t>
            </w:r>
          </w:p>
        </w:tc>
        <w:tc>
          <w:tcPr>
            <w:tcW w:type="dxa" w:w="1872"/>
          </w:tcPr>
          <w:p>
            <w:pPr>
              <w:spacing w:after="20" w:before="20"/>
            </w:pPr>
            <w:r>
              <w:rPr>
                <w:rFonts w:ascii="Calibri" w:hAnsi="Calibri" w:cs="Calibri"/>
                <w:b w:val="0"/>
                <w:sz w:val="20"/>
              </w:rPr>
              <w:t>Leukocyte esterase positive. Nitrite positive. Bacteria present.</w:t>
            </w:r>
          </w:p>
        </w:tc>
        <w:tc>
          <w:tcPr>
            <w:tcW w:type="dxa" w:w="2160"/>
          </w:tcPr>
          <w:p>
            <w:pPr>
              <w:spacing w:after="20" w:before="20"/>
            </w:pPr>
            <w:r>
              <w:rPr>
                <w:rFonts w:ascii="Calibri" w:hAnsi="Calibri" w:cs="Calibri"/>
                <w:b w:val="0"/>
                <w:sz w:val="20"/>
              </w:rPr>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81.000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121/71</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103.0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ibuprofen 400 MG Oral Tablet</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Status: held; Indication: symptomatic analgesia; not a treatment for the admission diagnosis; Held reason: Stopped on admission because creatinine was above the outpatient baseline while he was taking an NSAID and eating poorly. Not restarted.</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ceftriaxone 1000 MG Injection</w:t>
            </w:r>
          </w:p>
        </w:tc>
        <w:tc>
          <w:tcPr>
            <w:tcW w:type="dxa" w:w="1224"/>
          </w:tcPr>
          <w:p>
            <w:pPr>
              <w:spacing w:after="20" w:before="20"/>
            </w:pPr>
            <w:r>
              <w:rPr>
                <w:rFonts w:ascii="Calibri" w:hAnsi="Calibri" w:cs="Calibri"/>
                <w:b w:val="0"/>
                <w:sz w:val="20"/>
              </w:rPr>
              <w:t>1000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discontinued; Indication: Urinary tract infection; Note: Seven daily doses were completed before discharge. Not continued after discharge.</w:t>
            </w:r>
          </w:p>
        </w:tc>
      </w:tr>
      <w:tr>
        <w:trPr>
          <w:cantSplit/>
        </w:trPr>
        <w:tc>
          <w:tcPr>
            <w:tcW w:type="dxa" w:w="3384"/>
          </w:tcPr>
          <w:p>
            <w:pPr>
              <w:spacing w:after="20" w:before="20"/>
            </w:pPr>
            <w:r>
              <w:rPr>
                <w:rFonts w:ascii="Calibri" w:hAnsi="Calibri" w:cs="Calibri"/>
                <w:b w:val="0"/>
                <w:sz w:val="20"/>
              </w:rPr>
              <w:t>ibuprofen 400 MG Oral Tablet</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Status: discontinued; Indication: symptomatic analgesia; not a treatment for the admission diagnosis; Held reason: Stopped on admission because creatinine was above the outpatient baseline while he was taking an NSAID and eating poorly. Not restarted.</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 Note: Held on admission while creatinine was 1.5 mg/dL and intake was poor. Restarted after creatinine returned to 1.0 mg/dL and he was eating.</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 Note: Held on admission while creatinine was 1.5 mg/dL and intake was poor. Restarted after creatinine returned to 1.0 mg/dL and he was eating.</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caregiver and pharmacy</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No</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3"/>
      </w:pPr>
      <w:r>
        <w:rPr>
          <w:rFonts w:ascii="Calibri" w:hAnsi="Calibri"/>
          <w:color w:val="1F3A5F"/>
        </w:rPr>
        <w:t>Reconciliation notes</w:t>
      </w:r>
    </w:p>
    <w:p>
      <w:pPr>
        <w:spacing w:after="120"/>
      </w:pPr>
      <w:r>
        <w:rPr>
          <w:rFonts w:ascii="Calibri" w:hAnsi="Calibri" w:cs="Calibri"/>
          <w:b w:val="0"/>
          <w:sz w:val="22"/>
        </w:rPr>
        <w:t>He could not give a medication history while delirious. A caregiver and pharmacy list was verified after his attention improved. Ibuprofen was confirmed and stopped. No unverified name was turned into a discharge medicine.</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Primary care follow-up, including a creatinine check after the ACE inhibitor restart</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geriatrics</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Acute delirium on a known mild major neurocognitive disorder. Attention has returned to the caregiver's reported baseline.</w:t>
            </w:r>
          </w:p>
        </w:tc>
        <w:tc>
          <w:tcPr>
            <w:tcW w:type="dxa" w:w="2448"/>
          </w:tcPr>
          <w:p>
            <w:pPr>
              <w:spacing w:after="20" w:before="20"/>
            </w:pPr>
            <w:r>
              <w:rPr>
                <w:rFonts w:ascii="Calibri" w:hAnsi="Calibri" w:cs="Calibri"/>
                <w:b w:val="0"/>
                <w:sz w:val="20"/>
              </w:rPr>
              <w:t>Use the verified collateral medication list. Do not restart ibuprofen. Lisinopril and metformin may be restarted now that creatinine is at the outpatient baseline and he is eating.</w:t>
            </w:r>
          </w:p>
        </w:tc>
      </w:tr>
    </w:tbl>
    <w:p>
      <w:pPr>
        <w:spacing w:after="40"/>
      </w:pPr>
    </w:p>
    <w:p>
      <w:pPr>
        <w:pStyle w:val="Heading2"/>
      </w:pPr>
      <w:r>
        <w:rPr>
          <w:rFonts w:ascii="Calibri" w:hAnsi="Calibri"/>
          <w:color w:val="1F3A5F"/>
        </w:rPr>
        <w:t>Microbiology</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Timepoint</w:t>
            </w:r>
          </w:p>
        </w:tc>
        <w:tc>
          <w:tcPr>
            <w:tcW w:type="dxa" w:w="1399"/>
            <w:shd w:val="clear" w:color="auto" w:fill="D9E2F3"/>
          </w:tcPr>
          <w:p>
            <w:pPr>
              <w:spacing w:after="20" w:before="20"/>
            </w:pPr>
            <w:r>
              <w:rPr>
                <w:rFonts w:ascii="Calibri" w:hAnsi="Calibri" w:cs="Calibri"/>
                <w:b/>
                <w:sz w:val="20"/>
              </w:rPr>
              <w:t>Specimen</w:t>
            </w:r>
          </w:p>
        </w:tc>
        <w:tc>
          <w:tcPr>
            <w:tcW w:type="dxa" w:w="1399"/>
            <w:shd w:val="clear" w:color="auto" w:fill="D9E2F3"/>
          </w:tcPr>
          <w:p>
            <w:pPr>
              <w:spacing w:after="20" w:before="20"/>
            </w:pPr>
            <w:r>
              <w:rPr>
                <w:rFonts w:ascii="Calibri" w:hAnsi="Calibri" w:cs="Calibri"/>
                <w:b/>
                <w:sz w:val="20"/>
              </w:rPr>
              <w:t>Test</w:t>
            </w:r>
          </w:p>
        </w:tc>
        <w:tc>
          <w:tcPr>
            <w:tcW w:type="dxa" w:w="1399"/>
            <w:shd w:val="clear" w:color="auto" w:fill="D9E2F3"/>
          </w:tcPr>
          <w:p>
            <w:pPr>
              <w:spacing w:after="20" w:before="20"/>
            </w:pPr>
            <w:r>
              <w:rPr>
                <w:rFonts w:ascii="Calibri" w:hAnsi="Calibri" w:cs="Calibri"/>
                <w:b/>
                <w:sz w:val="20"/>
              </w:rPr>
              <w:t>Organism</w:t>
            </w:r>
          </w:p>
        </w:tc>
        <w:tc>
          <w:tcPr>
            <w:tcW w:type="dxa" w:w="1399"/>
            <w:shd w:val="clear" w:color="auto" w:fill="D9E2F3"/>
          </w:tcPr>
          <w:p>
            <w:pPr>
              <w:spacing w:after="20" w:before="20"/>
            </w:pPr>
            <w:r>
              <w:rPr>
                <w:rFonts w:ascii="Calibri" w:hAnsi="Calibri" w:cs="Calibri"/>
                <w:b/>
                <w:sz w:val="20"/>
              </w:rPr>
              <w:t>Result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Notes</w:t>
            </w:r>
          </w:p>
        </w:tc>
      </w:tr>
      <w:tr>
        <w:trPr>
          <w:cantSplit/>
        </w:trPr>
        <w:tc>
          <w:tcPr>
            <w:tcW w:type="dxa" w:w="1399"/>
          </w:tcPr>
          <w:p>
            <w:pPr>
              <w:spacing w:after="20" w:before="20"/>
            </w:pPr>
            <w:r>
              <w:rPr>
                <w:rFonts w:ascii="Calibri" w:hAnsi="Calibri" w:cs="Calibri"/>
                <w:b w:val="0"/>
                <w:sz w:val="20"/>
              </w:rPr>
              <w:t>admission</w:t>
            </w:r>
          </w:p>
        </w:tc>
        <w:tc>
          <w:tcPr>
            <w:tcW w:type="dxa" w:w="1399"/>
          </w:tcPr>
          <w:p>
            <w:pPr>
              <w:spacing w:after="20" w:before="20"/>
            </w:pPr>
            <w:r>
              <w:rPr>
                <w:rFonts w:ascii="Calibri" w:hAnsi="Calibri" w:cs="Calibri"/>
                <w:b w:val="0"/>
                <w:sz w:val="20"/>
              </w:rPr>
              <w:t>urine</w:t>
            </w:r>
          </w:p>
        </w:tc>
        <w:tc>
          <w:tcPr>
            <w:tcW w:type="dxa" w:w="1399"/>
          </w:tcPr>
          <w:p>
            <w:pPr>
              <w:spacing w:after="20" w:before="20"/>
            </w:pPr>
            <w:r>
              <w:rPr>
                <w:rFonts w:ascii="Calibri" w:hAnsi="Calibri" w:cs="Calibri"/>
                <w:b w:val="0"/>
                <w:sz w:val="20"/>
              </w:rPr>
              <w:t>urine culture</w:t>
            </w:r>
          </w:p>
        </w:tc>
        <w:tc>
          <w:tcPr>
            <w:tcW w:type="dxa" w:w="1399"/>
          </w:tcPr>
          <w:p>
            <w:pPr>
              <w:spacing w:after="20" w:before="20"/>
            </w:pPr>
            <w:r>
              <w:rPr>
                <w:rFonts w:ascii="Calibri" w:hAnsi="Calibri" w:cs="Calibri"/>
                <w:b w:val="0"/>
                <w:sz w:val="20"/>
              </w:rPr>
              <w:t>Escherichia coli</w:t>
            </w:r>
          </w:p>
        </w:tc>
        <w:tc>
          <w:tcPr>
            <w:tcW w:type="dxa" w:w="1399"/>
          </w:tcPr>
          <w:p>
            <w:pPr>
              <w:spacing w:after="20" w:before="20"/>
            </w:pPr>
            <w:r>
              <w:rPr>
                <w:rFonts w:ascii="Calibri" w:hAnsi="Calibri" w:cs="Calibri"/>
                <w:b w:val="0"/>
                <w:sz w:val="20"/>
              </w:rPr>
              <w:t>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Susceptible to ceftriaxone.</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Confusion</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3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3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4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4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4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5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54"/>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55"/>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0"/>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VAL-805</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68</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84.000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systolic (congestive)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68-year-old woman with acute heart-failure decompensation after missed diuretic doses</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orthopnea, and edema</w:t>
      </w:r>
    </w:p>
    <w:p>
      <w:pPr>
        <w:pStyle w:val="ListBullet"/>
        <w:spacing w:after="40" w:before="0"/>
      </w:pPr>
      <w:r>
        <w:rPr>
          <w:rFonts w:ascii="Calibri" w:hAnsi="Calibri" w:cs="Calibri"/>
          <w:b/>
          <w:sz w:val="22"/>
        </w:rPr>
        <w:t xml:space="preserve">Symptoms: </w:t>
      </w:r>
      <w:r>
        <w:rPr>
          <w:rFonts w:ascii="Calibri" w:hAnsi="Calibri" w:cs="Calibri"/>
          <w:b w:val="0"/>
          <w:sz w:val="22"/>
        </w:rPr>
        <w:t>Dyspnea, Edema, Orthopnea</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improved after intravenous diuresis</w:t>
      </w:r>
    </w:p>
    <w:p>
      <w:pPr>
        <w:pStyle w:val="Heading3"/>
      </w:pPr>
      <w:r>
        <w:rPr>
          <w:rFonts w:ascii="Calibri" w:hAnsi="Calibri"/>
          <w:color w:val="1F3A5F"/>
        </w:rPr>
        <w:t>History of present illness</w:t>
      </w:r>
    </w:p>
    <w:p>
      <w:pPr>
        <w:spacing w:after="120"/>
      </w:pPr>
      <w:r>
        <w:rPr>
          <w:rFonts w:ascii="Calibri" w:hAnsi="Calibri" w:cs="Calibri"/>
          <w:b w:val="0"/>
          <w:sz w:val="22"/>
        </w:rPr>
        <w:t>A 68-year-old woman with known systolic heart failure is admitted with one week of worsening dyspnea, orthopnea, and edema. She ran out of furosemide and missed four days of her 40 mg oral daily dose. She has no chest pain. Home medicines are furosemide 40 mg oral once daily, metoprolol succinate 25 mg oral once daily, and atorvastatin 40 mg oral once daily. She is not taking an ACE inhibitor, ARB, or ARNI. Admission weight is 84 kg. Her recorded dry weight is 78 kg. A chest radiograph shows pulmonary edema. Electrocardiogram shows sinus rhythm without ischemic ST-segment change. Troponin I was 18 ng/L and 16 ng/L six hours later, without a rise. Echocardiography shows a left ventricular ejection fraction of 30 percent and no new severe valvular lesion. Furosemide 40 mg was given intravenously twice daily on hospital days 1 through 3, which is not the home oral regimen. Weight fell to 81 kg and then to 78 kg. Intake and output were net negative on each of those three days. Creatinine fell from 1.7 mg/dL to 0.9 mg/dL. Potassium remained 4.1 to 4.7 mmol/L. Oxygen by nasal cannula was weaned to room air. At discharge she is at dry weight, warm, and breathing room air.</w:t>
      </w:r>
    </w:p>
    <w:p>
      <w:pPr>
        <w:pStyle w:val="Heading3"/>
      </w:pPr>
      <w:r>
        <w:rPr>
          <w:rFonts w:ascii="Calibri" w:hAnsi="Calibri"/>
          <w:color w:val="1F3A5F"/>
        </w:rPr>
        <w:t>Admission note</w:t>
      </w:r>
    </w:p>
    <w:p>
      <w:pPr>
        <w:spacing w:after="120"/>
      </w:pPr>
      <w:r>
        <w:rPr>
          <w:rFonts w:ascii="Calibri" w:hAnsi="Calibri" w:cs="Calibri"/>
          <w:b w:val="0"/>
          <w:sz w:val="22"/>
        </w:rPr>
        <w:t>Admission note. Congestion after four missed days of furosemide 40 mg oral daily. No chest pain. Weight 84 kg, dry weight 78 kg, oxygen saturation 92 percent on 2 L/min nasal cannula.</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Hospital days 1 through 3: furosemide 40 mg intravenously twice daily. Net negative intake and output each day. Weight 84 kg, then 81 kg, then 78 kg at the recorded dry weight. Troponin did not rise. She is on room air.</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1</w:t>
            </w:r>
          </w:p>
        </w:tc>
        <w:tc>
          <w:tcPr>
            <w:tcW w:type="dxa" w:w="2448"/>
          </w:tcPr>
          <w:p>
            <w:pPr>
              <w:spacing w:after="20" w:before="20"/>
            </w:pPr>
            <w:r>
              <w:rPr>
                <w:rFonts w:ascii="Calibri" w:hAnsi="Calibri" w:cs="Calibri"/>
                <w:b w:val="0"/>
                <w:sz w:val="20"/>
              </w:rPr>
              <w:t>1100</w:t>
            </w:r>
          </w:p>
        </w:tc>
        <w:tc>
          <w:tcPr>
            <w:tcW w:type="dxa" w:w="2448"/>
          </w:tcPr>
          <w:p>
            <w:pPr>
              <w:spacing w:after="20" w:before="20"/>
            </w:pPr>
            <w:r>
              <w:rPr>
                <w:rFonts w:ascii="Calibri" w:hAnsi="Calibri" w:cs="Calibri"/>
                <w:b w:val="0"/>
                <w:sz w:val="20"/>
              </w:rPr>
              <w:t>2900</w:t>
            </w:r>
          </w:p>
        </w:tc>
        <w:tc>
          <w:tcPr>
            <w:tcW w:type="dxa" w:w="2448"/>
          </w:tcPr>
          <w:p>
            <w:pPr>
              <w:spacing w:after="20" w:before="20"/>
            </w:pPr>
            <w:r>
              <w:rPr>
                <w:rFonts w:ascii="Calibri" w:hAnsi="Calibri" w:cs="Calibri"/>
                <w:b w:val="0"/>
                <w:sz w:val="20"/>
              </w:rPr>
              <w:t>-1800</w:t>
            </w:r>
          </w:p>
        </w:tc>
      </w:tr>
      <w:tr>
        <w:trPr>
          <w:cantSplit/>
        </w:trPr>
        <w:tc>
          <w:tcPr>
            <w:tcW w:type="dxa" w:w="2448"/>
          </w:tcPr>
          <w:p>
            <w:pPr>
              <w:spacing w:after="20" w:before="20"/>
            </w:pPr>
            <w:r>
              <w:rPr>
                <w:rFonts w:ascii="Calibri" w:hAnsi="Calibri" w:cs="Calibri"/>
                <w:b w:val="0"/>
                <w:sz w:val="20"/>
              </w:rPr>
              <w:t>hospital day 2</w:t>
            </w:r>
          </w:p>
        </w:tc>
        <w:tc>
          <w:tcPr>
            <w:tcW w:type="dxa" w:w="2448"/>
          </w:tcPr>
          <w:p>
            <w:pPr>
              <w:spacing w:after="20" w:before="20"/>
            </w:pPr>
            <w:r>
              <w:rPr>
                <w:rFonts w:ascii="Calibri" w:hAnsi="Calibri" w:cs="Calibri"/>
                <w:b w:val="0"/>
                <w:sz w:val="20"/>
              </w:rPr>
              <w:t>1300</w:t>
            </w:r>
          </w:p>
        </w:tc>
        <w:tc>
          <w:tcPr>
            <w:tcW w:type="dxa" w:w="2448"/>
          </w:tcPr>
          <w:p>
            <w:pPr>
              <w:spacing w:after="20" w:before="20"/>
            </w:pPr>
            <w:r>
              <w:rPr>
                <w:rFonts w:ascii="Calibri" w:hAnsi="Calibri" w:cs="Calibri"/>
                <w:b w:val="0"/>
                <w:sz w:val="20"/>
              </w:rPr>
              <w:t>2500</w:t>
            </w:r>
          </w:p>
        </w:tc>
        <w:tc>
          <w:tcPr>
            <w:tcW w:type="dxa" w:w="2448"/>
          </w:tcPr>
          <w:p>
            <w:pPr>
              <w:spacing w:after="20" w:before="20"/>
            </w:pPr>
            <w:r>
              <w:rPr>
                <w:rFonts w:ascii="Calibri" w:hAnsi="Calibri" w:cs="Calibri"/>
                <w:b w:val="0"/>
                <w:sz w:val="20"/>
              </w:rPr>
              <w:t>-1200</w:t>
            </w:r>
          </w:p>
        </w:tc>
      </w:tr>
      <w:tr>
        <w:trPr>
          <w:cantSplit/>
        </w:trPr>
        <w:tc>
          <w:tcPr>
            <w:tcW w:type="dxa" w:w="2448"/>
          </w:tcPr>
          <w:p>
            <w:pPr>
              <w:spacing w:after="20" w:before="20"/>
            </w:pPr>
            <w:r>
              <w:rPr>
                <w:rFonts w:ascii="Calibri" w:hAnsi="Calibri" w:cs="Calibri"/>
                <w:b w:val="0"/>
                <w:sz w:val="20"/>
              </w:rPr>
              <w:t>hospital day 3</w:t>
            </w:r>
          </w:p>
        </w:tc>
        <w:tc>
          <w:tcPr>
            <w:tcW w:type="dxa" w:w="2448"/>
          </w:tcPr>
          <w:p>
            <w:pPr>
              <w:spacing w:after="20" w:before="20"/>
            </w:pPr>
            <w:r>
              <w:rPr>
                <w:rFonts w:ascii="Calibri" w:hAnsi="Calibri" w:cs="Calibri"/>
                <w:b w:val="0"/>
                <w:sz w:val="20"/>
              </w:rPr>
              <w:t>1500</w:t>
            </w:r>
          </w:p>
        </w:tc>
        <w:tc>
          <w:tcPr>
            <w:tcW w:type="dxa" w:w="2448"/>
          </w:tcPr>
          <w:p>
            <w:pPr>
              <w:spacing w:after="20" w:before="20"/>
            </w:pPr>
            <w:r>
              <w:rPr>
                <w:rFonts w:ascii="Calibri" w:hAnsi="Calibri" w:cs="Calibri"/>
                <w:b w:val="0"/>
                <w:sz w:val="20"/>
              </w:rPr>
              <w:t>2000</w:t>
            </w:r>
          </w:p>
        </w:tc>
        <w:tc>
          <w:tcPr>
            <w:tcW w:type="dxa" w:w="2448"/>
          </w:tcPr>
          <w:p>
            <w:pPr>
              <w:spacing w:after="20" w:before="20"/>
            </w:pPr>
            <w:r>
              <w:rPr>
                <w:rFonts w:ascii="Calibri" w:hAnsi="Calibri" w:cs="Calibri"/>
                <w:b w:val="0"/>
                <w:sz w:val="20"/>
              </w:rPr>
              <w:t>-500</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109/82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92.00</w:t>
            </w:r>
          </w:p>
        </w:tc>
        <w:tc>
          <w:tcPr>
            <w:tcW w:type="dxa" w:w="2592"/>
          </w:tcPr>
          <w:p>
            <w:pPr>
              <w:spacing w:after="20" w:before="20"/>
            </w:pPr>
            <w:r>
              <w:rPr>
                <w:rFonts w:ascii="Calibri" w:hAnsi="Calibri" w:cs="Calibri"/>
                <w:b w:val="0"/>
                <w:sz w:val="20"/>
              </w:rPr>
              <w:t>%</w:t>
            </w:r>
          </w:p>
        </w:tc>
      </w:tr>
      <w:tr>
        <w:trPr>
          <w:cantSplit/>
        </w:trPr>
        <w:tc>
          <w:tcPr>
            <w:tcW w:type="dxa" w:w="4608"/>
          </w:tcPr>
          <w:p>
            <w:pPr>
              <w:spacing w:after="20" w:before="20"/>
            </w:pPr>
            <w:r>
              <w:rPr>
                <w:rFonts w:ascii="Calibri" w:hAnsi="Calibri" w:cs="Calibri"/>
                <w:b w:val="0"/>
                <w:sz w:val="20"/>
              </w:rPr>
              <w:t>Oxygen support</w:t>
            </w:r>
          </w:p>
        </w:tc>
        <w:tc>
          <w:tcPr>
            <w:tcW w:type="dxa" w:w="2592"/>
          </w:tcPr>
          <w:p>
            <w:pPr>
              <w:spacing w:after="20" w:before="20"/>
            </w:pPr>
            <w:r>
              <w:rPr>
                <w:rFonts w:ascii="Calibri" w:hAnsi="Calibri" w:cs="Calibri"/>
                <w:b w:val="0"/>
                <w:sz w:val="20"/>
              </w:rPr>
              <w:t>2 L/min nasal cannula</w:t>
            </w:r>
          </w:p>
        </w:tc>
        <w:tc>
          <w:tcPr>
            <w:tcW w:type="dxa" w:w="2592"/>
          </w:tcPr>
          <w:p>
            <w:pPr>
              <w:spacing w:after="20" w:before="20"/>
            </w:pPr>
            <w:r>
              <w:rPr>
                <w:rFonts w:ascii="Calibri" w:hAnsi="Calibri" w:cs="Calibri"/>
                <w:b w:val="0"/>
                <w:sz w:val="20"/>
              </w:rPr>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1.7</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4.7</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1120.0</w:t>
            </w:r>
          </w:p>
        </w:tc>
        <w:tc>
          <w:tcPr>
            <w:tcW w:type="dxa" w:w="2160"/>
          </w:tcPr>
          <w:p>
            <w:pPr>
              <w:spacing w:after="20" w:before="20"/>
            </w:pPr>
            <w:r>
              <w:rPr>
                <w:rFonts w:ascii="Calibri" w:hAnsi="Calibri" w:cs="Calibri"/>
                <w:b w:val="0"/>
                <w:sz w:val="20"/>
              </w:rPr>
              <w:t>pg/mL</w:t>
            </w:r>
          </w:p>
        </w:tc>
      </w:tr>
      <w:tr>
        <w:trPr>
          <w:cantSplit/>
        </w:trPr>
        <w:tc>
          <w:tcPr>
            <w:tcW w:type="dxa" w:w="5760"/>
          </w:tcPr>
          <w:p>
            <w:pPr>
              <w:spacing w:after="20" w:before="20"/>
            </w:pPr>
            <w:r>
              <w:rPr>
                <w:rFonts w:ascii="Calibri" w:hAnsi="Calibri" w:cs="Calibri"/>
                <w:b w:val="0"/>
                <w:sz w:val="20"/>
              </w:rPr>
              <w:t>Troponin I.cardiac [Mass/volume] in Serum or Plasma</w:t>
            </w:r>
          </w:p>
        </w:tc>
        <w:tc>
          <w:tcPr>
            <w:tcW w:type="dxa" w:w="1872"/>
          </w:tcPr>
          <w:p>
            <w:pPr>
              <w:spacing w:after="20" w:before="20"/>
            </w:pPr>
            <w:r>
              <w:rPr>
                <w:rFonts w:ascii="Calibri" w:hAnsi="Calibri" w:cs="Calibri"/>
                <w:b w:val="0"/>
                <w:sz w:val="20"/>
              </w:rPr>
              <w:t>18.0</w:t>
            </w:r>
          </w:p>
        </w:tc>
        <w:tc>
          <w:tcPr>
            <w:tcW w:type="dxa" w:w="2160"/>
          </w:tcPr>
          <w:p>
            <w:pPr>
              <w:spacing w:after="20" w:before="20"/>
            </w:pPr>
            <w:r>
              <w:rPr>
                <w:rFonts w:ascii="Calibri" w:hAnsi="Calibri" w:cs="Calibri"/>
                <w:b w:val="0"/>
                <w:sz w:val="20"/>
              </w:rPr>
              <w:t>ng/L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84.000</w:t>
            </w:r>
          </w:p>
        </w:tc>
        <w:tc>
          <w:tcPr>
            <w:tcW w:type="dxa" w:w="4896"/>
          </w:tcPr>
          <w:p>
            <w:pPr>
              <w:spacing w:after="20" w:before="20"/>
            </w:pPr>
            <w:r>
              <w:rPr>
                <w:rFonts w:ascii="Calibri" w:hAnsi="Calibri" w:cs="Calibri"/>
                <w:b w:val="0"/>
                <w:sz w:val="20"/>
              </w:rPr>
              <w:t>78.000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110/84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69</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r>
        <w:trPr>
          <w:cantSplit/>
        </w:trPr>
        <w:tc>
          <w:tcPr>
            <w:tcW w:type="dxa" w:w="4608"/>
          </w:tcPr>
          <w:p>
            <w:pPr>
              <w:spacing w:after="20" w:before="20"/>
            </w:pPr>
            <w:r>
              <w:rPr>
                <w:rFonts w:ascii="Calibri" w:hAnsi="Calibri" w:cs="Calibri"/>
                <w:b w:val="0"/>
                <w:sz w:val="20"/>
              </w:rPr>
              <w:t>Oxygen support</w:t>
            </w:r>
          </w:p>
        </w:tc>
        <w:tc>
          <w:tcPr>
            <w:tcW w:type="dxa" w:w="2592"/>
          </w:tcPr>
          <w:p>
            <w:pPr>
              <w:spacing w:after="20" w:before="20"/>
            </w:pPr>
            <w:r>
              <w:rPr>
                <w:rFonts w:ascii="Calibri" w:hAnsi="Calibri" w:cs="Calibri"/>
                <w:b w:val="0"/>
                <w:sz w:val="20"/>
              </w:rPr>
              <w:t>room air</w:t>
            </w:r>
          </w:p>
        </w:tc>
        <w:tc>
          <w:tcPr>
            <w:tcW w:type="dxa" w:w="2592"/>
          </w:tcPr>
          <w:p>
            <w:pPr>
              <w:spacing w:after="20" w:before="20"/>
            </w:pPr>
            <w:r>
              <w:rPr>
                <w:rFonts w:ascii="Calibri" w:hAnsi="Calibri" w:cs="Calibri"/>
                <w:b w:val="0"/>
                <w:sz w:val="20"/>
              </w:rPr>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4.3</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369.0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78.000</w:t>
            </w:r>
          </w:p>
        </w:tc>
        <w:tc>
          <w:tcPr>
            <w:tcW w:type="dxa" w:w="4896"/>
          </w:tcPr>
          <w:p>
            <w:pPr>
              <w:spacing w:after="20" w:before="20"/>
            </w:pPr>
            <w:r>
              <w:rPr>
                <w:rFonts w:ascii="Calibri" w:hAnsi="Calibri" w:cs="Calibri"/>
                <w:b w:val="0"/>
                <w:sz w:val="20"/>
              </w:rPr>
              <w:t>78.000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furosemide 40 MG Injection</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discontinued; Indication: Acute systolic (congestive) heart failure; Note: Hospital days 1 through 3 only. Stopped once weight reached the 78 kg dry weight. This is not the home oral dose.</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3"/>
      </w:pPr>
      <w:r>
        <w:rPr>
          <w:rFonts w:ascii="Calibri" w:hAnsi="Calibri"/>
          <w:color w:val="1F3A5F"/>
        </w:rPr>
        <w:t>Reconciliation notes</w:t>
      </w:r>
    </w:p>
    <w:p>
      <w:pPr>
        <w:spacing w:after="120"/>
      </w:pPr>
      <w:r>
        <w:rPr>
          <w:rFonts w:ascii="Calibri" w:hAnsi="Calibri" w:cs="Calibri"/>
          <w:b w:val="0"/>
          <w:sz w:val="22"/>
        </w:rPr>
        <w:t>She missed four days of furosemide because the supply ran out. The other home medicines were continued. She has no ACE inhibitor, ARB, or ARNI at home.</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Heart-failure clinic after diuresis, with a plan to obtain furosemide so doses are not missed</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Pulmonary edema without pneumonia.</w:t>
            </w:r>
          </w:p>
        </w:tc>
      </w:tr>
      <w:tr>
        <w:trPr>
          <w:cantSplit/>
        </w:trPr>
        <w:tc>
          <w:tcPr>
            <w:tcW w:type="dxa" w:w="2448"/>
          </w:tcPr>
          <w:p>
            <w:pPr>
              <w:spacing w:after="20" w:before="20"/>
            </w:pPr>
            <w:r>
              <w:rPr>
                <w:rFonts w:ascii="Calibri" w:hAnsi="Calibri" w:cs="Calibri"/>
                <w:b w:val="0"/>
                <w:sz w:val="20"/>
              </w:rPr>
              <w:t>Transthoracic echocardiogram</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heart</w:t>
            </w:r>
          </w:p>
        </w:tc>
        <w:tc>
          <w:tcPr>
            <w:tcW w:type="dxa" w:w="2448"/>
          </w:tcPr>
          <w:p>
            <w:pPr>
              <w:spacing w:after="20" w:before="20"/>
            </w:pPr>
            <w:r>
              <w:rPr>
                <w:rFonts w:ascii="Calibri" w:hAnsi="Calibri" w:cs="Calibri"/>
                <w:b w:val="0"/>
                <w:sz w:val="20"/>
              </w:rPr>
              <w:t>Left ventricular ejection fraction 30 percent. No new severe valvular lesion.</w:t>
            </w:r>
          </w:p>
        </w:tc>
      </w:tr>
      <w:tr>
        <w:trPr>
          <w:cantSplit/>
        </w:trPr>
        <w:tc>
          <w:tcPr>
            <w:tcW w:type="dxa" w:w="2448"/>
          </w:tcPr>
          <w:p>
            <w:pPr>
              <w:spacing w:after="20" w:before="20"/>
            </w:pPr>
            <w:r>
              <w:rPr>
                <w:rFonts w:ascii="Calibri" w:hAnsi="Calibri" w:cs="Calibri"/>
                <w:b w:val="0"/>
                <w:sz w:val="20"/>
              </w:rPr>
              <w:t>Electrocardiogram</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heart</w:t>
            </w:r>
          </w:p>
        </w:tc>
        <w:tc>
          <w:tcPr>
            <w:tcW w:type="dxa" w:w="2448"/>
          </w:tcPr>
          <w:p>
            <w:pPr>
              <w:spacing w:after="20" w:before="20"/>
            </w:pPr>
            <w:r>
              <w:rPr>
                <w:rFonts w:ascii="Calibri" w:hAnsi="Calibri" w:cs="Calibri"/>
                <w:b w:val="0"/>
                <w:sz w:val="20"/>
              </w:rPr>
              <w:t>Sinus rhythm. No ischemic ST-segment change.</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Congestion followed four missed days of oral furosemide. Ischemia is not supported by the history, electrocardiogram, or troponin. Ejection fraction is 30 percent. Dry weight of 78 kg was reached with intravenous furosemide.</w:t>
            </w:r>
          </w:p>
        </w:tc>
        <w:tc>
          <w:tcPr>
            <w:tcW w:type="dxa" w:w="2448"/>
          </w:tcPr>
          <w:p>
            <w:pPr>
              <w:spacing w:after="20" w:before="20"/>
            </w:pPr>
            <w:r>
              <w:rPr>
                <w:rFonts w:ascii="Calibri" w:hAnsi="Calibri" w:cs="Calibri"/>
                <w:b w:val="0"/>
                <w:sz w:val="20"/>
              </w:rPr>
              <w:t>Resume furosemide 40 mg orally once daily. The missed doses explain the accumulation, and the intravenous course has been stopped at dry weight. Start enalapril 5 mg orally twice daily for systolic heart failure. Creatinine is 0.9 mg/dL, potassium is 4.3 mmol/L, and systolic blood pressure is 110 mm Hg. Continue metoprolol succinate 25 mg daily and atorvastatin 40 mg daily. The ACE inhibitor has not yet been given.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9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9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9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9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0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0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09"/>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10"/>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1"/>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VAL-809</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82</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70.000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infectious disease</w:t>
      </w:r>
    </w:p>
    <w:p>
      <w:pPr>
        <w:pStyle w:val="ListBullet"/>
        <w:spacing w:after="40" w:before="0"/>
      </w:pPr>
      <w:r>
        <w:rPr>
          <w:rFonts w:ascii="Calibri" w:hAnsi="Calibri" w:cs="Calibri"/>
          <w:b/>
          <w:sz w:val="22"/>
        </w:rPr>
        <w:t xml:space="preserve">Admission diagnosis: </w:t>
      </w:r>
      <w:r>
        <w:rPr>
          <w:rFonts w:ascii="Calibri" w:hAnsi="Calibri" w:cs="Calibri"/>
          <w:b w:val="0"/>
          <w:sz w:val="22"/>
        </w:rPr>
        <w:t>Acute and subacute infective endocarditis</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82-year-old man with fever, dental disease, and mitral-valve endocarditis</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Fever and fatigue</w:t>
      </w:r>
    </w:p>
    <w:p>
      <w:pPr>
        <w:pStyle w:val="ListBullet"/>
        <w:spacing w:after="40" w:before="0"/>
      </w:pPr>
      <w:r>
        <w:rPr>
          <w:rFonts w:ascii="Calibri" w:hAnsi="Calibri" w:cs="Calibri"/>
          <w:b/>
          <w:sz w:val="22"/>
        </w:rPr>
        <w:t xml:space="preserve">Symptoms: </w:t>
      </w:r>
      <w:r>
        <w:rPr>
          <w:rFonts w:ascii="Calibri" w:hAnsi="Calibri" w:cs="Calibri"/>
          <w:b w:val="0"/>
          <w:sz w:val="22"/>
        </w:rPr>
        <w:t>Fever, Fatigue</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fever resolved after antibiotics</w:t>
      </w:r>
    </w:p>
    <w:p>
      <w:pPr>
        <w:pStyle w:val="Heading3"/>
      </w:pPr>
      <w:r>
        <w:rPr>
          <w:rFonts w:ascii="Calibri" w:hAnsi="Calibri"/>
          <w:color w:val="1F3A5F"/>
        </w:rPr>
        <w:t>History of present illness</w:t>
      </w:r>
    </w:p>
    <w:p>
      <w:pPr>
        <w:spacing w:after="120"/>
      </w:pPr>
      <w:r>
        <w:rPr>
          <w:rFonts w:ascii="Calibri" w:hAnsi="Calibri" w:cs="Calibri"/>
          <w:b w:val="0"/>
          <w:sz w:val="22"/>
        </w:rPr>
        <w:t>An 82-year-old man is admitted with one week of fever and fatigue. He has no prosthetic valve. A dental examination shows several caries and periodontal disease. Home medicines are lisinopril 10 mg daily and atorvastatin 40 mg daily. Admission temperature is 38.8 C. Two blood-culture sets drawn before antibiotics grew Streptococcus mitis group, reported susceptible to penicillin. Ceftriaxone 2 g intravenously once daily was started after those cultures were drawn. Creatinine was 1.6 mg/dL on hospital day 1, above an outpatient baseline of 0.9 mg/dL, while he was febrile and eating poorly. Lisinopril was held that day. Repeat blood cultures on hospital day 3 showed no growth. A transesophageal echocardiogram shows an 8 mm mitral vegetation, mild mitral regurgitation, no abscess, and a left ventricular ejection fraction of 55 percent. Cardiac surgery found no current indication for an operation: he has no heart-failure symptoms from the valve lesion, no abscess, and the bacteremia has cleared. Ceftriaxone 2 g intravenously once daily is planned for four weeks counted from the first negative blood culture. Discharge creatinine is 0.8 mg/dL. Lisinopril 10 mg daily was restarted the day before discharge and the blood pressure remained in the 130s systolic. A peripherally inserted central catheter is in place for the remaining intravenous doses. Weekly blood count and creatinine are arranged.</w:t>
      </w:r>
    </w:p>
    <w:p>
      <w:pPr>
        <w:pStyle w:val="Heading3"/>
      </w:pPr>
      <w:r>
        <w:rPr>
          <w:rFonts w:ascii="Calibri" w:hAnsi="Calibri"/>
          <w:color w:val="1F3A5F"/>
        </w:rPr>
        <w:t>Admission note</w:t>
      </w:r>
    </w:p>
    <w:p>
      <w:pPr>
        <w:spacing w:after="120"/>
      </w:pPr>
      <w:r>
        <w:rPr>
          <w:rFonts w:ascii="Calibri" w:hAnsi="Calibri" w:cs="Calibri"/>
          <w:b w:val="0"/>
          <w:sz w:val="22"/>
        </w:rPr>
        <w:t>Admission note. Fever to 38.8 C and fatigue for one week. Poor dentition. No prosthetic valve. Blood cultures drawn before antibiotics. Outpatient creatinine 0.9 mg/dL. Lisinopril held.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 Chronic periodontitis and several dental caries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Streptococcus mitis group bacteremia, penicillin susceptible. Cleared on hospital day 3. Transesophageal echocardiogram with an 8 mm mitral vegetation and no abscess. Surgery is not indicated now. Ceftriaxone 2 g intravenously once daily for four weeks from the first negative culture. Lisinopril restarted after creatinine returned to 0.8 mg/dL.</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127/86</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1.6</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13.1</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Leukocytes [#/volume] in Blood</w:t>
            </w:r>
          </w:p>
        </w:tc>
        <w:tc>
          <w:tcPr>
            <w:tcW w:type="dxa" w:w="1872"/>
          </w:tcPr>
          <w:p>
            <w:pPr>
              <w:spacing w:after="20" w:before="20"/>
            </w:pPr>
            <w:r>
              <w:rPr>
                <w:rFonts w:ascii="Calibri" w:hAnsi="Calibri" w:cs="Calibri"/>
                <w:b w:val="0"/>
                <w:sz w:val="20"/>
              </w:rPr>
              <w:t>14.2</w:t>
            </w:r>
          </w:p>
        </w:tc>
        <w:tc>
          <w:tcPr>
            <w:tcW w:type="dxa" w:w="2160"/>
          </w:tcPr>
          <w:p>
            <w:pPr>
              <w:spacing w:after="20" w:before="20"/>
            </w:pPr>
            <w:r>
              <w:rPr>
                <w:rFonts w:ascii="Calibri" w:hAnsi="Calibri" w:cs="Calibri"/>
                <w:b w:val="0"/>
                <w:sz w:val="20"/>
              </w:rPr>
              <w:t>10*3/uL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132/85</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12.9</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Leukocytes [#/volume] in Blood</w:t>
            </w:r>
          </w:p>
        </w:tc>
        <w:tc>
          <w:tcPr>
            <w:tcW w:type="dxa" w:w="1872"/>
          </w:tcPr>
          <w:p>
            <w:pPr>
              <w:spacing w:after="20" w:before="20"/>
            </w:pPr>
            <w:r>
              <w:rPr>
                <w:rFonts w:ascii="Calibri" w:hAnsi="Calibri" w:cs="Calibri"/>
                <w:b w:val="0"/>
                <w:sz w:val="20"/>
              </w:rPr>
              <w:t>7.4</w:t>
            </w:r>
          </w:p>
        </w:tc>
        <w:tc>
          <w:tcPr>
            <w:tcW w:type="dxa" w:w="2160"/>
          </w:tcPr>
          <w:p>
            <w:pPr>
              <w:spacing w:after="20" w:before="20"/>
            </w:pPr>
            <w:r>
              <w:rPr>
                <w:rFonts w:ascii="Calibri" w:hAnsi="Calibri" w:cs="Calibri"/>
                <w:b w:val="0"/>
                <w:sz w:val="20"/>
              </w:rPr>
              <w:t>10*3/uL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ceftriaxone 2000 MG Injection</w:t>
            </w:r>
          </w:p>
        </w:tc>
        <w:tc>
          <w:tcPr>
            <w:tcW w:type="dxa" w:w="1224"/>
          </w:tcPr>
          <w:p>
            <w:pPr>
              <w:spacing w:after="20" w:before="20"/>
            </w:pPr>
            <w:r>
              <w:rPr>
                <w:rFonts w:ascii="Calibri" w:hAnsi="Calibri" w:cs="Calibri"/>
                <w:b w:val="0"/>
                <w:sz w:val="20"/>
              </w:rPr>
              <w:t>2000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and subacute infective endocarditis; Note: 2 g intravenously once daily. Four weeks counted from the first negative blood culture on hospital day 3. Continues after discharge through the catheter.</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 Note: Held on hospital day 1 when creatinine was 1.6 mg/dL. Restarted the day before discharge after creatinine was 0.8 mg/dL.</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Parameter</w:t>
            </w:r>
          </w:p>
        </w:tc>
        <w:tc>
          <w:tcPr>
            <w:tcW w:type="dxa" w:w="3264"/>
            <w:shd w:val="clear" w:color="auto" w:fill="D9E2F3"/>
          </w:tcPr>
          <w:p>
            <w:pPr>
              <w:spacing w:after="20" w:before="20"/>
            </w:pPr>
            <w:r>
              <w:rPr>
                <w:rFonts w:ascii="Calibri" w:hAnsi="Calibri" w:cs="Calibri"/>
                <w:b/>
                <w:sz w:val="20"/>
              </w:rPr>
              <w:t>Frequency</w:t>
            </w:r>
          </w:p>
        </w:tc>
        <w:tc>
          <w:tcPr>
            <w:tcW w:type="dxa" w:w="3264"/>
            <w:shd w:val="clear" w:color="auto" w:fill="D9E2F3"/>
          </w:tcPr>
          <w:p>
            <w:pPr>
              <w:spacing w:after="20" w:before="20"/>
            </w:pPr>
            <w:r>
              <w:rPr>
                <w:rFonts w:ascii="Calibri" w:hAnsi="Calibri" w:cs="Calibri"/>
                <w:b/>
                <w:sz w:val="20"/>
              </w:rPr>
              <w:t>Responsible service</w:t>
            </w:r>
          </w:p>
        </w:tc>
      </w:tr>
      <w:tr>
        <w:trPr>
          <w:cantSplit/>
        </w:trPr>
        <w:tc>
          <w:tcPr>
            <w:tcW w:type="dxa" w:w="3264"/>
          </w:tcPr>
          <w:p>
            <w:pPr>
              <w:spacing w:after="20" w:before="20"/>
            </w:pPr>
            <w:r>
              <w:rPr>
                <w:rFonts w:ascii="Calibri" w:hAnsi="Calibri" w:cs="Calibri"/>
                <w:b w:val="0"/>
                <w:sz w:val="20"/>
              </w:rPr>
              <w:t>weekly complete blood count and creatinine during parenteral therapy</w:t>
            </w:r>
          </w:p>
        </w:tc>
        <w:tc>
          <w:tcPr>
            <w:tcW w:type="dxa" w:w="3264"/>
          </w:tcPr>
          <w:p>
            <w:pPr>
              <w:spacing w:after="20" w:before="20"/>
            </w:pPr>
            <w:r>
              <w:rPr>
                <w:rFonts w:ascii="Calibri" w:hAnsi="Calibri" w:cs="Calibri"/>
                <w:b w:val="0"/>
                <w:sz w:val="20"/>
              </w:rPr>
              <w:t>weekly</w:t>
            </w:r>
          </w:p>
        </w:tc>
        <w:tc>
          <w:tcPr>
            <w:tcW w:type="dxa" w:w="3264"/>
          </w:tcPr>
          <w:p>
            <w:pPr>
              <w:spacing w:after="20" w:before="20"/>
            </w:pPr>
            <w:r>
              <w:rPr>
                <w:rFonts w:ascii="Calibri" w:hAnsi="Calibri" w:cs="Calibri"/>
                <w:b w:val="0"/>
                <w:sz w:val="20"/>
              </w:rPr>
              <w:t>infectious disease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Infectious-disease follow-up with parenteral-therapy laboratory monitoring</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infectious disease</w:t>
            </w:r>
          </w:p>
        </w:tc>
      </w:tr>
      <w:tr>
        <w:trPr>
          <w:cantSplit/>
        </w:trPr>
        <w:tc>
          <w:tcPr>
            <w:tcW w:type="dxa" w:w="3264"/>
          </w:tcPr>
          <w:p>
            <w:pPr>
              <w:spacing w:after="20" w:before="20"/>
            </w:pPr>
            <w:r>
              <w:rPr>
                <w:rFonts w:ascii="Calibri" w:hAnsi="Calibri" w:cs="Calibri"/>
                <w:b w:val="0"/>
                <w:sz w:val="20"/>
              </w:rPr>
              <w:t>Dental follow-up for caries and periodontal disease</w:t>
            </w:r>
          </w:p>
        </w:tc>
        <w:tc>
          <w:tcPr>
            <w:tcW w:type="dxa" w:w="3264"/>
          </w:tcPr>
          <w:p>
            <w:pPr>
              <w:spacing w:after="20" w:before="20"/>
            </w:pPr>
            <w:r>
              <w:rPr>
                <w:rFonts w:ascii="Calibri" w:hAnsi="Calibri" w:cs="Calibri"/>
                <w:b w:val="0"/>
                <w:sz w:val="20"/>
              </w:rPr>
              <w:t>2 weeks</w:t>
            </w:r>
          </w:p>
        </w:tc>
        <w:tc>
          <w:tcPr>
            <w:tcW w:type="dxa" w:w="3264"/>
          </w:tcPr>
          <w:p>
            <w:pPr>
              <w:spacing w:after="20" w:before="20"/>
            </w:pPr>
            <w:r>
              <w:rPr>
                <w:rFonts w:ascii="Calibri" w:hAnsi="Calibri" w:cs="Calibri"/>
                <w:b w:val="0"/>
                <w:sz w:val="20"/>
              </w:rPr>
              <w:t>dentistry</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Transesophageal echocardiogram</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heart</w:t>
            </w:r>
          </w:p>
        </w:tc>
        <w:tc>
          <w:tcPr>
            <w:tcW w:type="dxa" w:w="2448"/>
          </w:tcPr>
          <w:p>
            <w:pPr>
              <w:spacing w:after="20" w:before="20"/>
            </w:pPr>
            <w:r>
              <w:rPr>
                <w:rFonts w:ascii="Calibri" w:hAnsi="Calibri" w:cs="Calibri"/>
                <w:b w:val="0"/>
                <w:sz w:val="20"/>
              </w:rPr>
              <w:t>8 mm mitral vegetation. Mild mitral regurgitation. No abscess. Left ventricular ejection fraction 55 percent.</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infectious disease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Penicillin-susceptible Streptococcus mitis group endocarditis on a native mitral valve. Bacteremia cleared on hospital day 3. No abscess.</w:t>
            </w:r>
          </w:p>
        </w:tc>
        <w:tc>
          <w:tcPr>
            <w:tcW w:type="dxa" w:w="2448"/>
          </w:tcPr>
          <w:p>
            <w:pPr>
              <w:spacing w:after="20" w:before="20"/>
            </w:pPr>
            <w:r>
              <w:rPr>
                <w:rFonts w:ascii="Calibri" w:hAnsi="Calibri" w:cs="Calibri"/>
                <w:b w:val="0"/>
                <w:sz w:val="20"/>
              </w:rPr>
              <w:t>Continue ceftriaxone 2 g intravenously once daily to complete four weeks from the first negative culture. Weekly complete blood count and creatinine. Infectious-diseases follow-up in 7 days.</w:t>
            </w:r>
          </w:p>
        </w:tc>
      </w:tr>
      <w:tr>
        <w:trPr>
          <w:cantSplit/>
        </w:trPr>
        <w:tc>
          <w:tcPr>
            <w:tcW w:type="dxa" w:w="2448"/>
          </w:tcPr>
          <w:p>
            <w:pPr>
              <w:spacing w:after="20" w:before="20"/>
            </w:pPr>
            <w:r>
              <w:rPr>
                <w:rFonts w:ascii="Calibri" w:hAnsi="Calibri" w:cs="Calibri"/>
                <w:b w:val="0"/>
                <w:sz w:val="20"/>
              </w:rPr>
              <w:t>cardiac surgery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Mitral vegetation without abscess, severe regurgitation, heart failure, or uncontrolled infection.</w:t>
            </w:r>
          </w:p>
        </w:tc>
        <w:tc>
          <w:tcPr>
            <w:tcW w:type="dxa" w:w="2448"/>
          </w:tcPr>
          <w:p>
            <w:pPr>
              <w:spacing w:after="20" w:before="20"/>
            </w:pPr>
            <w:r>
              <w:rPr>
                <w:rFonts w:ascii="Calibri" w:hAnsi="Calibri" w:cs="Calibri"/>
                <w:b w:val="0"/>
                <w:sz w:val="20"/>
              </w:rPr>
              <w:t>No indication for valve surgery during this admission.</w:t>
            </w:r>
          </w:p>
        </w:tc>
      </w:tr>
    </w:tbl>
    <w:p>
      <w:pPr>
        <w:spacing w:after="40"/>
      </w:pPr>
    </w:p>
    <w:p>
      <w:pPr>
        <w:pStyle w:val="Heading2"/>
      </w:pPr>
      <w:r>
        <w:rPr>
          <w:rFonts w:ascii="Calibri" w:hAnsi="Calibri"/>
          <w:color w:val="1F3A5F"/>
        </w:rPr>
        <w:t>Microbiology</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Timepoint</w:t>
            </w:r>
          </w:p>
        </w:tc>
        <w:tc>
          <w:tcPr>
            <w:tcW w:type="dxa" w:w="1399"/>
            <w:shd w:val="clear" w:color="auto" w:fill="D9E2F3"/>
          </w:tcPr>
          <w:p>
            <w:pPr>
              <w:spacing w:after="20" w:before="20"/>
            </w:pPr>
            <w:r>
              <w:rPr>
                <w:rFonts w:ascii="Calibri" w:hAnsi="Calibri" w:cs="Calibri"/>
                <w:b/>
                <w:sz w:val="20"/>
              </w:rPr>
              <w:t>Specimen</w:t>
            </w:r>
          </w:p>
        </w:tc>
        <w:tc>
          <w:tcPr>
            <w:tcW w:type="dxa" w:w="1399"/>
            <w:shd w:val="clear" w:color="auto" w:fill="D9E2F3"/>
          </w:tcPr>
          <w:p>
            <w:pPr>
              <w:spacing w:after="20" w:before="20"/>
            </w:pPr>
            <w:r>
              <w:rPr>
                <w:rFonts w:ascii="Calibri" w:hAnsi="Calibri" w:cs="Calibri"/>
                <w:b/>
                <w:sz w:val="20"/>
              </w:rPr>
              <w:t>Test</w:t>
            </w:r>
          </w:p>
        </w:tc>
        <w:tc>
          <w:tcPr>
            <w:tcW w:type="dxa" w:w="1399"/>
            <w:shd w:val="clear" w:color="auto" w:fill="D9E2F3"/>
          </w:tcPr>
          <w:p>
            <w:pPr>
              <w:spacing w:after="20" w:before="20"/>
            </w:pPr>
            <w:r>
              <w:rPr>
                <w:rFonts w:ascii="Calibri" w:hAnsi="Calibri" w:cs="Calibri"/>
                <w:b/>
                <w:sz w:val="20"/>
              </w:rPr>
              <w:t>Organism</w:t>
            </w:r>
          </w:p>
        </w:tc>
        <w:tc>
          <w:tcPr>
            <w:tcW w:type="dxa" w:w="1399"/>
            <w:shd w:val="clear" w:color="auto" w:fill="D9E2F3"/>
          </w:tcPr>
          <w:p>
            <w:pPr>
              <w:spacing w:after="20" w:before="20"/>
            </w:pPr>
            <w:r>
              <w:rPr>
                <w:rFonts w:ascii="Calibri" w:hAnsi="Calibri" w:cs="Calibri"/>
                <w:b/>
                <w:sz w:val="20"/>
              </w:rPr>
              <w:t>Result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Notes</w:t>
            </w:r>
          </w:p>
        </w:tc>
      </w:tr>
      <w:tr>
        <w:trPr>
          <w:cantSplit/>
        </w:trPr>
        <w:tc>
          <w:tcPr>
            <w:tcW w:type="dxa" w:w="1399"/>
          </w:tcPr>
          <w:p>
            <w:pPr>
              <w:spacing w:after="20" w:before="20"/>
            </w:pPr>
            <w:r>
              <w:rPr>
                <w:rFonts w:ascii="Calibri" w:hAnsi="Calibri" w:cs="Calibri"/>
                <w:b w:val="0"/>
                <w:sz w:val="20"/>
              </w:rPr>
              <w:t>admission</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t>Streptococcus mitis group</w:t>
            </w:r>
          </w:p>
        </w:tc>
        <w:tc>
          <w:tcPr>
            <w:tcW w:type="dxa" w:w="1399"/>
          </w:tcPr>
          <w:p>
            <w:pPr>
              <w:spacing w:after="20" w:before="20"/>
            </w:pPr>
            <w:r>
              <w:rPr>
                <w:rFonts w:ascii="Calibri" w:hAnsi="Calibri" w:cs="Calibri"/>
                <w:b w:val="0"/>
                <w:sz w:val="20"/>
              </w:rPr>
              <w:t>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Drawn before antibiotics. Reported susceptible to penicillin.</w:t>
            </w:r>
          </w:p>
        </w:tc>
      </w:tr>
      <w:tr>
        <w:trPr>
          <w:cantSplit/>
        </w:trPr>
        <w:tc>
          <w:tcPr>
            <w:tcW w:type="dxa" w:w="1399"/>
          </w:tcPr>
          <w:p>
            <w:pPr>
              <w:spacing w:after="20" w:before="20"/>
            </w:pPr>
            <w:r>
              <w:rPr>
                <w:rFonts w:ascii="Calibri" w:hAnsi="Calibri" w:cs="Calibri"/>
                <w:b w:val="0"/>
                <w:sz w:val="20"/>
              </w:rPr>
              <w:t>hospital day 3</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r>
          </w:p>
        </w:tc>
        <w:tc>
          <w:tcPr>
            <w:tcW w:type="dxa" w:w="1399"/>
          </w:tcPr>
          <w:p>
            <w:pPr>
              <w:spacing w:after="20" w:before="20"/>
            </w:pPr>
            <w:r>
              <w:rPr>
                <w:rFonts w:ascii="Calibri" w:hAnsi="Calibri" w:cs="Calibri"/>
                <w:b w:val="0"/>
                <w:sz w:val="20"/>
              </w:rPr>
              <w:t>no 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First negative cultures. The four-week ceftriaxone course is counted from this day.</w:t>
            </w:r>
          </w:p>
        </w:tc>
      </w:tr>
    </w:tbl>
    <w:p>
      <w:pPr>
        <w:spacing w:after="40"/>
      </w:pPr>
    </w:p>
    <w:p>
      <w:pPr>
        <w:pStyle w:val="Heading2"/>
      </w:pPr>
      <w:r>
        <w:rPr>
          <w:rFonts w:ascii="Calibri" w:hAnsi="Calibri"/>
          <w:color w:val="1F3A5F"/>
        </w:rPr>
        <w:t>Devices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Device</w:t>
            </w:r>
          </w:p>
        </w:tc>
        <w:tc>
          <w:tcPr>
            <w:tcW w:type="dxa" w:w="1399"/>
            <w:shd w:val="clear" w:color="auto" w:fill="D9E2F3"/>
          </w:tcPr>
          <w:p>
            <w:pPr>
              <w:spacing w:after="20" w:before="20"/>
            </w:pPr>
            <w:r>
              <w:rPr>
                <w:rFonts w:ascii="Calibri" w:hAnsi="Calibri" w:cs="Calibri"/>
                <w:b/>
                <w:sz w:val="20"/>
              </w:rPr>
              <w:t>Site</w:t>
            </w:r>
          </w:p>
        </w:tc>
        <w:tc>
          <w:tcPr>
            <w:tcW w:type="dxa" w:w="1399"/>
            <w:shd w:val="clear" w:color="auto" w:fill="D9E2F3"/>
          </w:tcPr>
          <w:p>
            <w:pPr>
              <w:spacing w:after="20" w:before="20"/>
            </w:pPr>
            <w:r>
              <w:rPr>
                <w:rFonts w:ascii="Calibri" w:hAnsi="Calibri" w:cs="Calibri"/>
                <w:b/>
                <w:sz w:val="20"/>
              </w:rPr>
              <w:t>Placement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Confirmation</w:t>
            </w:r>
          </w:p>
        </w:tc>
        <w:tc>
          <w:tcPr>
            <w:tcW w:type="dxa" w:w="1399"/>
            <w:shd w:val="clear" w:color="auto" w:fill="D9E2F3"/>
          </w:tcPr>
          <w:p>
            <w:pPr>
              <w:spacing w:after="20" w:before="20"/>
            </w:pPr>
            <w:r>
              <w:rPr>
                <w:rFonts w:ascii="Calibri" w:hAnsi="Calibri" w:cs="Calibri"/>
                <w:b/>
                <w:sz w:val="20"/>
              </w:rPr>
              <w:t>Care instructions</w:t>
            </w:r>
          </w:p>
        </w:tc>
        <w:tc>
          <w:tcPr>
            <w:tcW w:type="dxa" w:w="1399"/>
            <w:shd w:val="clear" w:color="auto" w:fill="D9E2F3"/>
          </w:tcPr>
          <w:p>
            <w:pPr>
              <w:spacing w:after="20" w:before="20"/>
            </w:pPr>
            <w:r>
              <w:rPr>
                <w:rFonts w:ascii="Calibri" w:hAnsi="Calibri" w:cs="Calibri"/>
                <w:b/>
                <w:sz w:val="20"/>
              </w:rPr>
              <w:t>Removal plan</w:t>
            </w:r>
          </w:p>
        </w:tc>
      </w:tr>
      <w:tr>
        <w:trPr>
          <w:cantSplit/>
        </w:trPr>
        <w:tc>
          <w:tcPr>
            <w:tcW w:type="dxa" w:w="1399"/>
          </w:tcPr>
          <w:p>
            <w:pPr>
              <w:spacing w:after="20" w:before="20"/>
            </w:pPr>
            <w:r>
              <w:rPr>
                <w:rFonts w:ascii="Calibri" w:hAnsi="Calibri" w:cs="Calibri"/>
                <w:b w:val="0"/>
                <w:sz w:val="20"/>
              </w:rPr>
              <w:t>peripherally inserted central catheter</w:t>
            </w:r>
          </w:p>
        </w:tc>
        <w:tc>
          <w:tcPr>
            <w:tcW w:type="dxa" w:w="1399"/>
          </w:tcPr>
          <w:p>
            <w:pPr>
              <w:spacing w:after="20" w:before="20"/>
            </w:pPr>
            <w:r>
              <w:rPr>
                <w:rFonts w:ascii="Calibri" w:hAnsi="Calibri" w:cs="Calibri"/>
                <w:b w:val="0"/>
                <w:sz w:val="20"/>
              </w:rPr>
              <w:t>right arm</w:t>
            </w:r>
          </w:p>
        </w:tc>
        <w:tc>
          <w:tcPr>
            <w:tcW w:type="dxa" w:w="1399"/>
          </w:tcPr>
          <w:p>
            <w:pPr>
              <w:spacing w:after="20" w:before="20"/>
            </w:pPr>
            <w:r>
              <w:rPr>
                <w:rFonts w:ascii="Calibri" w:hAnsi="Calibri" w:cs="Calibri"/>
                <w:b w:val="0"/>
                <w:sz w:val="20"/>
              </w:rPr>
              <w:t>inpatient</w:t>
            </w:r>
          </w:p>
        </w:tc>
        <w:tc>
          <w:tcPr>
            <w:tcW w:type="dxa" w:w="1399"/>
          </w:tcPr>
          <w:p>
            <w:pPr>
              <w:spacing w:after="20" w:before="20"/>
            </w:pPr>
            <w:r>
              <w:rPr>
                <w:rFonts w:ascii="Calibri" w:hAnsi="Calibri" w:cs="Calibri"/>
                <w:b w:val="0"/>
                <w:sz w:val="20"/>
              </w:rPr>
              <w:t>in place</w:t>
            </w:r>
          </w:p>
        </w:tc>
        <w:tc>
          <w:tcPr>
            <w:tcW w:type="dxa" w:w="1399"/>
          </w:tcPr>
          <w:p>
            <w:pPr>
              <w:spacing w:after="20" w:before="20"/>
            </w:pPr>
            <w:r>
              <w:rPr>
                <w:rFonts w:ascii="Calibri" w:hAnsi="Calibri" w:cs="Calibri"/>
                <w:b w:val="0"/>
                <w:sz w:val="20"/>
              </w:rPr>
              <w:t>Tip position confirmed. Site without erythema or drainage.</w:t>
            </w:r>
          </w:p>
        </w:tc>
        <w:tc>
          <w:tcPr>
            <w:tcW w:type="dxa" w:w="1399"/>
          </w:tcPr>
          <w:p>
            <w:pPr>
              <w:spacing w:after="20" w:before="20"/>
            </w:pPr>
            <w:r>
              <w:rPr>
                <w:rFonts w:ascii="Calibri" w:hAnsi="Calibri" w:cs="Calibri"/>
                <w:b w:val="0"/>
                <w:sz w:val="20"/>
              </w:rPr>
              <w:t>Standard line care during the remaining ceftriaxone course.</w:t>
            </w:r>
          </w:p>
        </w:tc>
        <w:tc>
          <w:tcPr>
            <w:tcW w:type="dxa" w:w="1399"/>
          </w:tcPr>
          <w:p>
            <w:pPr>
              <w:spacing w:after="20" w:before="20"/>
            </w:pPr>
            <w:r>
              <w:rPr>
                <w:rFonts w:ascii="Calibri" w:hAnsi="Calibri" w:cs="Calibri"/>
                <w:b w:val="0"/>
                <w:sz w:val="20"/>
              </w:rPr>
              <w:t>Remove when the four-week intravenous course is complete.</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14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1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1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14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1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1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15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1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5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5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6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64"/>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65"/>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2"/>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VAL-813</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64</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64.000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nephrology</w:t>
      </w:r>
    </w:p>
    <w:p>
      <w:pPr>
        <w:pStyle w:val="ListBullet"/>
        <w:spacing w:after="40" w:before="0"/>
      </w:pPr>
      <w:r>
        <w:rPr>
          <w:rFonts w:ascii="Calibri" w:hAnsi="Calibri" w:cs="Calibri"/>
          <w:b/>
          <w:sz w:val="22"/>
        </w:rPr>
        <w:t xml:space="preserve">Admission diagnosis: </w:t>
      </w:r>
      <w:r>
        <w:rPr>
          <w:rFonts w:ascii="Calibri" w:hAnsi="Calibri" w:cs="Calibri"/>
          <w:b w:val="0"/>
          <w:sz w:val="22"/>
        </w:rPr>
        <w:t>Diarrhea after kidney transplant</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64-year-old woman with diarrhea after kidney transplant, found to have cytomegalovirus colitis</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Diarrhea and poor intake</w:t>
      </w:r>
    </w:p>
    <w:p>
      <w:pPr>
        <w:pStyle w:val="ListBullet"/>
        <w:spacing w:after="40" w:before="0"/>
      </w:pPr>
      <w:r>
        <w:rPr>
          <w:rFonts w:ascii="Calibri" w:hAnsi="Calibri" w:cs="Calibri"/>
          <w:b/>
          <w:sz w:val="22"/>
        </w:rPr>
        <w:t xml:space="preserve">Symptoms: </w:t>
      </w:r>
      <w:r>
        <w:rPr>
          <w:rFonts w:ascii="Calibri" w:hAnsi="Calibri" w:cs="Calibri"/>
          <w:b w:val="0"/>
          <w:sz w:val="22"/>
        </w:rPr>
        <w:t>Diarrhea</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diarrhea slowed after volume repletion and antiviral treatment</w:t>
      </w:r>
    </w:p>
    <w:p>
      <w:pPr>
        <w:pStyle w:val="Heading3"/>
      </w:pPr>
      <w:r>
        <w:rPr>
          <w:rFonts w:ascii="Calibri" w:hAnsi="Calibri"/>
          <w:color w:val="1F3A5F"/>
        </w:rPr>
        <w:t>History of present illness</w:t>
      </w:r>
    </w:p>
    <w:p>
      <w:pPr>
        <w:spacing w:after="120"/>
      </w:pPr>
      <w:r>
        <w:rPr>
          <w:rFonts w:ascii="Calibri" w:hAnsi="Calibri" w:cs="Calibri"/>
          <w:b w:val="0"/>
          <w:sz w:val="22"/>
        </w:rPr>
        <w:t>A 64-year-old woman with a remote kidney transplant is admitted for several days of watery diarrhea and poor intake. She is not admitted with a diagnosis of cytomegalovirus colitis. Home immunosuppression is tacrolimus 1 mg orally every 12 hours, mycophenolate mofetil 1000 mg orally twice daily, and prednisone 5 mg orally once daily. She also takes amlodipine 5 mg daily and atorvastatin 40 mg daily. Valganciclovir is not a home medicine. Admission weight is 64 kg. Blood pressure is 100/62 mm Hg and heart rate is 110 beats per minute. Creatinine is 1.8 mg/dL, above an outpatient baseline of 1.0 mg/dL. Potassium is 3.2 mmol/L. Stool culture did not grow a bacterial pathogen, and Clostridioides difficile toxin is negative. On hospital day 2, colonoscopy shows colitis and the biopsy immunohistochemistry is positive for cytomegalovirus. Plasma cytomegalovirus DNA is 8500 IU/mL. Mycophenolate is held. Ganciclovir 5 mg/kg intravenously every 12 hours is started after the biopsy; at 66 kg that dose is 330 mg. Potassium chloride, 40 mEq orally, is given for the admission potassium. Diarrhea slows to one or two formed stools a day. Discharge weight is 66 kg, creatinine is 0.9 mg/dL, and potassium is 4.0 mmol/L. The transplant pharmacist records creatinine clearance above 60 mL/min from the discharge age, weight, and creatinine. Intravenous ganciclovir is stopped and valganciclovir 900 mg orally twice daily, given as 450 mg tablets, is started. Tacrolimus 1 mg every 12 hours continues; a discharge trough is 6.5 ng/mL and the transplant target on the chart is 5 to 8 ng/mL. Prednisone 5 mg daily continues. Mycophenolate stays held. Transplant clinic in 7 days will decide whether to restart it. No standing potassium is prescribed because the potassium is 4.0 mmol/L and the diarrhea has slowed.</w:t>
      </w:r>
    </w:p>
    <w:p>
      <w:pPr>
        <w:pStyle w:val="Heading3"/>
      </w:pPr>
      <w:r>
        <w:rPr>
          <w:rFonts w:ascii="Calibri" w:hAnsi="Calibri"/>
          <w:color w:val="1F3A5F"/>
        </w:rPr>
        <w:t>Admission note</w:t>
      </w:r>
    </w:p>
    <w:p>
      <w:pPr>
        <w:spacing w:after="120"/>
      </w:pPr>
      <w:r>
        <w:rPr>
          <w:rFonts w:ascii="Calibri" w:hAnsi="Calibri" w:cs="Calibri"/>
          <w:b w:val="0"/>
          <w:sz w:val="22"/>
        </w:rPr>
        <w:t>Admission note for diarrhea and poor intake after kidney transplant. The cause is not yet known. Creatinine 1.8 mg/dL, potassium 3.2 mmol/L, baseline creatinine 1.0 mg/dL. Mycophenolate is held. Valganciclovir is not a home medicine.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Kidney transplant status, 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Diarrhea after kidney transplant</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improving</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Cytomegalovirus colitis</w:t>
            </w:r>
          </w:p>
        </w:tc>
        <w:tc>
          <w:tcPr>
            <w:tcW w:type="dxa" w:w="2448"/>
          </w:tcPr>
          <w:p>
            <w:pPr>
              <w:spacing w:after="20" w:before="20"/>
            </w:pPr>
            <w:r>
              <w:rPr>
                <w:rFonts w:ascii="Calibri" w:hAnsi="Calibri" w:cs="Calibri"/>
                <w:b w:val="0"/>
                <w:sz w:val="20"/>
              </w:rPr>
              <w:t>established during 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Found on hospital day 2 by colonoscopic biopsy. Not the admitting label.</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Diarrhea after kidney transplant</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Cytomegalovirus colitis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Bacterial stool studies and Clostridioides difficile toxin are negative. Colonoscopic biopsy is positive for cytomegalovirus. Plasma cytomegalovirus DNA is 8500 IU/mL. Ganciclovir was given intravenously, then changed to valganciclovir 900 mg orally twice daily after creatinine clearance was above 60 mL/min. Mycophenolate remains held for the transplant visit.</w:t>
      </w:r>
    </w:p>
    <w:p>
      <w:pPr>
        <w:pStyle w:val="Heading3"/>
      </w:pPr>
      <w:r>
        <w:rPr>
          <w:rFonts w:ascii="Calibri" w:hAnsi="Calibri"/>
          <w:color w:val="1F3A5F"/>
        </w:rPr>
        <w:t>Intake and output</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Timepoint</w:t>
            </w:r>
          </w:p>
        </w:tc>
        <w:tc>
          <w:tcPr>
            <w:tcW w:type="dxa" w:w="1958"/>
            <w:shd w:val="clear" w:color="auto" w:fill="D9E2F3"/>
          </w:tcPr>
          <w:p>
            <w:pPr>
              <w:spacing w:after="20" w:before="20"/>
            </w:pPr>
            <w:r>
              <w:rPr>
                <w:rFonts w:ascii="Calibri" w:hAnsi="Calibri" w:cs="Calibri"/>
                <w:b/>
                <w:sz w:val="20"/>
              </w:rPr>
              <w:t>Intake (mL)</w:t>
            </w:r>
          </w:p>
        </w:tc>
        <w:tc>
          <w:tcPr>
            <w:tcW w:type="dxa" w:w="1958"/>
            <w:shd w:val="clear" w:color="auto" w:fill="D9E2F3"/>
          </w:tcPr>
          <w:p>
            <w:pPr>
              <w:spacing w:after="20" w:before="20"/>
            </w:pPr>
            <w:r>
              <w:rPr>
                <w:rFonts w:ascii="Calibri" w:hAnsi="Calibri" w:cs="Calibri"/>
                <w:b/>
                <w:sz w:val="20"/>
              </w:rPr>
              <w:t>Output (mL)</w:t>
            </w:r>
          </w:p>
        </w:tc>
        <w:tc>
          <w:tcPr>
            <w:tcW w:type="dxa" w:w="1958"/>
            <w:shd w:val="clear" w:color="auto" w:fill="D9E2F3"/>
          </w:tcPr>
          <w:p>
            <w:pPr>
              <w:spacing w:after="20" w:before="20"/>
            </w:pPr>
            <w:r>
              <w:rPr>
                <w:rFonts w:ascii="Calibri" w:hAnsi="Calibri" w:cs="Calibri"/>
                <w:b/>
                <w:sz w:val="20"/>
              </w:rPr>
              <w:t>Net (mL)</w:t>
            </w:r>
          </w:p>
        </w:tc>
        <w:tc>
          <w:tcPr>
            <w:tcW w:type="dxa" w:w="1958"/>
            <w:shd w:val="clear" w:color="auto" w:fill="D9E2F3"/>
          </w:tcPr>
          <w:p>
            <w:pPr>
              <w:spacing w:after="20" w:before="20"/>
            </w:pPr>
            <w:r>
              <w:rPr>
                <w:rFonts w:ascii="Calibri" w:hAnsi="Calibri" w:cs="Calibri"/>
                <w:b/>
                <w:sz w:val="20"/>
              </w:rPr>
              <w:t>Notes</w:t>
            </w:r>
          </w:p>
        </w:tc>
      </w:tr>
      <w:tr>
        <w:trPr>
          <w:cantSplit/>
        </w:trPr>
        <w:tc>
          <w:tcPr>
            <w:tcW w:type="dxa" w:w="1958"/>
          </w:tcPr>
          <w:p>
            <w:pPr>
              <w:spacing w:after="20" w:before="20"/>
            </w:pPr>
            <w:r>
              <w:rPr>
                <w:rFonts w:ascii="Calibri" w:hAnsi="Calibri" w:cs="Calibri"/>
                <w:b w:val="0"/>
                <w:sz w:val="20"/>
              </w:rPr>
              <w:t>hospital day 1</w:t>
            </w:r>
          </w:p>
        </w:tc>
        <w:tc>
          <w:tcPr>
            <w:tcW w:type="dxa" w:w="1958"/>
          </w:tcPr>
          <w:p>
            <w:pPr>
              <w:spacing w:after="20" w:before="20"/>
            </w:pPr>
            <w:r>
              <w:rPr>
                <w:rFonts w:ascii="Calibri" w:hAnsi="Calibri" w:cs="Calibri"/>
                <w:b w:val="0"/>
                <w:sz w:val="20"/>
              </w:rPr>
              <w:t>2800</w:t>
            </w:r>
          </w:p>
        </w:tc>
        <w:tc>
          <w:tcPr>
            <w:tcW w:type="dxa" w:w="1958"/>
          </w:tcPr>
          <w:p>
            <w:pPr>
              <w:spacing w:after="20" w:before="20"/>
            </w:pPr>
            <w:r>
              <w:rPr>
                <w:rFonts w:ascii="Calibri" w:hAnsi="Calibri" w:cs="Calibri"/>
                <w:b w:val="0"/>
                <w:sz w:val="20"/>
              </w:rPr>
              <w:t>1600</w:t>
            </w:r>
          </w:p>
        </w:tc>
        <w:tc>
          <w:tcPr>
            <w:tcW w:type="dxa" w:w="1958"/>
          </w:tcPr>
          <w:p>
            <w:pPr>
              <w:spacing w:after="20" w:before="20"/>
            </w:pPr>
            <w:r>
              <w:rPr>
                <w:rFonts w:ascii="Calibri" w:hAnsi="Calibri" w:cs="Calibri"/>
                <w:b w:val="0"/>
                <w:sz w:val="20"/>
              </w:rPr>
              <w:t>1200</w:t>
            </w:r>
          </w:p>
        </w:tc>
        <w:tc>
          <w:tcPr>
            <w:tcW w:type="dxa" w:w="1958"/>
          </w:tcPr>
          <w:p>
            <w:pPr>
              <w:spacing w:after="20" w:before="20"/>
            </w:pPr>
            <w:r>
              <w:rPr>
                <w:rFonts w:ascii="Calibri" w:hAnsi="Calibri" w:cs="Calibri"/>
                <w:b w:val="0"/>
                <w:sz w:val="20"/>
              </w:rPr>
              <w:t>Intravenous volume repletion while diarrhea was still frequent.</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37.40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100/62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110</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3.2</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64.000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128/76</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4.0</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66.000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mycophenolate mofetil 500 MG Oral Tablet</w:t>
            </w:r>
          </w:p>
        </w:tc>
        <w:tc>
          <w:tcPr>
            <w:tcW w:type="dxa" w:w="1224"/>
          </w:tcPr>
          <w:p>
            <w:pPr>
              <w:spacing w:after="20" w:before="20"/>
            </w:pPr>
            <w:r>
              <w:rPr>
                <w:rFonts w:ascii="Calibri" w:hAnsi="Calibri" w:cs="Calibri"/>
                <w:b w:val="0"/>
                <w:sz w:val="20"/>
              </w:rPr>
              <w:t>1000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Kidney transplant status; Note: Given as 500 MG tablets.</w:t>
            </w:r>
          </w:p>
        </w:tc>
      </w:tr>
      <w:tr>
        <w:trPr>
          <w:cantSplit/>
        </w:trPr>
        <w:tc>
          <w:tcPr>
            <w:tcW w:type="dxa" w:w="3384"/>
          </w:tcPr>
          <w:p>
            <w:pPr>
              <w:spacing w:after="20" w:before="20"/>
            </w:pPr>
            <w:r>
              <w:rPr>
                <w:rFonts w:ascii="Calibri" w:hAnsi="Calibri" w:cs="Calibri"/>
                <w:b w:val="0"/>
                <w:sz w:val="20"/>
              </w:rPr>
              <w:t>prednisone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Kidney transplant status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 Note: Discharge trough 6.5 ng/mL. Transplant target written on the chart is 5 to 8 ng/mL.</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ganciclovir injection</w:t>
            </w:r>
          </w:p>
        </w:tc>
        <w:tc>
          <w:tcPr>
            <w:tcW w:type="dxa" w:w="1224"/>
          </w:tcPr>
          <w:p>
            <w:pPr>
              <w:spacing w:after="20" w:before="20"/>
            </w:pPr>
            <w:r>
              <w:rPr>
                <w:rFonts w:ascii="Calibri" w:hAnsi="Calibri" w:cs="Calibri"/>
                <w:b w:val="0"/>
                <w:sz w:val="20"/>
              </w:rPr>
              <w:t>330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Status: discontinued; Indication: Cytomegalovirus colitis; Note: 5 mg/kg at 66 kg, started after the biopsy. Stopped when oral valganciclovir was begun. Not a discharge medicine.</w:t>
            </w:r>
          </w:p>
        </w:tc>
      </w:tr>
      <w:tr>
        <w:trPr>
          <w:cantSplit/>
        </w:trPr>
        <w:tc>
          <w:tcPr>
            <w:tcW w:type="dxa" w:w="3384"/>
          </w:tcPr>
          <w:p>
            <w:pPr>
              <w:spacing w:after="20" w:before="20"/>
            </w:pPr>
            <w:r>
              <w:rPr>
                <w:rFonts w:ascii="Calibri" w:hAnsi="Calibri" w:cs="Calibri"/>
                <w:b w:val="0"/>
                <w:sz w:val="20"/>
              </w:rPr>
              <w:t>mycophenolate mofetil 500 MG Oral Tablet</w:t>
            </w:r>
          </w:p>
        </w:tc>
        <w:tc>
          <w:tcPr>
            <w:tcW w:type="dxa" w:w="1224"/>
          </w:tcPr>
          <w:p>
            <w:pPr>
              <w:spacing w:after="20" w:before="20"/>
            </w:pPr>
            <w:r>
              <w:rPr>
                <w:rFonts w:ascii="Calibri" w:hAnsi="Calibri" w:cs="Calibri"/>
                <w:b w:val="0"/>
                <w:sz w:val="20"/>
              </w:rPr>
              <w:t>1000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held; Indication: Kidney transplant status; Held reason: Held after cytomegalovirus colitis was established. Transplant says not to restart it at discharge. Reassess at the visit in 7 days.; Note: Given as 500 MG tablets.</w:t>
            </w:r>
          </w:p>
        </w:tc>
      </w:tr>
      <w:tr>
        <w:trPr>
          <w:cantSplit/>
        </w:trPr>
        <w:tc>
          <w:tcPr>
            <w:tcW w:type="dxa" w:w="3384"/>
          </w:tcPr>
          <w:p>
            <w:pPr>
              <w:spacing w:after="20" w:before="20"/>
            </w:pPr>
            <w:r>
              <w:rPr>
                <w:rFonts w:ascii="Calibri" w:hAnsi="Calibri" w:cs="Calibri"/>
                <w:b w:val="0"/>
                <w:sz w:val="20"/>
              </w:rPr>
              <w:t>prednisone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Kidney transplant status; Note: Maintenance corticosteroid continued.</w:t>
            </w:r>
          </w:p>
        </w:tc>
      </w:tr>
      <w:tr>
        <w:trPr>
          <w:cantSplit/>
        </w:trPr>
        <w:tc>
          <w:tcPr>
            <w:tcW w:type="dxa" w:w="3384"/>
          </w:tcPr>
          <w:p>
            <w:pPr>
              <w:spacing w:after="20" w:before="20"/>
            </w:pPr>
            <w:r>
              <w:rPr>
                <w:rFonts w:ascii="Calibri" w:hAnsi="Calibri" w:cs="Calibri"/>
                <w:b w:val="0"/>
                <w:sz w:val="20"/>
              </w:rPr>
              <w:t>valganciclovir 450 MG Oral Tablet</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Other cytomegaloviral diseases; Note: Not a home medicine. Started after intravenous ganciclovir, once creatinine clearance was above 60 mL/min. Induction dose 900 mg orally twice daily, given as 450 mg tablets.</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Parameter</w:t>
            </w:r>
          </w:p>
        </w:tc>
        <w:tc>
          <w:tcPr>
            <w:tcW w:type="dxa" w:w="3264"/>
            <w:shd w:val="clear" w:color="auto" w:fill="D9E2F3"/>
          </w:tcPr>
          <w:p>
            <w:pPr>
              <w:spacing w:after="20" w:before="20"/>
            </w:pPr>
            <w:r>
              <w:rPr>
                <w:rFonts w:ascii="Calibri" w:hAnsi="Calibri" w:cs="Calibri"/>
                <w:b/>
                <w:sz w:val="20"/>
              </w:rPr>
              <w:t>Frequency</w:t>
            </w:r>
          </w:p>
        </w:tc>
        <w:tc>
          <w:tcPr>
            <w:tcW w:type="dxa" w:w="3264"/>
            <w:shd w:val="clear" w:color="auto" w:fill="D9E2F3"/>
          </w:tcPr>
          <w:p>
            <w:pPr>
              <w:spacing w:after="20" w:before="20"/>
            </w:pPr>
            <w:r>
              <w:rPr>
                <w:rFonts w:ascii="Calibri" w:hAnsi="Calibri" w:cs="Calibri"/>
                <w:b/>
                <w:sz w:val="20"/>
              </w:rPr>
              <w:t>Responsible service</w:t>
            </w:r>
          </w:p>
        </w:tc>
      </w:tr>
      <w:tr>
        <w:trPr>
          <w:cantSplit/>
        </w:trPr>
        <w:tc>
          <w:tcPr>
            <w:tcW w:type="dxa" w:w="3264"/>
          </w:tcPr>
          <w:p>
            <w:pPr>
              <w:spacing w:after="20" w:before="20"/>
            </w:pPr>
            <w:r>
              <w:rPr>
                <w:rFonts w:ascii="Calibri" w:hAnsi="Calibri" w:cs="Calibri"/>
                <w:b w:val="0"/>
                <w:sz w:val="20"/>
              </w:rPr>
              <w:t>tacrolimus trough, serum creatinine, complete blood count, and plasma cytomegalovirus DNA</w:t>
            </w:r>
          </w:p>
        </w:tc>
        <w:tc>
          <w:tcPr>
            <w:tcW w:type="dxa" w:w="3264"/>
          </w:tcPr>
          <w:p>
            <w:pPr>
              <w:spacing w:after="20" w:before="20"/>
            </w:pPr>
            <w:r>
              <w:rPr>
                <w:rFonts w:ascii="Calibri" w:hAnsi="Calibri" w:cs="Calibri"/>
                <w:b w:val="0"/>
                <w:sz w:val="20"/>
              </w:rPr>
              <w:t>at the transplant visit in 7 days, sooner if diarrhea or fever returns</w:t>
            </w:r>
          </w:p>
        </w:tc>
        <w:tc>
          <w:tcPr>
            <w:tcW w:type="dxa" w:w="3264"/>
          </w:tcPr>
          <w:p>
            <w:pPr>
              <w:spacing w:after="20" w:before="20"/>
            </w:pPr>
            <w:r>
              <w:rPr>
                <w:rFonts w:ascii="Calibri" w:hAnsi="Calibri" w:cs="Calibri"/>
                <w:b w:val="0"/>
                <w:sz w:val="20"/>
              </w:rPr>
              <w:t>transplant</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Transplant clinic to review antiviral induction and whether mycophenolate can restart</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transplant</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Procedure</w:t>
            </w:r>
          </w:p>
        </w:tc>
        <w:tc>
          <w:tcPr>
            <w:tcW w:type="dxa" w:w="3264"/>
            <w:shd w:val="clear" w:color="auto" w:fill="D9E2F3"/>
          </w:tcPr>
          <w:p>
            <w:pPr>
              <w:spacing w:after="20" w:before="20"/>
            </w:pPr>
            <w:r>
              <w:rPr>
                <w:rFonts w:ascii="Calibri" w:hAnsi="Calibri" w:cs="Calibri"/>
                <w:b/>
                <w:sz w:val="20"/>
              </w:rPr>
              <w:t>Type</w:t>
            </w:r>
          </w:p>
        </w:tc>
        <w:tc>
          <w:tcPr>
            <w:tcW w:type="dxa" w:w="3264"/>
            <w:shd w:val="clear" w:color="auto" w:fill="D9E2F3"/>
          </w:tcPr>
          <w:p>
            <w:pPr>
              <w:spacing w:after="20" w:before="20"/>
            </w:pPr>
            <w:r>
              <w:rPr>
                <w:rFonts w:ascii="Calibri" w:hAnsi="Calibri" w:cs="Calibri"/>
                <w:b/>
                <w:sz w:val="20"/>
              </w:rPr>
              <w:t>Findings</w:t>
            </w:r>
          </w:p>
        </w:tc>
      </w:tr>
      <w:tr>
        <w:trPr>
          <w:cantSplit/>
        </w:trPr>
        <w:tc>
          <w:tcPr>
            <w:tcW w:type="dxa" w:w="3264"/>
          </w:tcPr>
          <w:p>
            <w:pPr>
              <w:spacing w:after="20" w:before="20"/>
            </w:pPr>
            <w:r>
              <w:rPr>
                <w:rFonts w:ascii="Calibri" w:hAnsi="Calibri" w:cs="Calibri"/>
                <w:b w:val="0"/>
                <w:sz w:val="20"/>
              </w:rPr>
              <w:t>Colonoscopy with biopsy</w:t>
            </w:r>
          </w:p>
        </w:tc>
        <w:tc>
          <w:tcPr>
            <w:tcW w:type="dxa" w:w="3264"/>
          </w:tcPr>
          <w:p>
            <w:pPr>
              <w:spacing w:after="20" w:before="20"/>
            </w:pPr>
            <w:r>
              <w:rPr>
                <w:rFonts w:ascii="Calibri" w:hAnsi="Calibri" w:cs="Calibri"/>
                <w:b w:val="0"/>
                <w:sz w:val="20"/>
              </w:rPr>
              <w:t>diagnostic</w:t>
            </w:r>
          </w:p>
        </w:tc>
        <w:tc>
          <w:tcPr>
            <w:tcW w:type="dxa" w:w="3264"/>
          </w:tcPr>
          <w:p>
            <w:pPr>
              <w:spacing w:after="20" w:before="20"/>
            </w:pPr>
            <w:r>
              <w:rPr>
                <w:rFonts w:ascii="Calibri" w:hAnsi="Calibri" w:cs="Calibri"/>
                <w:b w:val="0"/>
                <w:sz w:val="20"/>
              </w:rPr>
              <w:t>Colitis. Biopsy immunohistochemistry positive for cytomegalovirus.</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transplant</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Cytomegalovirus colitis after the biopsy. Volume depletion on admission has improved. Tacrolimus trough is in the stated target range.</w:t>
            </w:r>
          </w:p>
        </w:tc>
        <w:tc>
          <w:tcPr>
            <w:tcW w:type="dxa" w:w="2448"/>
          </w:tcPr>
          <w:p>
            <w:pPr>
              <w:spacing w:after="20" w:before="20"/>
            </w:pPr>
            <w:r>
              <w:rPr>
                <w:rFonts w:ascii="Calibri" w:hAnsi="Calibri" w:cs="Calibri"/>
                <w:b w:val="0"/>
                <w:sz w:val="20"/>
              </w:rPr>
              <w:t>Continue tacrolimus 1 mg every 12 hours and prednisone 5 mg daily. Do not restart mycophenolate at discharge. Reassess that hold in clinic in 7 days.</w:t>
            </w:r>
          </w:p>
        </w:tc>
      </w:tr>
      <w:tr>
        <w:trPr>
          <w:cantSplit/>
        </w:trPr>
        <w:tc>
          <w:tcPr>
            <w:tcW w:type="dxa" w:w="2448"/>
          </w:tcPr>
          <w:p>
            <w:pPr>
              <w:spacing w:after="20" w:before="20"/>
            </w:pPr>
            <w:r>
              <w:rPr>
                <w:rFonts w:ascii="Calibri" w:hAnsi="Calibri" w:cs="Calibri"/>
                <w:b w:val="0"/>
                <w:sz w:val="20"/>
              </w:rPr>
              <w:t>infectious disease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Tissue-proven cytomegalovirus colitis. Bacterial stool studies and Clostridioides difficile toxin are negative.</w:t>
            </w:r>
          </w:p>
        </w:tc>
        <w:tc>
          <w:tcPr>
            <w:tcW w:type="dxa" w:w="2448"/>
          </w:tcPr>
          <w:p>
            <w:pPr>
              <w:spacing w:after="20" w:before="20"/>
            </w:pPr>
            <w:r>
              <w:rPr>
                <w:rFonts w:ascii="Calibri" w:hAnsi="Calibri" w:cs="Calibri"/>
                <w:b w:val="0"/>
                <w:sz w:val="20"/>
              </w:rPr>
              <w:t>Induction valganciclovir 900 mg orally twice daily now that creatinine clearance is above 60 mL/min. Recheck the viral load, blood count, and creatinine. Duration extends at least through the early follow-up and depends on symptom resolution and the viral load.</w:t>
            </w:r>
          </w:p>
        </w:tc>
      </w:tr>
    </w:tbl>
    <w:p>
      <w:pPr>
        <w:spacing w:after="40"/>
      </w:pPr>
    </w:p>
    <w:p>
      <w:pPr>
        <w:pStyle w:val="Heading2"/>
      </w:pPr>
      <w:r>
        <w:rPr>
          <w:rFonts w:ascii="Calibri" w:hAnsi="Calibri"/>
          <w:color w:val="1F3A5F"/>
        </w:rPr>
        <w:t>Microbiology</w:t>
      </w:r>
    </w:p>
    <w:tbl>
      <w:tblPr>
        <w:tblStyle w:val="TableGrid"/>
        <w:tblW w:type="dxa" w:w="9792"/>
        <w:tblLayout w:type="fixed"/>
        <w:tblLook w:firstColumn="1" w:firstRow="1" w:lastColumn="0" w:lastRow="0" w:noHBand="0" w:noVBand="1" w:val="04A0"/>
      </w:tblPr>
      <w:tblGrid>
        <w:gridCol w:w="1632"/>
        <w:gridCol w:w="1632"/>
        <w:gridCol w:w="1632"/>
        <w:gridCol w:w="1632"/>
        <w:gridCol w:w="1632"/>
        <w:gridCol w:w="1632"/>
      </w:tblGrid>
      <w:tr>
        <w:trPr>
          <w:tblHeader/>
          <w:cantSplit/>
        </w:trPr>
        <w:tc>
          <w:tcPr>
            <w:tcW w:type="dxa" w:w="1632"/>
            <w:shd w:val="clear" w:color="auto" w:fill="D9E2F3"/>
          </w:tcPr>
          <w:p>
            <w:pPr>
              <w:spacing w:after="20" w:before="20"/>
            </w:pPr>
            <w:r>
              <w:rPr>
                <w:rFonts w:ascii="Calibri" w:hAnsi="Calibri" w:cs="Calibri"/>
                <w:b/>
                <w:sz w:val="20"/>
              </w:rPr>
              <w:t>Timepoint</w:t>
            </w:r>
          </w:p>
        </w:tc>
        <w:tc>
          <w:tcPr>
            <w:tcW w:type="dxa" w:w="1632"/>
            <w:shd w:val="clear" w:color="auto" w:fill="D9E2F3"/>
          </w:tcPr>
          <w:p>
            <w:pPr>
              <w:spacing w:after="20" w:before="20"/>
            </w:pPr>
            <w:r>
              <w:rPr>
                <w:rFonts w:ascii="Calibri" w:hAnsi="Calibri" w:cs="Calibri"/>
                <w:b/>
                <w:sz w:val="20"/>
              </w:rPr>
              <w:t>Specimen</w:t>
            </w:r>
          </w:p>
        </w:tc>
        <w:tc>
          <w:tcPr>
            <w:tcW w:type="dxa" w:w="1632"/>
            <w:shd w:val="clear" w:color="auto" w:fill="D9E2F3"/>
          </w:tcPr>
          <w:p>
            <w:pPr>
              <w:spacing w:after="20" w:before="20"/>
            </w:pPr>
            <w:r>
              <w:rPr>
                <w:rFonts w:ascii="Calibri" w:hAnsi="Calibri" w:cs="Calibri"/>
                <w:b/>
                <w:sz w:val="20"/>
              </w:rPr>
              <w:t>Test</w:t>
            </w:r>
          </w:p>
        </w:tc>
        <w:tc>
          <w:tcPr>
            <w:tcW w:type="dxa" w:w="1632"/>
            <w:shd w:val="clear" w:color="auto" w:fill="D9E2F3"/>
          </w:tcPr>
          <w:p>
            <w:pPr>
              <w:spacing w:after="20" w:before="20"/>
            </w:pPr>
            <w:r>
              <w:rPr>
                <w:rFonts w:ascii="Calibri" w:hAnsi="Calibri" w:cs="Calibri"/>
                <w:b/>
                <w:sz w:val="20"/>
              </w:rPr>
              <w:t>Result</w:t>
            </w:r>
          </w:p>
        </w:tc>
        <w:tc>
          <w:tcPr>
            <w:tcW w:type="dxa" w:w="1632"/>
            <w:shd w:val="clear" w:color="auto" w:fill="D9E2F3"/>
          </w:tcPr>
          <w:p>
            <w:pPr>
              <w:spacing w:after="20" w:before="20"/>
            </w:pPr>
            <w:r>
              <w:rPr>
                <w:rFonts w:ascii="Calibri" w:hAnsi="Calibri" w:cs="Calibri"/>
                <w:b/>
                <w:sz w:val="20"/>
              </w:rPr>
              <w:t>Status</w:t>
            </w:r>
          </w:p>
        </w:tc>
        <w:tc>
          <w:tcPr>
            <w:tcW w:type="dxa" w:w="1632"/>
            <w:shd w:val="clear" w:color="auto" w:fill="D9E2F3"/>
          </w:tcPr>
          <w:p>
            <w:pPr>
              <w:spacing w:after="20" w:before="20"/>
            </w:pPr>
            <w:r>
              <w:rPr>
                <w:rFonts w:ascii="Calibri" w:hAnsi="Calibri" w:cs="Calibri"/>
                <w:b/>
                <w:sz w:val="20"/>
              </w:rPr>
              <w:t>Notes</w:t>
            </w:r>
          </w:p>
        </w:tc>
      </w:tr>
      <w:tr>
        <w:trPr>
          <w:cantSplit/>
        </w:trPr>
        <w:tc>
          <w:tcPr>
            <w:tcW w:type="dxa" w:w="1632"/>
          </w:tcPr>
          <w:p>
            <w:pPr>
              <w:spacing w:after="20" w:before="20"/>
            </w:pPr>
            <w:r>
              <w:rPr>
                <w:rFonts w:ascii="Calibri" w:hAnsi="Calibri" w:cs="Calibri"/>
                <w:b w:val="0"/>
                <w:sz w:val="20"/>
              </w:rPr>
              <w:t>admission</w:t>
            </w:r>
          </w:p>
        </w:tc>
        <w:tc>
          <w:tcPr>
            <w:tcW w:type="dxa" w:w="1632"/>
          </w:tcPr>
          <w:p>
            <w:pPr>
              <w:spacing w:after="20" w:before="20"/>
            </w:pPr>
            <w:r>
              <w:rPr>
                <w:rFonts w:ascii="Calibri" w:hAnsi="Calibri" w:cs="Calibri"/>
                <w:b w:val="0"/>
                <w:sz w:val="20"/>
              </w:rPr>
              <w:t>stool</w:t>
            </w:r>
          </w:p>
        </w:tc>
        <w:tc>
          <w:tcPr>
            <w:tcW w:type="dxa" w:w="1632"/>
          </w:tcPr>
          <w:p>
            <w:pPr>
              <w:spacing w:after="20" w:before="20"/>
            </w:pPr>
            <w:r>
              <w:rPr>
                <w:rFonts w:ascii="Calibri" w:hAnsi="Calibri" w:cs="Calibri"/>
                <w:b w:val="0"/>
                <w:sz w:val="20"/>
              </w:rPr>
              <w:t>stool culture</w:t>
            </w:r>
          </w:p>
        </w:tc>
        <w:tc>
          <w:tcPr>
            <w:tcW w:type="dxa" w:w="1632"/>
          </w:tcPr>
          <w:p>
            <w:pPr>
              <w:spacing w:after="20" w:before="20"/>
            </w:pPr>
            <w:r>
              <w:rPr>
                <w:rFonts w:ascii="Calibri" w:hAnsi="Calibri" w:cs="Calibri"/>
                <w:b w:val="0"/>
                <w:sz w:val="20"/>
              </w:rPr>
              <w:t>no growth</w:t>
            </w:r>
          </w:p>
        </w:tc>
        <w:tc>
          <w:tcPr>
            <w:tcW w:type="dxa" w:w="1632"/>
          </w:tcPr>
          <w:p>
            <w:pPr>
              <w:spacing w:after="20" w:before="20"/>
            </w:pPr>
            <w:r>
              <w:rPr>
                <w:rFonts w:ascii="Calibri" w:hAnsi="Calibri" w:cs="Calibri"/>
                <w:b w:val="0"/>
                <w:sz w:val="20"/>
              </w:rPr>
              <w:t>final</w:t>
            </w:r>
          </w:p>
        </w:tc>
        <w:tc>
          <w:tcPr>
            <w:tcW w:type="dxa" w:w="1632"/>
          </w:tcPr>
          <w:p>
            <w:pPr>
              <w:spacing w:after="20" w:before="20"/>
            </w:pPr>
            <w:r>
              <w:rPr>
                <w:rFonts w:ascii="Calibri" w:hAnsi="Calibri" w:cs="Calibri"/>
                <w:b w:val="0"/>
                <w:sz w:val="20"/>
              </w:rPr>
              <w:t>No bacterial pathogen.</w:t>
            </w:r>
          </w:p>
        </w:tc>
      </w:tr>
      <w:tr>
        <w:trPr>
          <w:cantSplit/>
        </w:trPr>
        <w:tc>
          <w:tcPr>
            <w:tcW w:type="dxa" w:w="1632"/>
          </w:tcPr>
          <w:p>
            <w:pPr>
              <w:spacing w:after="20" w:before="20"/>
            </w:pPr>
            <w:r>
              <w:rPr>
                <w:rFonts w:ascii="Calibri" w:hAnsi="Calibri" w:cs="Calibri"/>
                <w:b w:val="0"/>
                <w:sz w:val="20"/>
              </w:rPr>
              <w:t>admission</w:t>
            </w:r>
          </w:p>
        </w:tc>
        <w:tc>
          <w:tcPr>
            <w:tcW w:type="dxa" w:w="1632"/>
          </w:tcPr>
          <w:p>
            <w:pPr>
              <w:spacing w:after="20" w:before="20"/>
            </w:pPr>
            <w:r>
              <w:rPr>
                <w:rFonts w:ascii="Calibri" w:hAnsi="Calibri" w:cs="Calibri"/>
                <w:b w:val="0"/>
                <w:sz w:val="20"/>
              </w:rPr>
              <w:t>stool</w:t>
            </w:r>
          </w:p>
        </w:tc>
        <w:tc>
          <w:tcPr>
            <w:tcW w:type="dxa" w:w="1632"/>
          </w:tcPr>
          <w:p>
            <w:pPr>
              <w:spacing w:after="20" w:before="20"/>
            </w:pPr>
            <w:r>
              <w:rPr>
                <w:rFonts w:ascii="Calibri" w:hAnsi="Calibri" w:cs="Calibri"/>
                <w:b w:val="0"/>
                <w:sz w:val="20"/>
              </w:rPr>
              <w:t>Clostridioides difficile toxin</w:t>
            </w:r>
          </w:p>
        </w:tc>
        <w:tc>
          <w:tcPr>
            <w:tcW w:type="dxa" w:w="1632"/>
          </w:tcPr>
          <w:p>
            <w:pPr>
              <w:spacing w:after="20" w:before="20"/>
            </w:pPr>
            <w:r>
              <w:rPr>
                <w:rFonts w:ascii="Calibri" w:hAnsi="Calibri" w:cs="Calibri"/>
                <w:b w:val="0"/>
                <w:sz w:val="20"/>
              </w:rPr>
              <w:t>negative</w:t>
            </w:r>
          </w:p>
        </w:tc>
        <w:tc>
          <w:tcPr>
            <w:tcW w:type="dxa" w:w="1632"/>
          </w:tcPr>
          <w:p>
            <w:pPr>
              <w:spacing w:after="20" w:before="20"/>
            </w:pPr>
            <w:r>
              <w:rPr>
                <w:rFonts w:ascii="Calibri" w:hAnsi="Calibri" w:cs="Calibri"/>
                <w:b w:val="0"/>
                <w:sz w:val="20"/>
              </w:rPr>
              <w:t>final</w:t>
            </w:r>
          </w:p>
        </w:tc>
        <w:tc>
          <w:tcPr>
            <w:tcW w:type="dxa" w:w="1632"/>
          </w:tcPr>
          <w:p>
            <w:pPr>
              <w:spacing w:after="20" w:before="20"/>
            </w:pPr>
            <w:r>
              <w:rPr>
                <w:rFonts w:ascii="Calibri" w:hAnsi="Calibri" w:cs="Calibri"/>
                <w:b w:val="0"/>
                <w:sz w:val="20"/>
              </w:rPr>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Diarrhea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20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2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2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20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2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2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20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2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2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20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2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21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2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2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2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21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219"/>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220"/>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sectPr w:rsidR="00FC693F" w:rsidRPr="0006063C" w:rsidSect="00034616">
      <w:headerReference w:type="default" r:id="rId13"/>
      <w:pgSz w:w="12240" w:h="15840"/>
      <w:pgMar w:top="1224" w:right="1224" w:bottom="1080" w:left="1224"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s="Calibri"/>
        <w:b w:val="0"/>
        <w:color w:val="1F3A5F"/>
        <w:sz w:val="18"/>
      </w:rPr>
      <w:t xml:space="preserve">CliniProof revised overlap cases    </w:t>
    </w:r>
    <w:r>
      <w:rPr>
        <w:rFonts w:ascii="Calibri" w:hAnsi="Calibri" w:cs="Calibri"/>
        <w:b w:val="0"/>
        <w:color w:val="1F3A5F"/>
        <w:sz w:val="18"/>
      </w:rPr>
      <w:fldChar w:fldCharType="begin"/>
    </w:r>
    <w:r>
      <w:rPr>
        <w:rFonts w:ascii="Calibri" w:hAnsi="Calibri" w:cs="Calibri"/>
        <w:b w:val="0"/>
        <w:color w:val="1F3A5F"/>
        <w:sz w:val="18"/>
      </w:rPr>
      <w:instrText xml:space="preserve"> PAGE </w:instrText>
    </w:r>
    <w:r>
      <w:rPr>
        <w:rFonts w:ascii="Calibri" w:hAnsi="Calibri" w:cs="Calibri"/>
        <w:b w:val="0"/>
        <w:color w:val="1F3A5F"/>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Revised clean-case review    VAL-801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Revised clean-case review    VAL-805</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Revised clean-case review    VAL-809</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Revised clean-case review    VAL-813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6"/>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