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C27F25" w:rsidP="32B78D9B" w:rsidRDefault="35C27F25" w14:paraId="77972046" w14:textId="230D8B1D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2B78D9B" w:rsidR="35C27F25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One Liner: </w:t>
      </w:r>
    </w:p>
    <w:p w:rsidR="4E28B039" w:rsidP="32B78D9B" w:rsidRDefault="4E28B039" w14:paraId="427BC468" w14:textId="1F40928E">
      <w:pPr>
        <w:pStyle w:val="Normal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 xml:space="preserve">78 </w:t>
      </w:r>
      <w:r w:rsidRPr="32B78D9B" w:rsidR="4E28B039">
        <w:rPr>
          <w:rFonts w:ascii="Calibri" w:hAnsi="Calibri" w:eastAsia="Calibri" w:cs="Calibri"/>
          <w:sz w:val="22"/>
          <w:szCs w:val="22"/>
        </w:rPr>
        <w:t>yo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female with PMH severe mitral regurgitation (s/p </w:t>
      </w:r>
      <w:r w:rsidRPr="32B78D9B" w:rsidR="4E28B039">
        <w:rPr>
          <w:rFonts w:ascii="Calibri" w:hAnsi="Calibri" w:eastAsia="Calibri" w:cs="Calibri"/>
          <w:sz w:val="22"/>
          <w:szCs w:val="22"/>
        </w:rPr>
        <w:t>bileaflet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mechanical MVR 2016, on lifelong</w:t>
      </w:r>
      <w:r w:rsidRPr="32B78D9B" w:rsidR="4B1401E7">
        <w:rPr>
          <w:rFonts w:ascii="Calibri" w:hAnsi="Calibri" w:eastAsia="Calibri" w:cs="Calibri"/>
          <w:sz w:val="22"/>
          <w:szCs w:val="22"/>
        </w:rPr>
        <w:t xml:space="preserve"> </w:t>
      </w:r>
      <w:r w:rsidRPr="32B78D9B" w:rsidR="4E28B039">
        <w:rPr>
          <w:rFonts w:ascii="Calibri" w:hAnsi="Calibri" w:eastAsia="Calibri" w:cs="Calibri"/>
          <w:sz w:val="22"/>
          <w:szCs w:val="22"/>
        </w:rPr>
        <w:t>warfarin), T2DM, HTN, and osteopenia, admitted to the general medicine team after a mechanical fall from standing complicated by a right femoral neck fracture, now s/p right hip ORIF and stable for discharge on POD 3.</w:t>
      </w:r>
    </w:p>
    <w:p w:rsidR="32B78D9B" w:rsidP="32B78D9B" w:rsidRDefault="32B78D9B" w14:paraId="570D3CBC" w14:textId="2A73BEA1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</w:p>
    <w:p w:rsidR="4E28B039" w:rsidP="32B78D9B" w:rsidRDefault="4E28B039" w14:paraId="1A431E78" w14:textId="252B5EC0">
      <w:pPr>
        <w:pStyle w:val="Normal"/>
        <w:spacing w:after="0" w:afterAutospacing="off"/>
      </w:pPr>
      <w:r w:rsidRPr="32B78D9B" w:rsidR="4E28B039">
        <w:rPr>
          <w:rFonts w:ascii="Calibri" w:hAnsi="Calibri" w:eastAsia="Calibri" w:cs="Calibri"/>
          <w:b w:val="1"/>
          <w:bCs w:val="1"/>
          <w:sz w:val="22"/>
          <w:szCs w:val="22"/>
        </w:rPr>
        <w:t>Vitals</w:t>
      </w:r>
      <w:r w:rsidRPr="32B78D9B" w:rsidR="4E28B039">
        <w:rPr>
          <w:rFonts w:ascii="Calibri" w:hAnsi="Calibri" w:eastAsia="Calibri" w:cs="Calibri"/>
          <w:sz w:val="22"/>
          <w:szCs w:val="22"/>
        </w:rPr>
        <w:t>: overnight/most recent — afebrile (</w:t>
      </w:r>
      <w:r w:rsidRPr="32B78D9B" w:rsidR="4E28B039">
        <w:rPr>
          <w:rFonts w:ascii="Calibri" w:hAnsi="Calibri" w:eastAsia="Calibri" w:cs="Calibri"/>
          <w:sz w:val="22"/>
          <w:szCs w:val="22"/>
        </w:rPr>
        <w:t>Tmax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37.4), BP 130/85, HR 90, SpO2 100% RA, RR 18. </w:t>
      </w:r>
    </w:p>
    <w:p w:rsidR="4E28B039" w:rsidP="32B78D9B" w:rsidRDefault="4E28B039" w14:paraId="46747ECF" w14:textId="50060649">
      <w:pPr>
        <w:pStyle w:val="Normal"/>
        <w:spacing w:after="0" w:afterAutospacing="off"/>
      </w:pPr>
      <w:r w:rsidRPr="32B78D9B" w:rsidR="4E28B039">
        <w:rPr>
          <w:rFonts w:ascii="Calibri" w:hAnsi="Calibri" w:eastAsia="Calibri" w:cs="Calibri"/>
          <w:b w:val="1"/>
          <w:bCs w:val="1"/>
          <w:sz w:val="22"/>
          <w:szCs w:val="22"/>
        </w:rPr>
        <w:t>Labs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</w:t>
      </w:r>
      <w:r w:rsidRPr="32B78D9B" w:rsidR="728CAD80">
        <w:rPr>
          <w:rFonts w:ascii="Calibri" w:hAnsi="Calibri" w:eastAsia="Calibri" w:cs="Calibri"/>
          <w:sz w:val="22"/>
          <w:szCs w:val="22"/>
        </w:rPr>
        <w:t>:</w:t>
      </w:r>
    </w:p>
    <w:p w:rsidR="728CAD80" w:rsidP="32B78D9B" w:rsidRDefault="728CAD80" w14:paraId="6882C661" w14:textId="7976D28E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728CAD80">
        <w:rPr>
          <w:rFonts w:ascii="Calibri" w:hAnsi="Calibri" w:eastAsia="Calibri" w:cs="Calibri"/>
          <w:sz w:val="22"/>
          <w:szCs w:val="22"/>
          <w:u w:val="single"/>
        </w:rPr>
        <w:t>T</w:t>
      </w:r>
      <w:r w:rsidRPr="32B78D9B" w:rsidR="4E28B039">
        <w:rPr>
          <w:rFonts w:ascii="Calibri" w:hAnsi="Calibri" w:eastAsia="Calibri" w:cs="Calibri"/>
          <w:sz w:val="22"/>
          <w:szCs w:val="22"/>
          <w:u w:val="single"/>
        </w:rPr>
        <w:t>oday</w:t>
      </w:r>
      <w:r w:rsidRPr="32B78D9B" w:rsidR="4E28B039">
        <w:rPr>
          <w:rFonts w:ascii="Calibri" w:hAnsi="Calibri" w:eastAsia="Calibri" w:cs="Calibri"/>
          <w:sz w:val="22"/>
          <w:szCs w:val="22"/>
        </w:rPr>
        <w:t>:</w:t>
      </w:r>
      <w:r w:rsidRPr="32B78D9B" w:rsidR="6BF5074A">
        <w:rPr>
          <w:rFonts w:ascii="Calibri" w:hAnsi="Calibri" w:eastAsia="Calibri" w:cs="Calibri"/>
          <w:sz w:val="22"/>
          <w:szCs w:val="22"/>
        </w:rPr>
        <w:t xml:space="preserve"> </w:t>
      </w:r>
      <w:r w:rsidRPr="32B78D9B" w:rsidR="4E28B039">
        <w:rPr>
          <w:rFonts w:ascii="Calibri" w:hAnsi="Calibri" w:eastAsia="Calibri" w:cs="Calibri"/>
          <w:sz w:val="22"/>
          <w:szCs w:val="22"/>
        </w:rPr>
        <w:t>BMP: Na 136, K 4.3, Cl 101, Bicarb 24, BUN 25, Cr 1.1, glucose 120</w:t>
      </w:r>
    </w:p>
    <w:p w:rsidR="4E28B039" w:rsidP="32B78D9B" w:rsidRDefault="4E28B039" w14:paraId="6C79C1F7" w14:textId="6F30D0F0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CBC: WBC 10, Hgb 9.0, MCV 94, platelets 210, other CBC parameters normal</w:t>
      </w:r>
    </w:p>
    <w:p w:rsidR="4E28B039" w:rsidP="32B78D9B" w:rsidRDefault="4E28B039" w14:paraId="72122645" w14:textId="2BB7B3BD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INR: 1.9</w:t>
      </w:r>
    </w:p>
    <w:p w:rsidR="4E28B039" w:rsidP="32B78D9B" w:rsidRDefault="4E28B039" w14:paraId="4BAD8C7B" w14:textId="1BE10013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Additional: Ca 8.9, albumin 3.4, Mg 2.0, Phos 3.3, 25-OH vitamin D 16 ng/mL, TSH normal, A1c 7.4%, CK not elevated, ECG NSR without ischemic change</w:t>
      </w:r>
    </w:p>
    <w:p w:rsidR="32B78D9B" w:rsidP="32B78D9B" w:rsidRDefault="32B78D9B" w14:paraId="343FE131" w14:textId="32BF3D54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  <w:u w:val="single"/>
        </w:rPr>
      </w:pPr>
    </w:p>
    <w:p w:rsidR="4E28B039" w:rsidP="32B78D9B" w:rsidRDefault="4E28B039" w14:paraId="2B303E20" w14:textId="6601AF8A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  <w:u w:val="single"/>
        </w:rPr>
        <w:t>Labs on first day/admission</w:t>
      </w:r>
      <w:r w:rsidRPr="32B78D9B" w:rsidR="4E28B039">
        <w:rPr>
          <w:rFonts w:ascii="Calibri" w:hAnsi="Calibri" w:eastAsia="Calibri" w:cs="Calibri"/>
          <w:sz w:val="22"/>
          <w:szCs w:val="22"/>
        </w:rPr>
        <w:t>:</w:t>
      </w:r>
    </w:p>
    <w:p w:rsidR="4E28B039" w:rsidP="32B78D9B" w:rsidRDefault="4E28B039" w14:paraId="7410A409" w14:textId="77D175A2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BMP: Na 137, K 4.4, Cl 103, Bicarb 23, BUN 30, Cr 1.0, glucose 94</w:t>
      </w:r>
    </w:p>
    <w:p w:rsidR="4E28B039" w:rsidP="32B78D9B" w:rsidRDefault="4E28B039" w14:paraId="4EA65D15" w14:textId="72366FF6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CBC: WBC 9, Hgb 12.0, MCV 97, platelets 240, other CBC parameters normal</w:t>
      </w:r>
    </w:p>
    <w:p w:rsidR="4E28B039" w:rsidP="32B78D9B" w:rsidRDefault="4E28B039" w14:paraId="1EBC007E" w14:textId="4C739271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INR: 3.8</w:t>
      </w:r>
    </w:p>
    <w:p w:rsidR="4E28B039" w:rsidP="32B78D9B" w:rsidRDefault="4E28B039" w14:paraId="6E3A5D10" w14:textId="3DE9B1CE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Trend: Hgb 12.0 (admission) → 10.4 (POD 1) → 9.4 (POD 2) → 9.0 (POD 3), no overt bleeding, no transfusion. INR 3.8 → 2.6 (day 2, after vitamin K 5 mg PO ×1) → 1.5 (day 3, day of OR) → 1.9 (today, after warfarin resumed POD 1 evening).</w:t>
      </w:r>
    </w:p>
    <w:p w:rsidR="32B78D9B" w:rsidP="32B78D9B" w:rsidRDefault="32B78D9B" w14:paraId="771AFB4A" w14:textId="1CE7324F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  <w:u w:val="single"/>
        </w:rPr>
      </w:pPr>
    </w:p>
    <w:p w:rsidR="4E28B039" w:rsidP="32B78D9B" w:rsidRDefault="4E28B039" w14:paraId="35FF6BFB" w14:textId="4B4CF9B6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sz w:val="22"/>
          <w:szCs w:val="22"/>
          <w:u w:val="none"/>
        </w:rPr>
      </w:pPr>
      <w:r w:rsidRPr="32B78D9B" w:rsidR="4E28B039">
        <w:rPr>
          <w:rFonts w:ascii="Calibri" w:hAnsi="Calibri" w:eastAsia="Calibri" w:cs="Calibri"/>
          <w:b w:val="1"/>
          <w:bCs w:val="1"/>
          <w:sz w:val="22"/>
          <w:szCs w:val="22"/>
          <w:u w:val="none"/>
        </w:rPr>
        <w:t>Imaging/studies:</w:t>
      </w:r>
    </w:p>
    <w:p w:rsidR="4E28B039" w:rsidP="32B78D9B" w:rsidRDefault="4E28B039" w14:paraId="26E6A4C1" w14:textId="675158F3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Right hip radiograph and CT (admission): minimally displaced right femoral neck fracture, no pelvic ring disruption, no lytic lesion.</w:t>
      </w:r>
    </w:p>
    <w:p w:rsidR="4E28B039" w:rsidP="32B78D9B" w:rsidRDefault="4E28B039" w14:paraId="1DB8F727" w14:textId="3E8F8595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Post-op radiograph (POD 0): anatomic alignment with cannulated screw fixation, hardware in good position.</w:t>
      </w:r>
    </w:p>
    <w:p w:rsidR="4E28B039" w:rsidP="32B78D9B" w:rsidRDefault="4E28B039" w14:paraId="1F042A6D" w14:textId="4B73AA22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 xml:space="preserve">TTE: well-seated </w:t>
      </w:r>
      <w:r w:rsidRPr="32B78D9B" w:rsidR="4E28B039">
        <w:rPr>
          <w:rFonts w:ascii="Calibri" w:hAnsi="Calibri" w:eastAsia="Calibri" w:cs="Calibri"/>
          <w:sz w:val="22"/>
          <w:szCs w:val="22"/>
        </w:rPr>
        <w:t>bileaflet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mechanical MVR, mean gradient </w:t>
      </w:r>
      <w:r w:rsidRPr="32B78D9B" w:rsidR="4E28B039">
        <w:rPr>
          <w:rFonts w:ascii="Calibri" w:hAnsi="Calibri" w:eastAsia="Calibri" w:cs="Calibri"/>
          <w:sz w:val="22"/>
          <w:szCs w:val="22"/>
        </w:rPr>
        <w:t>4 mm</w:t>
      </w:r>
      <w:r w:rsidRPr="32B78D9B" w:rsidR="4E28B039">
        <w:rPr>
          <w:rFonts w:ascii="Calibri" w:hAnsi="Calibri" w:eastAsia="Calibri" w:cs="Calibri"/>
          <w:sz w:val="22"/>
          <w:szCs w:val="22"/>
        </w:rPr>
        <w:t>Hg, no paravalvular leak, no vegetation, LVEF 60%.</w:t>
      </w:r>
    </w:p>
    <w:p w:rsidR="32B78D9B" w:rsidP="32B78D9B" w:rsidRDefault="32B78D9B" w14:paraId="76B5CAB4" w14:textId="57B86842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</w:p>
    <w:p w:rsidR="4E28B039" w:rsidP="32B78D9B" w:rsidRDefault="4E28B039" w14:paraId="1C9458C2" w14:textId="4F12BC72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b w:val="1"/>
          <w:bCs w:val="1"/>
          <w:sz w:val="22"/>
          <w:szCs w:val="22"/>
        </w:rPr>
        <w:t>Notes</w:t>
      </w:r>
      <w:r w:rsidRPr="32B78D9B" w:rsidR="4E28B039">
        <w:rPr>
          <w:rFonts w:ascii="Calibri" w:hAnsi="Calibri" w:eastAsia="Calibri" w:cs="Calibri"/>
          <w:sz w:val="22"/>
          <w:szCs w:val="22"/>
        </w:rPr>
        <w:t>:</w:t>
      </w:r>
    </w:p>
    <w:p w:rsidR="4E28B039" w:rsidP="32B78D9B" w:rsidRDefault="4E28B039" w14:paraId="7A301997" w14:textId="30A97BB6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  <w:u w:val="single"/>
        </w:rPr>
        <w:t>Orthopedics</w:t>
      </w:r>
      <w:r w:rsidRPr="32B78D9B" w:rsidR="4E28B039">
        <w:rPr>
          <w:rFonts w:ascii="Calibri" w:hAnsi="Calibri" w:eastAsia="Calibri" w:cs="Calibri"/>
          <w:sz w:val="22"/>
          <w:szCs w:val="22"/>
        </w:rPr>
        <w:t>: WBAT with PT/OT. Staple removal at 2 weeks in clinic. Continue postoperative anticoagulation for at least 1 month per service protocol.</w:t>
      </w:r>
    </w:p>
    <w:p w:rsidR="47CE86DF" w:rsidP="32B78D9B" w:rsidRDefault="47CE86DF" w14:paraId="2DAA42FA" w14:textId="6F8BC70F">
      <w:pPr>
        <w:pStyle w:val="Normal"/>
        <w:spacing w:after="0" w:afterAutospacing="off"/>
      </w:pPr>
      <w:r w:rsidRPr="32B78D9B" w:rsidR="47CE86DF">
        <w:rPr>
          <w:rFonts w:ascii="Calibri" w:hAnsi="Calibri" w:eastAsia="Calibri" w:cs="Calibri"/>
          <w:sz w:val="22"/>
          <w:szCs w:val="22"/>
          <w:u w:val="single"/>
        </w:rPr>
        <w:t>Pharmacy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: </w:t>
      </w:r>
      <w:r w:rsidRPr="32B78D9B" w:rsidR="4E28B039">
        <w:rPr>
          <w:rFonts w:ascii="Calibri" w:hAnsi="Calibri" w:eastAsia="Calibri" w:cs="Calibri"/>
          <w:sz w:val="22"/>
          <w:szCs w:val="22"/>
        </w:rPr>
        <w:t>Bileaflet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</w:t>
      </w:r>
      <w:r w:rsidRPr="32B78D9B" w:rsidR="4E28B039">
        <w:rPr>
          <w:rFonts w:ascii="Calibri" w:hAnsi="Calibri" w:eastAsia="Calibri" w:cs="Calibri"/>
          <w:sz w:val="22"/>
          <w:szCs w:val="22"/>
        </w:rPr>
        <w:t>mechanical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MVR — target INR 3.0 (range 2.5–3.5). Warfarin was reversed with low-dose oral vitamin K rather than PCC because surgery was semi-urgent, not </w:t>
      </w:r>
      <w:r w:rsidRPr="32B78D9B" w:rsidR="4E28B039">
        <w:rPr>
          <w:rFonts w:ascii="Calibri" w:hAnsi="Calibri" w:eastAsia="Calibri" w:cs="Calibri"/>
          <w:sz w:val="22"/>
          <w:szCs w:val="22"/>
        </w:rPr>
        <w:t>emergent.LMWH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until INR ≥2.5</w:t>
      </w:r>
    </w:p>
    <w:p w:rsidR="4E28B039" w:rsidP="32B78D9B" w:rsidRDefault="4E28B039" w14:paraId="5410300E" w14:textId="3E158CBA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  <w:u w:val="single"/>
        </w:rPr>
        <w:t>Endocrinology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: </w:t>
      </w:r>
      <w:r w:rsidRPr="32B78D9B" w:rsidR="4E28B039">
        <w:rPr>
          <w:rFonts w:ascii="Calibri" w:hAnsi="Calibri" w:eastAsia="Calibri" w:cs="Calibri"/>
          <w:sz w:val="22"/>
          <w:szCs w:val="22"/>
        </w:rPr>
        <w:t>Autoconsulted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</w:t>
      </w:r>
      <w:r w:rsidRPr="32B78D9B" w:rsidR="4E28B039">
        <w:rPr>
          <w:rFonts w:ascii="Calibri" w:hAnsi="Calibri" w:eastAsia="Calibri" w:cs="Calibri"/>
          <w:sz w:val="22"/>
          <w:szCs w:val="22"/>
        </w:rPr>
        <w:t>for fragility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fracture. Vitamin D 25-OH is 16 ng/mL — start cholecalciferol 2000 IU daily plus calcium supplementation to reach total </w:t>
      </w:r>
      <w:r w:rsidRPr="32B78D9B" w:rsidR="4E28B039">
        <w:rPr>
          <w:rFonts w:ascii="Calibri" w:hAnsi="Calibri" w:eastAsia="Calibri" w:cs="Calibri"/>
          <w:sz w:val="22"/>
          <w:szCs w:val="22"/>
        </w:rPr>
        <w:t>intake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~</w:t>
      </w:r>
      <w:r w:rsidRPr="32B78D9B" w:rsidR="4E28B039">
        <w:rPr>
          <w:rFonts w:ascii="Calibri" w:hAnsi="Calibri" w:eastAsia="Calibri" w:cs="Calibri"/>
          <w:sz w:val="22"/>
          <w:szCs w:val="22"/>
        </w:rPr>
        <w:t>1200 mg</w:t>
      </w:r>
      <w:r w:rsidRPr="32B78D9B" w:rsidR="4E28B039">
        <w:rPr>
          <w:rFonts w:ascii="Calibri" w:hAnsi="Calibri" w:eastAsia="Calibri" w:cs="Calibri"/>
          <w:sz w:val="22"/>
          <w:szCs w:val="22"/>
        </w:rPr>
        <w:t>/day (diet preferred), recheck level in 3 months. DXA and initiation of antiresorptive therapy planned as outpatient after 2 weeks of calcium/vitamin D repletion</w:t>
      </w:r>
      <w:r w:rsidRPr="32B78D9B" w:rsidR="60C6CE2A">
        <w:rPr>
          <w:rFonts w:ascii="Calibri" w:hAnsi="Calibri" w:eastAsia="Calibri" w:cs="Calibri"/>
          <w:sz w:val="22"/>
          <w:szCs w:val="22"/>
        </w:rPr>
        <w:t>.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Bone turnover labs (PTH, TSH, SPEP) pending. Endocrine clinic to call </w:t>
      </w:r>
      <w:r w:rsidRPr="32B78D9B" w:rsidR="4E28B039">
        <w:rPr>
          <w:rFonts w:ascii="Calibri" w:hAnsi="Calibri" w:eastAsia="Calibri" w:cs="Calibri"/>
          <w:sz w:val="22"/>
          <w:szCs w:val="22"/>
        </w:rPr>
        <w:t>patient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to </w:t>
      </w:r>
      <w:r w:rsidRPr="32B78D9B" w:rsidR="4E28B039">
        <w:rPr>
          <w:rFonts w:ascii="Calibri" w:hAnsi="Calibri" w:eastAsia="Calibri" w:cs="Calibri"/>
          <w:sz w:val="22"/>
          <w:szCs w:val="22"/>
        </w:rPr>
        <w:t>establish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follow-</w:t>
      </w:r>
      <w:r w:rsidRPr="32B78D9B" w:rsidR="4E28B039">
        <w:rPr>
          <w:rFonts w:ascii="Calibri" w:hAnsi="Calibri" w:eastAsia="Calibri" w:cs="Calibri"/>
          <w:sz w:val="22"/>
          <w:szCs w:val="22"/>
        </w:rPr>
        <w:t>up</w:t>
      </w:r>
      <w:r w:rsidRPr="32B78D9B" w:rsidR="4E28B039">
        <w:rPr>
          <w:rFonts w:ascii="Calibri" w:hAnsi="Calibri" w:eastAsia="Calibri" w:cs="Calibri"/>
          <w:sz w:val="22"/>
          <w:szCs w:val="22"/>
        </w:rPr>
        <w:t>.</w:t>
      </w:r>
    </w:p>
    <w:p w:rsidR="4E28B039" w:rsidP="32B78D9B" w:rsidRDefault="4E28B039" w14:paraId="51DF5434" w14:textId="03C80200">
      <w:pPr>
        <w:pStyle w:val="Normal"/>
        <w:spacing w:after="0" w:afterAutospacing="off"/>
      </w:pPr>
      <w:r w:rsidRPr="32B78D9B" w:rsidR="4E28B039">
        <w:rPr>
          <w:rFonts w:ascii="Calibri" w:hAnsi="Calibri" w:eastAsia="Calibri" w:cs="Calibri"/>
          <w:sz w:val="22"/>
          <w:szCs w:val="22"/>
          <w:u w:val="single"/>
        </w:rPr>
        <w:t>Physical/occupational therapy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: Ambulating 40 feet with a rolling walker, needs minimal </w:t>
      </w:r>
      <w:r w:rsidRPr="32B78D9B" w:rsidR="4E28B039">
        <w:rPr>
          <w:rFonts w:ascii="Calibri" w:hAnsi="Calibri" w:eastAsia="Calibri" w:cs="Calibri"/>
          <w:sz w:val="22"/>
          <w:szCs w:val="22"/>
        </w:rPr>
        <w:t>assist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with transfers. Recommend short-term SNF versus home with home PT depending on daughter's availability; home safety evaluation with rug removal, bathroom grab bars, night-lights, and a </w:t>
      </w:r>
      <w:r w:rsidRPr="32B78D9B" w:rsidR="4E28B039">
        <w:rPr>
          <w:rFonts w:ascii="Calibri" w:hAnsi="Calibri" w:eastAsia="Calibri" w:cs="Calibri"/>
          <w:sz w:val="22"/>
          <w:szCs w:val="22"/>
        </w:rPr>
        <w:t>first-floor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sleeping arrangement.</w:t>
      </w:r>
    </w:p>
    <w:p w:rsidR="32B78D9B" w:rsidP="32B78D9B" w:rsidRDefault="32B78D9B" w14:paraId="4749412E" w14:textId="48BEEBCE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</w:p>
    <w:p w:rsidR="4E28B039" w:rsidP="32B78D9B" w:rsidRDefault="4E28B039" w14:paraId="14EA754B" w14:textId="03F82A6D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32B78D9B" w:rsidR="4E28B039">
        <w:rPr>
          <w:rFonts w:ascii="Calibri" w:hAnsi="Calibri" w:eastAsia="Calibri" w:cs="Calibri"/>
          <w:b w:val="1"/>
          <w:bCs w:val="1"/>
          <w:sz w:val="22"/>
          <w:szCs w:val="22"/>
        </w:rPr>
        <w:t>Home medications:</w:t>
      </w:r>
    </w:p>
    <w:p w:rsidR="4E28B039" w:rsidP="32B78D9B" w:rsidRDefault="4E28B039" w14:paraId="4599FF3A" w14:textId="1898D07A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Warfarin 2–3 mg daily (target INR 3.0 for mechanical MVR)</w:t>
      </w:r>
    </w:p>
    <w:p w:rsidR="4E28B039" w:rsidP="32B78D9B" w:rsidRDefault="4E28B039" w14:paraId="186B41C8" w14:textId="66C54B7B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Lisinopril 20 mg daily</w:t>
      </w:r>
    </w:p>
    <w:p w:rsidR="4E28B039" w:rsidP="32B78D9B" w:rsidRDefault="4E28B039" w14:paraId="0BE16386" w14:textId="51136BB4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Metformin 1000 mg BID</w:t>
      </w:r>
    </w:p>
    <w:p w:rsidR="4E28B039" w:rsidP="32B78D9B" w:rsidRDefault="4E28B039" w14:paraId="1412321E" w14:textId="07A2FD2C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Active hospital medications:</w:t>
      </w:r>
    </w:p>
    <w:p w:rsidR="4E28B039" w:rsidP="32B78D9B" w:rsidRDefault="4E28B039" w14:paraId="0DD260E5" w14:textId="1DA7DC29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Warfarin 3 mg PO daily (resumed POD 1 evening, INR 1.9 today)</w:t>
      </w:r>
    </w:p>
    <w:p w:rsidR="4E28B039" w:rsidP="32B78D9B" w:rsidRDefault="4E28B039" w14:paraId="62E39C57" w14:textId="1DD308CC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Enoxaparin 40 mg SC daily (prophylactic dose, continue until INR ≥2.5)</w:t>
      </w:r>
    </w:p>
    <w:p w:rsidR="4E28B039" w:rsidP="32B78D9B" w:rsidRDefault="4E28B039" w14:paraId="3595378F" w14:textId="2D85BB28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Lisinopril 20 mg daily</w:t>
      </w:r>
    </w:p>
    <w:p w:rsidR="4E28B039" w:rsidP="32B78D9B" w:rsidRDefault="4E28B039" w14:paraId="11BBAA1D" w14:textId="3D8A6E8E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Metformin 1000 mg BID (resumed POD 1; hold for contrast or NPO status)</w:t>
      </w:r>
    </w:p>
    <w:p w:rsidR="4E28B039" w:rsidP="32B78D9B" w:rsidRDefault="4E28B039" w14:paraId="3B07433E" w14:textId="370B4D17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Acetaminophen 650 mg PO q6h scheduled</w:t>
      </w:r>
    </w:p>
    <w:p w:rsidR="4E28B039" w:rsidP="32B78D9B" w:rsidRDefault="4E28B039" w14:paraId="51C4E429" w14:textId="46EB94B7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Oxycodone 2.5 mg PO q6h PRN pain 4–6/10; 5 mg PO q6h PRN pain 7–10/10</w:t>
      </w:r>
    </w:p>
    <w:p w:rsidR="4E28B039" w:rsidP="32B78D9B" w:rsidRDefault="4E28B039" w14:paraId="182797A7" w14:textId="6DDFC7F0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Cholecalciferol 2000 IU PO daily (new)</w:t>
      </w:r>
    </w:p>
    <w:p w:rsidR="4E28B039" w:rsidP="32B78D9B" w:rsidRDefault="4E28B039" w14:paraId="36921FB9" w14:textId="4CE3778E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Calcium carbonate 500 mg PO BID with meals (new)</w:t>
      </w:r>
    </w:p>
    <w:p w:rsidR="4E28B039" w:rsidP="32B78D9B" w:rsidRDefault="4E28B039" w14:paraId="25EFCE69" w14:textId="453A3C81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Docusate/senna PRN constipation</w:t>
      </w:r>
    </w:p>
    <w:p w:rsidR="4E28B039" w:rsidP="32B78D9B" w:rsidRDefault="4E28B039" w14:paraId="76D75A93" w14:textId="1E304924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Ferrous sulfate 325 mg PO every other day (new, for iron-deficiency workup pending)</w:t>
      </w:r>
    </w:p>
    <w:p w:rsidR="4E28B039" w:rsidP="32B78D9B" w:rsidRDefault="4E28B039" w14:paraId="09328121" w14:textId="30CE665F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Insulin sliding scale, low-dose correction with POC glucose q6h</w:t>
      </w:r>
    </w:p>
    <w:p w:rsidR="32B78D9B" w:rsidP="32B78D9B" w:rsidRDefault="32B78D9B" w14:paraId="7720C5EB" w14:textId="72349FD9">
      <w:pPr>
        <w:pStyle w:val="Normal"/>
        <w:spacing w:after="0" w:afterAutospacing="off"/>
        <w:rPr>
          <w:rFonts w:ascii="Calibri" w:hAnsi="Calibri" w:eastAsia="Calibri" w:cs="Calibri"/>
          <w:sz w:val="22"/>
          <w:szCs w:val="22"/>
        </w:rPr>
      </w:pPr>
    </w:p>
    <w:p w:rsidR="4E28B039" w:rsidP="32B78D9B" w:rsidRDefault="4E28B039" w14:paraId="19370224" w14:textId="1EC2EF68">
      <w:pPr>
        <w:pStyle w:val="Normal"/>
        <w:spacing w:after="0" w:afterAutospacing="off"/>
      </w:pPr>
      <w:r w:rsidRPr="32B78D9B" w:rsidR="4E28B039">
        <w:rPr>
          <w:rFonts w:ascii="Calibri" w:hAnsi="Calibri" w:eastAsia="Calibri" w:cs="Calibri"/>
          <w:sz w:val="22"/>
          <w:szCs w:val="22"/>
        </w:rPr>
        <w:t>Discharge issues to address:</w:t>
      </w:r>
    </w:p>
    <w:p w:rsidR="497032F5" w:rsidP="32B78D9B" w:rsidRDefault="497032F5" w14:paraId="0AE36AC9" w14:textId="116ED873">
      <w:pPr>
        <w:pStyle w:val="ListParagraph"/>
        <w:numPr>
          <w:ilvl w:val="0"/>
          <w:numId w:val="35"/>
        </w:numPr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97032F5">
        <w:rPr>
          <w:rFonts w:ascii="Calibri" w:hAnsi="Calibri" w:eastAsia="Calibri" w:cs="Calibri"/>
          <w:sz w:val="22"/>
          <w:szCs w:val="22"/>
        </w:rPr>
        <w:t xml:space="preserve"> </w:t>
      </w:r>
      <w:r w:rsidRPr="32B78D9B" w:rsidR="4E28B039">
        <w:rPr>
          <w:rFonts w:ascii="Calibri" w:hAnsi="Calibri" w:eastAsia="Calibri" w:cs="Calibri"/>
          <w:sz w:val="22"/>
          <w:szCs w:val="22"/>
        </w:rPr>
        <w:t>INR trajectory and bridging duration</w:t>
      </w:r>
    </w:p>
    <w:p w:rsidR="4E28B039" w:rsidP="32B78D9B" w:rsidRDefault="4E28B039" w14:paraId="0045CD5D" w14:textId="6DBF294A">
      <w:pPr>
        <w:pStyle w:val="ListParagraph"/>
        <w:numPr>
          <w:ilvl w:val="0"/>
          <w:numId w:val="35"/>
        </w:numPr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 xml:space="preserve">follow-up hemoglobin in 1 week, </w:t>
      </w:r>
    </w:p>
    <w:p w:rsidR="4E28B039" w:rsidP="32B78D9B" w:rsidRDefault="4E28B039" w14:paraId="2E40CDBC" w14:textId="49D3A6E8">
      <w:pPr>
        <w:pStyle w:val="ListParagraph"/>
        <w:numPr>
          <w:ilvl w:val="0"/>
          <w:numId w:val="35"/>
        </w:numPr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disposition</w:t>
      </w:r>
      <w:r w:rsidRPr="32B78D9B" w:rsidR="4E28B039">
        <w:rPr>
          <w:rFonts w:ascii="Calibri" w:hAnsi="Calibri" w:eastAsia="Calibri" w:cs="Calibri"/>
          <w:sz w:val="22"/>
          <w:szCs w:val="22"/>
        </w:rPr>
        <w:t xml:space="preserve"> (SNF vs home PT</w:t>
      </w:r>
      <w:r w:rsidRPr="32B78D9B" w:rsidR="3D39170C">
        <w:rPr>
          <w:rFonts w:ascii="Calibri" w:hAnsi="Calibri" w:eastAsia="Calibri" w:cs="Calibri"/>
          <w:sz w:val="22"/>
          <w:szCs w:val="22"/>
        </w:rPr>
        <w:t>)</w:t>
      </w:r>
    </w:p>
    <w:p w:rsidR="4E28B039" w:rsidP="32B78D9B" w:rsidRDefault="4E28B039" w14:paraId="3C574AC3" w14:textId="419483FE">
      <w:pPr>
        <w:pStyle w:val="ListParagraph"/>
        <w:numPr>
          <w:ilvl w:val="0"/>
          <w:numId w:val="35"/>
        </w:numPr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 xml:space="preserve"> DXA and antiresorptive initiation, </w:t>
      </w:r>
      <w:r w:rsidRPr="32B78D9B" w:rsidR="37ED0E0B">
        <w:rPr>
          <w:rFonts w:ascii="Calibri" w:hAnsi="Calibri" w:eastAsia="Calibri" w:cs="Calibri"/>
          <w:sz w:val="22"/>
          <w:szCs w:val="22"/>
        </w:rPr>
        <w:t>f/u osteopenia labs</w:t>
      </w:r>
    </w:p>
    <w:p w:rsidR="4E28B039" w:rsidP="32B78D9B" w:rsidRDefault="4E28B039" w14:paraId="7644DB24" w14:textId="57852C88">
      <w:pPr>
        <w:pStyle w:val="ListParagraph"/>
        <w:numPr>
          <w:ilvl w:val="0"/>
          <w:numId w:val="35"/>
        </w:numPr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endocrine and anticoagulation clinic appointments</w:t>
      </w:r>
    </w:p>
    <w:p w:rsidR="4E28B039" w:rsidP="32B78D9B" w:rsidRDefault="4E28B039" w14:paraId="1C163174" w14:textId="1C78DC99">
      <w:pPr>
        <w:pStyle w:val="ListParagraph"/>
        <w:numPr>
          <w:ilvl w:val="0"/>
          <w:numId w:val="35"/>
        </w:numPr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fall precautions and home safety modification</w:t>
      </w:r>
    </w:p>
    <w:p w:rsidR="4E28B039" w:rsidP="32B78D9B" w:rsidRDefault="4E28B039" w14:paraId="3E587A2A" w14:textId="76F8B76D">
      <w:pPr>
        <w:pStyle w:val="ListParagraph"/>
        <w:numPr>
          <w:ilvl w:val="0"/>
          <w:numId w:val="35"/>
        </w:numPr>
        <w:spacing w:after="0" w:afterAutospacing="off"/>
        <w:rPr>
          <w:rFonts w:ascii="Calibri" w:hAnsi="Calibri" w:eastAsia="Calibri" w:cs="Calibri"/>
          <w:sz w:val="22"/>
          <w:szCs w:val="22"/>
        </w:rPr>
      </w:pPr>
      <w:r w:rsidRPr="32B78D9B" w:rsidR="4E28B039">
        <w:rPr>
          <w:rFonts w:ascii="Calibri" w:hAnsi="Calibri" w:eastAsia="Calibri" w:cs="Calibri"/>
          <w:sz w:val="22"/>
          <w:szCs w:val="22"/>
        </w:rPr>
        <w:t>opioid taper plan</w:t>
      </w:r>
    </w:p>
    <w:p w:rsidR="32B78D9B" w:rsidRDefault="32B78D9B" w14:paraId="001749EF" w14:textId="4DF2658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5e7d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ce38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ac2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0bf373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587eb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594d4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977f50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5ca1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4bc84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565956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8165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32d3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4bc36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ff64e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ff824c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33eb4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f9859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ed7aa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6825f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c11f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0454d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a39ef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dcd9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ab9fa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6c758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a37da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86d7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bfefe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ad269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9bfe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9b539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31cc7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effbd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38dbb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dfcd3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ACEA32"/>
    <w:rsid w:val="034367EA"/>
    <w:rsid w:val="045B1434"/>
    <w:rsid w:val="04B28F63"/>
    <w:rsid w:val="05FF60B0"/>
    <w:rsid w:val="0746E0EF"/>
    <w:rsid w:val="0794BD2F"/>
    <w:rsid w:val="0A52C16D"/>
    <w:rsid w:val="143BF592"/>
    <w:rsid w:val="1485AF6D"/>
    <w:rsid w:val="151B3A5B"/>
    <w:rsid w:val="1E3B6237"/>
    <w:rsid w:val="25B5F887"/>
    <w:rsid w:val="25DFBB73"/>
    <w:rsid w:val="27FFCC15"/>
    <w:rsid w:val="2B8A90E6"/>
    <w:rsid w:val="2D3C344A"/>
    <w:rsid w:val="30C7CFBF"/>
    <w:rsid w:val="32840622"/>
    <w:rsid w:val="32B78D9B"/>
    <w:rsid w:val="33AC237F"/>
    <w:rsid w:val="35C27F25"/>
    <w:rsid w:val="37E4A6A3"/>
    <w:rsid w:val="37ED0E0B"/>
    <w:rsid w:val="38C5DF02"/>
    <w:rsid w:val="3922CA0F"/>
    <w:rsid w:val="3D39170C"/>
    <w:rsid w:val="3DC1F837"/>
    <w:rsid w:val="3E87B361"/>
    <w:rsid w:val="45E1D4BA"/>
    <w:rsid w:val="47CE86DF"/>
    <w:rsid w:val="48993E57"/>
    <w:rsid w:val="48B900C2"/>
    <w:rsid w:val="48BEA54B"/>
    <w:rsid w:val="497032F5"/>
    <w:rsid w:val="4B1401E7"/>
    <w:rsid w:val="4D113A3D"/>
    <w:rsid w:val="4E28B039"/>
    <w:rsid w:val="4EDFEF25"/>
    <w:rsid w:val="508D0A51"/>
    <w:rsid w:val="5122EA80"/>
    <w:rsid w:val="5204D4CF"/>
    <w:rsid w:val="558DA956"/>
    <w:rsid w:val="5B0FEAC5"/>
    <w:rsid w:val="60C6CE2A"/>
    <w:rsid w:val="6131EBF2"/>
    <w:rsid w:val="6345BCD4"/>
    <w:rsid w:val="67E162B8"/>
    <w:rsid w:val="681F406F"/>
    <w:rsid w:val="6BF5074A"/>
    <w:rsid w:val="6F20BE21"/>
    <w:rsid w:val="722A48A2"/>
    <w:rsid w:val="728CAD80"/>
    <w:rsid w:val="74ACEA32"/>
    <w:rsid w:val="75BE7AD9"/>
    <w:rsid w:val="7977FFD5"/>
    <w:rsid w:val="7AE648F6"/>
    <w:rsid w:val="7E39C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280A"/>
  <w15:chartTrackingRefBased/>
  <w15:docId w15:val="{5FBF99FD-372E-478D-9B5B-F66DC5102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E4A6A3"/>
    <w:pPr>
      <w:spacing/>
      <w:ind w:left="720"/>
      <w:contextualSpacing/>
    </w:pPr>
  </w:style>
  <w:style w:type="character" w:styleId="normaltextrun" w:customStyle="true">
    <w:uiPriority w:val="1"/>
    <w:name w:val="normaltextrun"/>
    <w:basedOn w:val="DefaultParagraphFont"/>
    <w:rsid w:val="37E4A6A3"/>
    <w:rPr>
      <w:rFonts w:ascii="Aptos" w:hAnsi="Aptos" w:eastAsia="Aptos" w:cs="" w:asciiTheme="minorAscii" w:hAnsiTheme="minorAscii" w:eastAsiaTheme="minorAscii" w:cstheme="minorBidi"/>
      <w:sz w:val="24"/>
      <w:szCs w:val="24"/>
    </w:rPr>
  </w:style>
  <w:style w:type="character" w:styleId="eop" w:customStyle="true">
    <w:uiPriority w:val="1"/>
    <w:name w:val="eop"/>
    <w:basedOn w:val="DefaultParagraphFont"/>
    <w:rsid w:val="37E4A6A3"/>
    <w:rPr>
      <w:rFonts w:ascii="Aptos" w:hAnsi="Aptos" w:eastAsia="Aptos" w:cs="" w:asciiTheme="minorAscii" w:hAnsiTheme="minorAscii" w:eastAsiaTheme="minorAsci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cfd26f048b46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0FD7F9F68FE408D4FB527D7F71E15" ma:contentTypeVersion="16" ma:contentTypeDescription="Create a new document." ma:contentTypeScope="" ma:versionID="12f8d8e4855ed047fbefc754d027736a">
  <xsd:schema xmlns:xsd="http://www.w3.org/2001/XMLSchema" xmlns:xs="http://www.w3.org/2001/XMLSchema" xmlns:p="http://schemas.microsoft.com/office/2006/metadata/properties" xmlns:ns2="da233e4e-2adc-427d-9e19-a56559ecf541" xmlns:ns3="df02775b-64ea-4cc3-ac81-1ae62a154ac2" targetNamespace="http://schemas.microsoft.com/office/2006/metadata/properties" ma:root="true" ma:fieldsID="244a64b3600a8e957afa7e9e1a14172a" ns2:_="" ns3:_="">
    <xsd:import namespace="da233e4e-2adc-427d-9e19-a56559ecf541"/>
    <xsd:import namespace="df02775b-64ea-4cc3-ac81-1ae62a154a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33e4e-2adc-427d-9e19-a56559ecf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0b01ed7-e4db-412d-8861-ad0959cfa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2775b-64ea-4cc3-ac81-1ae62a154a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2b70a6e-bf7c-4cf8-9f4b-0a3afdf6d647}" ma:internalName="TaxCatchAll" ma:showField="CatchAllData" ma:web="df02775b-64ea-4cc3-ac81-1ae62a154a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2775b-64ea-4cc3-ac81-1ae62a154ac2" xsi:nil="true"/>
    <lcf76f155ced4ddcb4097134ff3c332f xmlns="da233e4e-2adc-427d-9e19-a56559ecf5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7AD957-694A-4AFF-8BA2-BEBD212E2936}"/>
</file>

<file path=customXml/itemProps2.xml><?xml version="1.0" encoding="utf-8"?>
<ds:datastoreItem xmlns:ds="http://schemas.openxmlformats.org/officeDocument/2006/customXml" ds:itemID="{D187D206-C775-4CA9-941A-D36FA14B8187}"/>
</file>

<file path=customXml/itemProps3.xml><?xml version="1.0" encoding="utf-8"?>
<ds:datastoreItem xmlns:ds="http://schemas.openxmlformats.org/officeDocument/2006/customXml" ds:itemID="{9212D629-6D2E-45E7-9CFD-DD3FB44077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Sugerman, Alexander</dc:creator>
  <keywords/>
  <dc:description/>
  <lastModifiedBy>Sugerman, Alexander</lastModifiedBy>
  <dcterms:created xsi:type="dcterms:W3CDTF">2026-07-27T19:06:37.0000000Z</dcterms:created>
  <dcterms:modified xsi:type="dcterms:W3CDTF">2026-07-31T14:36:41.2148386Z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0x0101003500FD7F9F68FE408D4FB527D7F71E15</vt:lpwstr>
  </property>
  <property fmtid="{D5CDD505-2E9C-101B-9397-08002B2CF9AE}" pid="3" name="MediaServiceImageTags">
    <vt:lpwstr/>
  </property>
</Properties>
</file>