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5="http://schemas.microsoft.com/office/word/2012/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5 w14 wp14">
  <w:body>
    <w:p>
      <w:pPr>
        <w:pStyle w:val="Title"/>
      </w:pPr>
      <w:r>
        <w:rPr>
          <w:rFonts w:ascii="Calibri" w:hAnsi="Calibri"/>
          <w:color w:val="1F3A5F"/>
        </w:rPr>
        <w:t>CliniProof Synthea-grounded matched cases</w:t>
      </w:r>
    </w:p>
    <w:p>
      <w:pPr>
        <w:spacing w:after="120"/>
      </w:pPr>
      <w:r>
        <w:rPr>
          <w:rFonts w:ascii="Calibri" w:hAnsi="Calibri" w:cs="Calibri"/>
          <w:b w:val="0"/>
          <w:sz w:val="22"/>
        </w:rPr>
        <w:t>Cohort: four Synthea-grounded cases matched to the revised overlap cases VAL-801, VAL-805, VAL-809, and VAL-813.</w:t>
      </w:r>
    </w:p>
    <w:p>
      <w:pPr>
        <w:spacing w:after="120"/>
      </w:pPr>
      <w:r>
        <w:rPr>
          <w:rFonts w:ascii="Calibri" w:hAnsi="Calibri" w:cs="Calibri"/>
          <w:b w:val="0"/>
          <w:sz w:val="22"/>
        </w:rPr>
        <w:t>Cases: G2-001, G2-005, G2-009, and G2-013.</w:t>
      </w:r>
    </w:p>
    <w:p>
      <w:pPr>
        <w:spacing w:after="120"/>
      </w:pPr>
      <w:r>
        <w:rPr>
          <w:rFonts w:ascii="Calibri" w:hAnsi="Calibri" w:cs="Calibri"/>
          <w:b w:val="0"/>
          <w:sz w:val="22"/>
        </w:rPr>
        <w:t>Each chart is an independent hospitalization. It is not a copy of the Generation 1 case.</w:t>
      </w:r>
    </w:p>
    <w:p>
      <w:pPr>
        <w:spacing w:after="120"/>
      </w:pPr>
      <w:r>
        <w:rPr>
          <w:rFonts w:ascii="Calibri" w:hAnsi="Calibri" w:cs="Calibri"/>
          <w:b w:val="0"/>
          <w:sz w:val="22"/>
        </w:rPr>
        <w:t>These cases are clean. There is no planted medication error.</w:t>
      </w:r>
    </w:p>
    <w:p>
      <w:pPr>
        <w:spacing w:after="120"/>
      </w:pPr>
      <w:r>
        <w:rPr>
          <w:rFonts w:ascii="Calibri" w:hAnsi="Calibri" w:cs="Calibri"/>
          <w:b w:val="0"/>
          <w:sz w:val="22"/>
        </w:rPr>
        <w:t>They have passed automated checks. They are not clinically validated. Clinician review is required.</w:t>
      </w:r>
    </w:p>
    <w:p>
      <w:pPr>
        <w:spacing w:after="120"/>
      </w:pPr>
      <w:r>
        <w:rPr>
          <w:rFonts w:ascii="Calibri" w:hAnsi="Calibri" w:cs="Calibri"/>
          <w:b w:val="0"/>
          <w:sz w:val="22"/>
        </w:rPr>
        <w:t>No superiority of either generation method has been established.</w:t>
      </w:r>
    </w:p>
    <w:p>
      <w:pPr>
        <w:spacing w:after="120"/>
      </w:pPr>
      <w:r>
        <w:rPr>
          <w:rFonts w:ascii="Calibri" w:hAnsi="Calibri" w:cs="Calibri"/>
          <w:b w:val="0"/>
          <w:sz w:val="22"/>
        </w:rPr>
        <w:t>Status: pending clinician review. These cases are not clinically validated.</w:t>
      </w:r>
    </w:p>
    <w:p>
      <w:pPr>
        <w:spacing w:after="120"/>
      </w:pPr>
      <w:r>
        <w:rPr>
          <w:rFonts w:ascii="Calibri" w:hAnsi="Calibri" w:cs="Calibri"/>
          <w:b w:val="0"/>
          <w:sz w:val="22"/>
        </w:rPr>
        <w:t>Purpose: Clinical validation of synthetic medication-reconciliation and transition-of-care assessment cases.</w:t>
      </w:r>
    </w:p>
    <w:p>
      <w:pPr>
        <w:spacing w:after="120"/>
      </w:pPr>
      <w:r>
        <w:rPr>
          <w:rFonts w:ascii="Calibri" w:hAnsi="Calibri" w:cs="Calibri"/>
          <w:b w:val="0"/>
          <w:sz w:val="22"/>
        </w:rPr>
        <w:t xml:space="preserve">Reviewer code: </w:t>
      </w:r>
      <w:sdt>
        <w:sdtPr>
          <w:rPr>
            <w:rFonts w:ascii="Calibri" w:hAnsi="Calibri" w:cs="Calibri"/>
            <w:sz w:val="22"/>
            <w:szCs w:val="22"/>
            <w:u w:val="single"/>
          </w:rPr>
          <w:alias w:val="Reviewer code"/>
          <w:tag w:val="reviewer-code"/>
          <w:id w:val="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Review date: </w:t>
      </w:r>
      <w:sdt>
        <w:sdtPr>
          <w:rPr>
            <w:rFonts w:ascii="Calibri" w:hAnsi="Calibri" w:cs="Calibri"/>
            <w:sz w:val="22"/>
            <w:szCs w:val="22"/>
            <w:u w:val="single"/>
          </w:rPr>
          <w:alias w:val="Review date"/>
          <w:tag w:val="review-date"/>
          <w:id w:val="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Please select one response per item unless otherwise indicated.</w:t>
      </w:r>
    </w:p>
    <w:p>
      <w:pPr>
        <w:spacing w:after="120"/>
      </w:pPr>
      <w:r>
        <w:rPr>
          <w:rFonts w:ascii="Calibri" w:hAnsi="Calibri" w:cs="Calibri"/>
          <w:b w:val="0"/>
          <w:sz w:val="22"/>
        </w:rPr>
        <w:t>These are clinician-validation documents. They contain case-specific validation references that will not be shown to residents during the later assessment study.</w:t>
      </w:r>
    </w:p>
    <w:p>
      <w:pPr>
        <w:pStyle w:val="Heading1"/>
      </w:pPr>
      <w:r>
        <w:rPr>
          <w:rFonts w:ascii="Calibri" w:hAnsi="Calibri"/>
          <w:color w:val="1F3A5F"/>
        </w:rPr>
        <w:t>How to review each case</w:t>
      </w:r>
    </w:p>
    <w:p>
      <w:pPr>
        <w:spacing w:after="120"/>
      </w:pPr>
      <w:r>
        <w:rPr>
          <w:rFonts w:ascii="Calibri" w:hAnsi="Calibri" w:cs="Calibri"/>
          <w:b w:val="0"/>
          <w:sz w:val="22"/>
        </w:rPr>
        <w:t>Step 1. Read the clinical case first.</w:t>
      </w:r>
    </w:p>
    <w:p>
      <w:pPr>
        <w:spacing w:after="120"/>
      </w:pPr>
      <w:r>
        <w:rPr>
          <w:rFonts w:ascii="Calibri" w:hAnsi="Calibri" w:cs="Calibri"/>
          <w:b w:val="0"/>
          <w:sz w:val="22"/>
        </w:rPr>
        <w:t>Step 2. Complete C1 — Clinical plausibility before using the case-specific validation reference.</w:t>
      </w:r>
    </w:p>
    <w:p>
      <w:pPr>
        <w:spacing w:after="120"/>
      </w:pPr>
      <w:r>
        <w:rPr>
          <w:rFonts w:ascii="Calibri" w:hAnsi="Calibri" w:cs="Calibri"/>
          <w:b w:val="0"/>
          <w:sz w:val="22"/>
        </w:rPr>
        <w:t>Step 3. Read the Validation Reference immediately following C1.</w:t>
      </w:r>
    </w:p>
    <w:p>
      <w:pPr>
        <w:spacing w:after="120"/>
      </w:pPr>
      <w:r>
        <w:rPr>
          <w:rFonts w:ascii="Calibri" w:hAnsi="Calibri" w:cs="Calibri"/>
          <w:b w:val="0"/>
          <w:sz w:val="22"/>
        </w:rPr>
        <w:t>Step 4. Complete C2 through C5.</w:t>
      </w:r>
    </w:p>
    <w:p>
      <w:pPr>
        <w:spacing w:after="120"/>
      </w:pPr>
      <w:r>
        <w:rPr>
          <w:rFonts w:ascii="Calibri" w:hAnsi="Calibri" w:cs="Calibri"/>
          <w:b w:val="0"/>
          <w:sz w:val="22"/>
        </w:rPr>
        <w:t>Step 5. Select Accept, Revise, or Exclude.</w:t>
      </w:r>
    </w:p>
    <w:p>
      <w:pPr>
        <w:spacing w:after="120"/>
      </w:pPr>
      <w:r>
        <w:rPr>
          <w:rFonts w:ascii="Calibri" w:hAnsi="Calibri" w:cs="Calibri"/>
          <w:b w:val="0"/>
          <w:sz w:val="22"/>
        </w:rPr>
        <w:t>Step 6. Add comments where required or useful.</w:t>
      </w:r>
    </w:p>
    <w:p>
      <w:pPr>
        <w:spacing w:after="120"/>
      </w:pPr>
      <w:r>
        <w:rPr>
          <w:rFonts w:ascii="Calibri" w:hAnsi="Calibri" w:cs="Calibri"/>
          <w:b w:val="0"/>
          <w:sz w:val="22"/>
        </w:rPr>
        <w:t>C1 should reflect your impression of the patient-facing case. Do not use the validation reference to decide C1.</w:t>
      </w:r>
    </w:p>
    <w:p>
      <w:pPr>
        <w:pStyle w:val="Heading2"/>
      </w:pPr>
      <w:r>
        <w:rPr>
          <w:rFonts w:ascii="Calibri" w:hAnsi="Calibri"/>
          <w:color w:val="1F3A5F"/>
        </w:rPr>
        <w:t>Clean control</w:t>
      </w:r>
    </w:p>
    <w:p>
      <w:pPr>
        <w:spacing w:after="120"/>
      </w:pPr>
      <w:r>
        <w:rPr>
          <w:rFonts w:ascii="Calibri" w:hAnsi="Calibri" w:cs="Calibri"/>
          <w:b w:val="0"/>
          <w:sz w:val="22"/>
        </w:rPr>
        <w:t>A clean-control case contains no deliberately introduced medication-reconciliation or transition-of-care discrepancy. Still look actively for unintended clinical problems.</w:t>
      </w:r>
    </w:p>
    <w:p>
      <w:pPr>
        <w:spacing w:after="120"/>
      </w:pPr>
      <w:r>
        <w:rPr>
          <w:rFonts w:ascii="Calibri" w:hAnsi="Calibri" w:cs="Calibri"/>
          <w:b w:val="0"/>
          <w:sz w:val="22"/>
        </w:rPr>
        <w:t>Every case in this book is a clean case. C2 uses the clean-case question. There is no planted medication-reconciliation discrepancy.</w:t>
      </w:r>
    </w:p>
    <w:p>
      <w:pPr>
        <w:pStyle w:val="Heading1"/>
      </w:pPr>
      <w:r>
        <w:rPr>
          <w:rFonts w:ascii="Calibri" w:hAnsi="Calibri"/>
          <w:color w:val="1F3A5F"/>
        </w:rPr>
        <w:t>Saving your completed review</w:t>
      </w:r>
    </w:p>
    <w:p>
      <w:pPr>
        <w:spacing w:after="120"/>
      </w:pPr>
      <w:r>
        <w:rPr>
          <w:rFonts w:ascii="Calibri" w:hAnsi="Calibri" w:cs="Calibri"/>
          <w:b w:val="0"/>
          <w:sz w:val="22"/>
        </w:rPr>
        <w:t>Please save a separate copy of this document before entering your ratings. Do not overwrite the original review file.</w:t>
      </w:r>
    </w:p>
    <w:p>
      <w:pPr>
        <w:spacing w:after="120"/>
      </w:pPr>
      <w:r>
        <w:rPr>
          <w:rFonts w:ascii="Calibri" w:hAnsi="Calibri" w:cs="Calibri"/>
          <w:b w:val="0"/>
          <w:sz w:val="22"/>
        </w:rPr>
        <w:t>Filename: CliniProof_Synthea_Matched_Overlap4_[ReviewerCode]_[YYYY-MM-DD].docx</w:t>
      </w:r>
    </w:p>
    <w:p>
      <w:pPr>
        <w:spacing w:after="120"/>
      </w:pPr>
      <w:r>
        <w:rPr>
          <w:rFonts w:ascii="Calibri" w:hAnsi="Calibri" w:cs="Calibri"/>
          <w:b w:val="0"/>
          <w:sz w:val="22"/>
        </w:rPr>
        <w:t>Use the reviewer code assigned by the study team. Do not put a full name in the filename.</w:t>
      </w:r>
    </w:p>
    <w:p>
      <w:pPr>
        <w:pStyle w:val="Heading1"/>
      </w:pPr>
      <w:r>
        <w:rPr>
          <w:rFonts w:ascii="Calibri" w:hAnsi="Calibri"/>
          <w:color w:val="1F3A5F"/>
        </w:rPr>
        <w:t>Returning your completed validation</w:t>
      </w:r>
    </w:p>
    <w:p>
      <w:pPr>
        <w:spacing w:after="120"/>
      </w:pPr>
      <w:r>
        <w:rPr>
          <w:rFonts w:ascii="Calibri" w:hAnsi="Calibri" w:cs="Calibri"/>
          <w:b w:val="0"/>
          <w:sz w:val="22"/>
        </w:rPr>
        <w:t>Return the completed Word document to the study investigator using the agreed study communication channel.</w:t>
      </w:r>
    </w:p>
    <w:p>
      <w:pPr>
        <w:spacing w:after="120"/>
      </w:pPr>
      <w:r>
        <w:rPr>
          <w:rFonts w:ascii="Calibri" w:hAnsi="Calibri" w:cs="Calibri"/>
          <w:b w:val="0"/>
          <w:sz w:val="22"/>
        </w:rPr>
        <w:t>Reviewers do not need to edit GitHub, open a pull request, or upload their completed validation to the public repository.</w:t>
      </w:r>
    </w:p>
    <w:p>
      <w:pPr>
        <w:spacing w:after="120"/>
      </w:pPr>
      <w:r>
        <w:rPr>
          <w:rFonts w:ascii="Calibri" w:hAnsi="Calibri" w:cs="Calibri"/>
          <w:b w:val="0"/>
          <w:sz w:val="22"/>
        </w:rPr>
        <w:t>Cases in this document:</w:t>
      </w:r>
    </w:p>
    <w:p>
      <w:pPr>
        <w:spacing w:after="120"/>
      </w:pPr>
      <w:r>
        <w:rPr>
          <w:rFonts w:ascii="Calibri" w:hAnsi="Calibri" w:cs="Calibri"/>
          <w:b w:val="0"/>
          <w:sz w:val="22"/>
        </w:rPr>
        <w:t>G2-001, G2-005, G2-009, G2-013</w:t>
      </w:r>
    </w:p>
    <w:p>
      <w:pPr>
        <w:sectPr>
          <w:footerReference w:type="default" r:id="rId9"/>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G2-001</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71</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87.7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internal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acute confusion with a urine infection found during the work-up</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71-year-old Male with acute confusion with a urine infection found during the work-up</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Acute confusion and dysuria</w:t>
      </w:r>
    </w:p>
    <w:p>
      <w:pPr>
        <w:pStyle w:val="ListBullet"/>
        <w:spacing w:after="40" w:before="0"/>
      </w:pPr>
      <w:r>
        <w:rPr>
          <w:rFonts w:ascii="Calibri" w:hAnsi="Calibri" w:cs="Calibri"/>
          <w:b/>
          <w:sz w:val="22"/>
        </w:rPr>
        <w:t xml:space="preserve">Symptoms: </w:t>
      </w:r>
      <w:r>
        <w:rPr>
          <w:rFonts w:ascii="Calibri" w:hAnsi="Calibri" w:cs="Calibri"/>
          <w:b w:val="0"/>
          <w:sz w:val="22"/>
        </w:rPr>
        <w:t>confusion, dysuria</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the acute change reversed after the precipitant was treated</w:t>
      </w:r>
    </w:p>
    <w:p>
      <w:pPr>
        <w:pStyle w:val="Heading3"/>
      </w:pPr>
      <w:r>
        <w:rPr>
          <w:rFonts w:ascii="Calibri" w:hAnsi="Calibri"/>
          <w:color w:val="1F3A5F"/>
        </w:rPr>
        <w:t>History of present illness</w:t>
      </w:r>
    </w:p>
    <w:p>
      <w:pPr>
        <w:spacing w:after="120"/>
      </w:pPr>
      <w:r>
        <w:rPr>
          <w:rFonts w:ascii="Calibri" w:hAnsi="Calibri" w:cs="Calibri"/>
          <w:b w:val="0"/>
          <w:sz w:val="22"/>
        </w:rPr>
        <w:t>The longitudinal record does not list dementia. Before this illness the patient handled daily activities and recognized family. Outpatient products in the longitudinal extract: 24 HR metoprolol succinate 100 MG Extended Release Oral Tablet; aspirin 81 MG Oral Tablet; metoprolol tartrate 25 MG Oral Tablet; Ibuprofen 400 MG Oral Tablet [Ibu]; lisinopril 10 MG Oral Tablet. The patient was newly disoriented to place. The caregiver said the patient had been conversant the day before. Dysuria and frequency began the same day as the confusion. No antibiotic had been started at home. Temperature was 37.8 degrees Celsius. The patient was inattentive and suprapubic tenderness was present.</w:t>
      </w:r>
    </w:p>
    <w:p>
      <w:pPr>
        <w:pStyle w:val="Heading3"/>
      </w:pPr>
      <w:r>
        <w:rPr>
          <w:rFonts w:ascii="Calibri" w:hAnsi="Calibri"/>
          <w:color w:val="1F3A5F"/>
        </w:rPr>
        <w:t>Admission note</w:t>
      </w:r>
    </w:p>
    <w:p>
      <w:pPr>
        <w:spacing w:after="120"/>
      </w:pPr>
      <w:r>
        <w:rPr>
          <w:rFonts w:ascii="Calibri" w:hAnsi="Calibri" w:cs="Calibri"/>
          <w:b w:val="0"/>
          <w:sz w:val="22"/>
        </w:rPr>
        <w:t>The longitudinal record does not list dementia. Before this illness the patient handled daily activities and recognized family. Outpatient products in the longitudinal extract: 24 HR metoprolol succinate 100 MG Extended Release Oral Tablet; aspirin 81 MG Oral Tablet; metoprolol tartrate 25 MG Oral Tablet; Ibuprofen 400 MG Oral Tablet [Ibu]; lisinopril 10 MG Oral Tablet. The patient was newly disoriented to place. The caregiver said the patient had been conversant the day before. Dysuria and frequency began the same day as the confusion. No antibiotic had been started at home. Temperature was 37.8 degrees Celsius. The patient was inattentive and suprapubic tenderness was present.</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Osteoarthritis of knee (disorder), Essential hypertension (disorder)</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Osteoarthritis of knee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hypertension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Acute delirium during a urinary tract infection</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Urinary tract infection, site not specified</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Acute kidney failure, unspecified</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Urinalysis showed pyuria. A urine culture later grew Escherichia coli. Blood cultures were drawn and showed no growth. The chest radiograph was clear. Delirium was attributed to the urine infection only after the urinalysis and culture. The infection was not a label on arrival. A five-day cephalexin course was completed in the hospital after the culture result. Intravenous fluid was given while intake was poor. Creatinine went from 1.6 mg/dL to 1.1 mg/dL, with a prior value of 1.0. Dysuria resolved and the caregiver confirmed the usual mental status. Cephalexin was a completed course. Outpatient medicines that the pharmacy confirmed were separated from any medicine stopped for a clinical reason. Attention and intake had returned to the caregiver's account of baseline, and the outpatient medication history was no longer incomplete. The discharge medication list itself was still unsigned. Primary care follow-up and a chemistry panel were arranged.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37.8</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138/78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1.6</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4.2</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141</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Leukocytes [#/volume] in Blood by Automated count</w:t>
            </w:r>
          </w:p>
        </w:tc>
        <w:tc>
          <w:tcPr>
            <w:tcW w:type="dxa" w:w="1872"/>
          </w:tcPr>
          <w:p>
            <w:pPr>
              <w:spacing w:after="20" w:before="20"/>
            </w:pPr>
            <w:r>
              <w:rPr>
                <w:rFonts w:ascii="Calibri" w:hAnsi="Calibri" w:cs="Calibri"/>
                <w:b w:val="0"/>
                <w:sz w:val="20"/>
              </w:rPr>
              <w:t>13.4</w:t>
            </w:r>
          </w:p>
        </w:tc>
        <w:tc>
          <w:tcPr>
            <w:tcW w:type="dxa" w:w="2160"/>
          </w:tcPr>
          <w:p>
            <w:pPr>
              <w:spacing w:after="20" w:before="20"/>
            </w:pPr>
            <w:r>
              <w:rPr>
                <w:rFonts w:ascii="Calibri" w:hAnsi="Calibri" w:cs="Calibri"/>
                <w:b w:val="0"/>
                <w:sz w:val="20"/>
              </w:rPr>
              <w:t>10*3/uL</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128/74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4.1</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139</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Leukocytes [#/volume] in Blood by Automated count</w:t>
            </w:r>
          </w:p>
        </w:tc>
        <w:tc>
          <w:tcPr>
            <w:tcW w:type="dxa" w:w="1872"/>
          </w:tcPr>
          <w:p>
            <w:pPr>
              <w:spacing w:after="20" w:before="20"/>
            </w:pPr>
            <w:r>
              <w:rPr>
                <w:rFonts w:ascii="Calibri" w:hAnsi="Calibri" w:cs="Calibri"/>
                <w:b w:val="0"/>
                <w:sz w:val="20"/>
              </w:rPr>
              <w:t>8.1</w:t>
            </w:r>
          </w:p>
        </w:tc>
        <w:tc>
          <w:tcPr>
            <w:tcW w:type="dxa" w:w="2160"/>
          </w:tcPr>
          <w:p>
            <w:pPr>
              <w:spacing w:after="20" w:before="20"/>
            </w:pPr>
            <w:r>
              <w:rPr>
                <w:rFonts w:ascii="Calibri" w:hAnsi="Calibri" w:cs="Calibri"/>
                <w:b w:val="0"/>
                <w:sz w:val="20"/>
              </w:rPr>
              <w:t>10*3/uL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ibuprofen</w:t>
            </w:r>
          </w:p>
        </w:tc>
        <w:tc>
          <w:tcPr>
            <w:tcW w:type="dxa" w:w="1224"/>
          </w:tcPr>
          <w:p>
            <w:pPr>
              <w:spacing w:after="20" w:before="20"/>
            </w:pPr>
            <w:r>
              <w:rPr>
                <w:rFonts w:ascii="Calibri" w:hAnsi="Calibri" w:cs="Calibri"/>
                <w:b w:val="0"/>
                <w:sz w:val="20"/>
              </w:rPr>
              <w:t>400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8 hours as needed</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lisinopril</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cephalexin</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completed_inpatient_course; Indication: cystitis after the urine culture grew Escherichia coli; Note: The finite course was completed. It is not an outpatient maintenance medicine.</w:t>
            </w:r>
          </w:p>
        </w:tc>
      </w:tr>
      <w:tr>
        <w:trPr>
          <w:cantSplit/>
        </w:trPr>
        <w:tc>
          <w:tcPr>
            <w:tcW w:type="dxa" w:w="3384"/>
          </w:tcPr>
          <w:p>
            <w:pPr>
              <w:spacing w:after="20" w:before="20"/>
            </w:pPr>
            <w:r>
              <w:rPr>
                <w:rFonts w:ascii="Calibri" w:hAnsi="Calibri" w:cs="Calibri"/>
                <w:b w:val="0"/>
                <w:sz w:val="20"/>
              </w:rPr>
              <w:t>ibuprofen</w:t>
            </w:r>
          </w:p>
        </w:tc>
        <w:tc>
          <w:tcPr>
            <w:tcW w:type="dxa" w:w="1224"/>
          </w:tcPr>
          <w:p>
            <w:pPr>
              <w:spacing w:after="20" w:before="20"/>
            </w:pPr>
            <w:r>
              <w:rPr>
                <w:rFonts w:ascii="Calibri" w:hAnsi="Calibri" w:cs="Calibri"/>
                <w:b w:val="0"/>
                <w:sz w:val="20"/>
              </w:rPr>
              <w:t>400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8 hours as needed</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lisinopril</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pharmacy</w:t>
      </w:r>
    </w:p>
    <w:p>
      <w:pPr>
        <w:pStyle w:val="ListBullet"/>
        <w:spacing w:after="40" w:before="0"/>
      </w:pPr>
      <w:r>
        <w:rPr>
          <w:rFonts w:ascii="Calibri" w:hAnsi="Calibri" w:cs="Calibri"/>
          <w:b/>
          <w:sz w:val="22"/>
        </w:rPr>
        <w:t xml:space="preserve">Reconciliation status: </w:t>
      </w:r>
      <w:r>
        <w:rPr>
          <w:rFonts w:ascii="Calibri" w:hAnsi="Calibri" w:cs="Calibri"/>
          <w:b w:val="0"/>
          <w:sz w:val="22"/>
        </w:rPr>
        <w:t>confirmed after initial uncertainty</w:t>
      </w:r>
    </w:p>
    <w:p>
      <w:pPr>
        <w:pStyle w:val="Heading3"/>
      </w:pPr>
      <w:r>
        <w:rPr>
          <w:rFonts w:ascii="Calibri" w:hAnsi="Calibri"/>
          <w:color w:val="1F3A5F"/>
        </w:rPr>
        <w:t>Reconciliation notes</w:t>
      </w:r>
    </w:p>
    <w:p>
      <w:pPr>
        <w:spacing w:after="120"/>
      </w:pPr>
      <w:r>
        <w:rPr>
          <w:rFonts w:ascii="Calibri" w:hAnsi="Calibri" w:cs="Calibri"/>
          <w:b w:val="0"/>
          <w:sz w:val="22"/>
        </w:rPr>
        <w:t>Not recalled on arrival. The pharmacy dispense record confirmed ongoing fills.</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chemistry panel</w:t>
            </w:r>
          </w:p>
        </w:tc>
        <w:tc>
          <w:tcPr>
            <w:tcW w:type="dxa" w:w="1958"/>
          </w:tcPr>
          <w:p>
            <w:pPr>
              <w:spacing w:after="20" w:before="20"/>
            </w:pPr>
            <w:r>
              <w:rPr>
                <w:rFonts w:ascii="Calibri" w:hAnsi="Calibri" w:cs="Calibri"/>
                <w:b w:val="0"/>
                <w:sz w:val="20"/>
              </w:rPr>
              <w:t>within 7 days</w:t>
            </w:r>
          </w:p>
        </w:tc>
        <w:tc>
          <w:tcPr>
            <w:tcW w:type="dxa" w:w="1958"/>
          </w:tcPr>
          <w:p>
            <w:pPr>
              <w:spacing w:after="20" w:before="20"/>
            </w:pPr>
            <w:r>
              <w:rPr>
                <w:rFonts w:ascii="Calibri" w:hAnsi="Calibri" w:cs="Calibri"/>
                <w:b w:val="0"/>
                <w:sz w:val="20"/>
              </w:rPr>
              <w:t>creatinine and electrolytes</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Primary care</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3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cephalexin</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500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cystitis after the urine culture grew Escherichia coli</w:t>
            </w:r>
          </w:p>
        </w:tc>
        <w:tc>
          <w:tcPr>
            <w:tcW w:type="dxa" w:w="1728"/>
          </w:tcPr>
          <w:p>
            <w:pPr>
              <w:spacing w:after="20" w:before="20"/>
            </w:pPr>
            <w:r>
              <w:rPr>
                <w:rFonts w:ascii="Calibri" w:hAnsi="Calibri" w:cs="Calibri"/>
                <w:b w:val="0"/>
                <w:sz w:val="20"/>
              </w:rPr>
              <w:t>The course is complete and the precipitant has responded, so the antibiotic stops.</w:t>
            </w:r>
          </w:p>
        </w:tc>
      </w:tr>
      <w:tr>
        <w:trPr>
          <w:cantSplit/>
        </w:trPr>
        <w:tc>
          <w:tcPr>
            <w:tcW w:type="dxa" w:w="1872"/>
          </w:tcPr>
          <w:p>
            <w:pPr>
              <w:spacing w:after="20" w:before="20"/>
            </w:pPr>
            <w:r>
              <w:rPr>
                <w:rFonts w:ascii="Calibri" w:hAnsi="Calibri" w:cs="Calibri"/>
                <w:b w:val="0"/>
                <w:sz w:val="20"/>
              </w:rPr>
              <w:t>metoprolol</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confirmed outpatient indication</w:t>
            </w:r>
          </w:p>
        </w:tc>
        <w:tc>
          <w:tcPr>
            <w:tcW w:type="dxa" w:w="1728"/>
          </w:tcPr>
          <w:p>
            <w:pPr>
              <w:spacing w:after="20" w:before="20"/>
            </w:pPr>
            <w:r>
              <w:rPr>
                <w:rFonts w:ascii="Calibri" w:hAnsi="Calibri" w:cs="Calibri"/>
                <w:b w:val="0"/>
                <w:sz w:val="20"/>
              </w:rPr>
              <w:t>24 HR metoprolol succinate 100 MG Extended Release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aspirin</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81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confirmed outpatient indication</w:t>
            </w:r>
          </w:p>
        </w:tc>
        <w:tc>
          <w:tcPr>
            <w:tcW w:type="dxa" w:w="1728"/>
          </w:tcPr>
          <w:p>
            <w:pPr>
              <w:spacing w:after="20" w:before="20"/>
            </w:pPr>
            <w:r>
              <w:rPr>
                <w:rFonts w:ascii="Calibri" w:hAnsi="Calibri" w:cs="Calibri"/>
                <w:b w:val="0"/>
                <w:sz w:val="20"/>
              </w:rPr>
              <w:t>aspirin 81 MG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metoprolol</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Duplicate beta-blocker salt on the outpatient list</w:t>
            </w:r>
          </w:p>
        </w:tc>
        <w:tc>
          <w:tcPr>
            <w:tcW w:type="dxa" w:w="1728"/>
          </w:tcPr>
          <w:p>
            <w:pPr>
              <w:spacing w:after="20" w:before="20"/>
            </w:pPr>
            <w:r>
              <w:rPr>
                <w:rFonts w:ascii="Calibri" w:hAnsi="Calibri" w:cs="Calibri"/>
                <w:b w:val="0"/>
                <w:sz w:val="20"/>
              </w:rPr>
              <w:t>The longitudinal list contains both metoprolol succinate 100 mg once daily and metoprolol tartrate 25 mg twice daily. Discharging both would be duplicate beta-blocker therapy. The once-daily succinate product continues. The tartrate product stops.</w:t>
            </w:r>
          </w:p>
        </w:tc>
      </w:tr>
      <w:tr>
        <w:trPr>
          <w:cantSplit/>
        </w:trPr>
        <w:tc>
          <w:tcPr>
            <w:tcW w:type="dxa" w:w="1872"/>
          </w:tcPr>
          <w:p>
            <w:pPr>
              <w:spacing w:after="20" w:before="20"/>
            </w:pPr>
            <w:r>
              <w:rPr>
                <w:rFonts w:ascii="Calibri" w:hAnsi="Calibri" w:cs="Calibri"/>
                <w:b w:val="0"/>
                <w:sz w:val="20"/>
              </w:rPr>
              <w:t>ibuprofen</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400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every 8 hours as needed</w:t>
            </w:r>
          </w:p>
        </w:tc>
        <w:tc>
          <w:tcPr>
            <w:tcW w:type="dxa" w:w="1728"/>
          </w:tcPr>
          <w:p>
            <w:pPr>
              <w:spacing w:after="20" w:before="20"/>
            </w:pPr>
            <w:r>
              <w:rPr>
                <w:rFonts w:ascii="Calibri" w:hAnsi="Calibri" w:cs="Calibri"/>
                <w:b w:val="0"/>
                <w:sz w:val="20"/>
              </w:rPr>
              <w:t>As-needed analgesia during a creatinine rise</w:t>
            </w:r>
          </w:p>
        </w:tc>
        <w:tc>
          <w:tcPr>
            <w:tcW w:type="dxa" w:w="1728"/>
          </w:tcPr>
          <w:p>
            <w:pPr>
              <w:spacing w:after="20" w:before="20"/>
            </w:pPr>
            <w:r>
              <w:rPr>
                <w:rFonts w:ascii="Calibri" w:hAnsi="Calibri" w:cs="Calibri"/>
                <w:b w:val="0"/>
                <w:sz w:val="20"/>
              </w:rPr>
              <w:t>Creatinine rose from a prior value of 1.0 mg/dL to 1.6 mg/dL while ibuprofen was on the outpatient list and oral intake was poor, then returned to 1.1 mg/dL. The NSAID is not restarted.</w:t>
            </w:r>
          </w:p>
        </w:tc>
      </w:tr>
      <w:tr>
        <w:trPr>
          <w:cantSplit/>
        </w:trPr>
        <w:tc>
          <w:tcPr>
            <w:tcW w:type="dxa" w:w="1872"/>
          </w:tcPr>
          <w:p>
            <w:pPr>
              <w:spacing w:after="20" w:before="20"/>
            </w:pPr>
            <w:r>
              <w:rPr>
                <w:rFonts w:ascii="Calibri" w:hAnsi="Calibri" w:cs="Calibri"/>
                <w:b w:val="0"/>
                <w:sz w:val="20"/>
              </w:rPr>
              <w:t>lisinopril</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Essential hypertension after a transient creatinine rise</w:t>
            </w:r>
          </w:p>
        </w:tc>
        <w:tc>
          <w:tcPr>
            <w:tcW w:type="dxa" w:w="1728"/>
          </w:tcPr>
          <w:p>
            <w:pPr>
              <w:spacing w:after="20" w:before="20"/>
            </w:pPr>
            <w:r>
              <w:rPr>
                <w:rFonts w:ascii="Calibri" w:hAnsi="Calibri" w:cs="Calibri"/>
                <w:b w:val="0"/>
                <w:sz w:val="20"/>
              </w:rPr>
              <w:t>Creatinine rose from 1.0 mg/dL to 1.6 mg/dL and returned to 1.1 mg/dL. Discharge blood pressure is 128/74 mm Hg. The ACE inhibitor can continue, with a chemistry panel because of the recent rise.</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cephalexin</w:t>
            </w:r>
          </w:p>
        </w:tc>
        <w:tc>
          <w:tcPr>
            <w:tcW w:type="dxa" w:w="3312"/>
          </w:tcPr>
          <w:p>
            <w:pPr>
              <w:spacing w:after="20" w:before="20"/>
            </w:pPr>
            <w:r>
              <w:rPr>
                <w:rFonts w:ascii="Calibri" w:hAnsi="Calibri" w:cs="Calibri"/>
                <w:b w:val="0"/>
                <w:sz w:val="20"/>
              </w:rPr>
              <w:t>No extended antibiotic monitoring.</w:t>
            </w:r>
          </w:p>
        </w:tc>
        <w:tc>
          <w:tcPr>
            <w:tcW w:type="dxa" w:w="3312"/>
          </w:tcPr>
          <w:p>
            <w:pPr>
              <w:spacing w:after="20" w:before="20"/>
            </w:pPr>
            <w:r>
              <w:rPr>
                <w:rFonts w:ascii="Calibri" w:hAnsi="Calibri" w:cs="Calibri"/>
                <w:b w:val="0"/>
                <w:sz w:val="20"/>
              </w:rPr>
              <w:t>Return for recurrent fever or urinary symptoms.</w:t>
            </w:r>
          </w:p>
        </w:tc>
      </w:tr>
      <w:tr>
        <w:trPr>
          <w:cantSplit/>
        </w:trPr>
        <w:tc>
          <w:tcPr>
            <w:tcW w:type="dxa" w:w="3168"/>
          </w:tcPr>
          <w:p>
            <w:pPr>
              <w:spacing w:after="20" w:before="20"/>
            </w:pPr>
            <w:r>
              <w:rPr>
                <w:rFonts w:ascii="Calibri" w:hAnsi="Calibri" w:cs="Calibri"/>
                <w:b w:val="0"/>
                <w:sz w:val="20"/>
              </w:rPr>
              <w:t>metoprolol</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aspirin</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metoprolol</w:t>
            </w:r>
          </w:p>
        </w:tc>
        <w:tc>
          <w:tcPr>
            <w:tcW w:type="dxa" w:w="3312"/>
          </w:tcPr>
          <w:p>
            <w:pPr>
              <w:spacing w:after="20" w:before="20"/>
            </w:pPr>
            <w:r>
              <w:rPr>
                <w:rFonts w:ascii="Calibri" w:hAnsi="Calibri" w:cs="Calibri"/>
                <w:b w:val="0"/>
                <w:sz w:val="20"/>
              </w:rPr>
              <w:t>Heart rate and blood pressure at the primary-care visit.</w:t>
            </w:r>
          </w:p>
        </w:tc>
        <w:tc>
          <w:tcPr>
            <w:tcW w:type="dxa" w:w="3312"/>
          </w:tcPr>
          <w:p>
            <w:pPr>
              <w:spacing w:after="20" w:before="20"/>
            </w:pPr>
            <w:r>
              <w:rPr>
                <w:rFonts w:ascii="Calibri" w:hAnsi="Calibri" w:cs="Calibri"/>
                <w:b w:val="0"/>
                <w:sz w:val="20"/>
              </w:rPr>
              <w:t>Primary care within 7 days.</w:t>
            </w:r>
          </w:p>
        </w:tc>
      </w:tr>
      <w:tr>
        <w:trPr>
          <w:cantSplit/>
        </w:trPr>
        <w:tc>
          <w:tcPr>
            <w:tcW w:type="dxa" w:w="3168"/>
          </w:tcPr>
          <w:p>
            <w:pPr>
              <w:spacing w:after="20" w:before="20"/>
            </w:pPr>
            <w:r>
              <w:rPr>
                <w:rFonts w:ascii="Calibri" w:hAnsi="Calibri" w:cs="Calibri"/>
                <w:b w:val="0"/>
                <w:sz w:val="20"/>
              </w:rPr>
              <w:t>ibuprofen</w:t>
            </w:r>
          </w:p>
        </w:tc>
        <w:tc>
          <w:tcPr>
            <w:tcW w:type="dxa" w:w="3312"/>
          </w:tcPr>
          <w:p>
            <w:pPr>
              <w:spacing w:after="20" w:before="20"/>
            </w:pPr>
            <w:r>
              <w:rPr>
                <w:rFonts w:ascii="Calibri" w:hAnsi="Calibri" w:cs="Calibri"/>
                <w:b w:val="0"/>
                <w:sz w:val="20"/>
              </w:rPr>
              <w:t>Creatinine at the primary-care visit.</w:t>
            </w:r>
          </w:p>
        </w:tc>
        <w:tc>
          <w:tcPr>
            <w:tcW w:type="dxa" w:w="3312"/>
          </w:tcPr>
          <w:p>
            <w:pPr>
              <w:spacing w:after="20" w:before="20"/>
            </w:pPr>
            <w:r>
              <w:rPr>
                <w:rFonts w:ascii="Calibri" w:hAnsi="Calibri" w:cs="Calibri"/>
                <w:b w:val="0"/>
                <w:sz w:val="20"/>
              </w:rPr>
              <w:t>Primary care within 7 days.</w:t>
            </w:r>
          </w:p>
        </w:tc>
      </w:tr>
      <w:tr>
        <w:trPr>
          <w:cantSplit/>
        </w:trPr>
        <w:tc>
          <w:tcPr>
            <w:tcW w:type="dxa" w:w="3168"/>
          </w:tcPr>
          <w:p>
            <w:pPr>
              <w:spacing w:after="20" w:before="20"/>
            </w:pPr>
            <w:r>
              <w:rPr>
                <w:rFonts w:ascii="Calibri" w:hAnsi="Calibri" w:cs="Calibri"/>
                <w:b w:val="0"/>
                <w:sz w:val="20"/>
              </w:rPr>
              <w:t>lisinopril</w:t>
            </w:r>
          </w:p>
        </w:tc>
        <w:tc>
          <w:tcPr>
            <w:tcW w:type="dxa" w:w="3312"/>
          </w:tcPr>
          <w:p>
            <w:pPr>
              <w:spacing w:after="20" w:before="20"/>
            </w:pPr>
            <w:r>
              <w:rPr>
                <w:rFonts w:ascii="Calibri" w:hAnsi="Calibri" w:cs="Calibri"/>
                <w:b w:val="0"/>
                <w:sz w:val="20"/>
              </w:rPr>
              <w:t>Chemistry panel within 7 days.</w:t>
            </w:r>
          </w:p>
        </w:tc>
        <w:tc>
          <w:tcPr>
            <w:tcW w:type="dxa" w:w="3312"/>
          </w:tcPr>
          <w:p>
            <w:pPr>
              <w:spacing w:after="20" w:before="20"/>
            </w:pPr>
            <w:r>
              <w:rPr>
                <w:rFonts w:ascii="Calibri" w:hAnsi="Calibri" w:cs="Calibri"/>
                <w:b w:val="0"/>
                <w:sz w:val="20"/>
              </w:rPr>
              <w:t>Primary care within 7 days.</w:t>
            </w:r>
          </w:p>
        </w:tc>
      </w:tr>
    </w:tbl>
    <w:p>
      <w:pPr>
        <w:spacing w:after="40"/>
      </w:pPr>
    </w:p>
    <w:p>
      <w:pPr>
        <w:spacing w:after="120"/>
      </w:pPr>
      <w:r>
        <w:rPr>
          <w:rFonts w:ascii="Calibri" w:hAnsi="Calibri" w:cs="Calibri"/>
          <w:b w:val="0"/>
          <w:sz w:val="22"/>
        </w:rPr>
        <w:t>Matched counterpart: VAL-801</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4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4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4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5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5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5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5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0"/>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G2-005</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67</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82.2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new pulmonary edema with heart failure established during the stay</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67-year-old Male with new pulmonary edema with heart failure established during the stay</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Progressive dyspnea, orthopnea, and leg swelling</w:t>
      </w:r>
    </w:p>
    <w:p>
      <w:pPr>
        <w:pStyle w:val="ListBullet"/>
        <w:spacing w:after="40" w:before="0"/>
      </w:pPr>
      <w:r>
        <w:rPr>
          <w:rFonts w:ascii="Calibri" w:hAnsi="Calibri" w:cs="Calibri"/>
          <w:b/>
          <w:sz w:val="22"/>
        </w:rPr>
        <w:t xml:space="preserve">Symptoms: </w:t>
      </w:r>
      <w:r>
        <w:rPr>
          <w:rFonts w:ascii="Calibri" w:hAnsi="Calibri" w:cs="Calibri"/>
          <w:b w:val="0"/>
          <w:sz w:val="22"/>
        </w:rPr>
        <w:t>dyspnea, orthopnea, leg edema</w:t>
      </w:r>
    </w:p>
    <w:p>
      <w:pPr>
        <w:pStyle w:val="ListBullet"/>
        <w:spacing w:after="40" w:before="0"/>
      </w:pPr>
      <w:r>
        <w:rPr>
          <w:rFonts w:ascii="Calibri" w:hAnsi="Calibri" w:cs="Calibri"/>
          <w:b/>
          <w:sz w:val="22"/>
        </w:rPr>
        <w:t xml:space="preserve">Symptom duration: </w:t>
      </w:r>
      <w:r>
        <w:rPr>
          <w:rFonts w:ascii="Calibri" w:hAnsi="Calibri" w:cs="Calibri"/>
          <w:b w:val="0"/>
          <w:sz w:val="22"/>
        </w:rPr>
        <w:t>five days</w:t>
      </w:r>
    </w:p>
    <w:p>
      <w:pPr>
        <w:pStyle w:val="ListBullet"/>
        <w:spacing w:after="40" w:before="0"/>
      </w:pPr>
      <w:r>
        <w:rPr>
          <w:rFonts w:ascii="Calibri" w:hAnsi="Calibri" w:cs="Calibri"/>
          <w:b/>
          <w:sz w:val="22"/>
        </w:rPr>
        <w:t xml:space="preserve">Symptom course: </w:t>
      </w:r>
      <w:r>
        <w:rPr>
          <w:rFonts w:ascii="Calibri" w:hAnsi="Calibri" w:cs="Calibri"/>
          <w:b w:val="0"/>
          <w:sz w:val="22"/>
        </w:rPr>
        <w:t>worse until diuresis, then returned toward the pre-admission baseline</w:t>
      </w:r>
    </w:p>
    <w:p>
      <w:pPr>
        <w:pStyle w:val="Heading3"/>
      </w:pPr>
      <w:r>
        <w:rPr>
          <w:rFonts w:ascii="Calibri" w:hAnsi="Calibri"/>
          <w:color w:val="1F3A5F"/>
        </w:rPr>
        <w:t>History of present illness</w:t>
      </w:r>
    </w:p>
    <w:p>
      <w:pPr>
        <w:spacing w:after="120"/>
      </w:pPr>
      <w:r>
        <w:rPr>
          <w:rFonts w:ascii="Calibri" w:hAnsi="Calibri" w:cs="Calibri"/>
          <w:b w:val="0"/>
          <w:sz w:val="22"/>
        </w:rPr>
        <w:t>The longitudinal record does not list heart failure. Cardiovascular disease and cardiac medication are present. Outpatient products in the longitudinal extract: 24 HR metoprolol succinate 100 MG Extended Release Oral Tablet; lisinopril 10 MG Oral Tablet; amLODIPine 2.5 MG Oral Tablet. No pre-admission creatinine was in the extracted record. The first creatinine used as the pre-treatment baseline was 1.0 mg/dL. The most recent longitudinal weight was 82.2 kg. Over five days dyspnea progressed from exertion to conversation, orthopnea required three pillows, and both legs became swollen. Those symptoms were not the patient's usual state. The patient stopped several home cardiovascular medicines ten days ago because the pharmacy refill was unaffordable. Diet and cardiac rhythm were unchanged. On arrival the weight was 87.7 kg, oxygen saturation was 91 percent on room air, the respiratory rate was 26, the jugular venous pressure was elevated, and crackles were present halfway up both lung fields. There was pitting edema to the knees.</w:t>
      </w:r>
    </w:p>
    <w:p>
      <w:pPr>
        <w:pStyle w:val="Heading3"/>
      </w:pPr>
      <w:r>
        <w:rPr>
          <w:rFonts w:ascii="Calibri" w:hAnsi="Calibri"/>
          <w:color w:val="1F3A5F"/>
        </w:rPr>
        <w:t>Admission note</w:t>
      </w:r>
    </w:p>
    <w:p>
      <w:pPr>
        <w:spacing w:after="120"/>
      </w:pPr>
      <w:r>
        <w:rPr>
          <w:rFonts w:ascii="Calibri" w:hAnsi="Calibri" w:cs="Calibri"/>
          <w:b w:val="0"/>
          <w:sz w:val="22"/>
        </w:rPr>
        <w:t>The longitudinal record does not list heart failure. Cardiovascular disease and cardiac medication are present. Outpatient products in the longitudinal extract: 24 HR metoprolol succinate 100 MG Extended Release Oral Tablet; lisinopril 10 MG Oral Tablet; amLODIPine 2.5 MG Oral Tablet. No pre-admission creatinine was in the extracted record. The first creatinine used as the pre-treatment baseline was 1.0 mg/dL. The most recent longitudinal weight was 82.2 kg. Over five days dyspnea progressed from exertion to conversation, orthopnea required three pillows, and both legs became swollen. Those symptoms were not the patient's usual state. The patient stopped several home cardiovascular medicines ten days ago because the pharmacy refill was unaffordable. Diet and cardiac rhythm were unchanged. On arrival the weight was 87.7 kg, oxygen saturation was 91 percent on room air, the respiratory rate was 26, the jugular venous pressure was elevated, and crackles were present halfway up both lung fields. There was pitting edema to the knees.</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Chronic sinusitis (disorder), Body mass index 30+ - obesity (finding)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Chronic sinusitis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Body mass index 30+ - obesity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The chest radiograph showed pulmonary edema. Natriuretic peptide B was elevated. Troponin I remained 0.01 ng/mL. There was no focal infiltrate. A transthoracic echocardiogram, obtained after the radiograph, showed reduced left-ventricular systolic function and a congested filling pattern. The numeric ejection fraction was estimated at 30 percent. Those findings established Acute systolic (congestive) heart failure. The diagnosis was not used as the presenting label before the examination, radiograph, natriuretic peptide, and echocardiogram. No loop diuretic was in the longitudinal extract. Intravenous furosemide was begun for congestion and then converted to oral furosemide 40 MG daily. Daily weights and net fluid output were recorded. No angiotensin-converting enzyme inhibitor or angiotensin-receptor blocker from a curated regimen was held. By hospital day 4 the weight was 83.0 kg, oxygen saturation was 96 percent on room air, the respiratory rate was 16, and the patient could lie flat. Creatinine was 1.0 mg/dL after a peak of 1.1. Potassium was 4.3 mmol/L. Dyspnea had returned to the pre-admission baseline rather than merely being called improved. The patient was walking on the ward, eating, and without resting dyspnea or new chest pain. The unsigned task is the discharge medication plan, not another day of intravenous diuresis. Heart-failure clinic follow-up and a chemistry panel were arranged. Home weight monitoring was requested.</w:t>
      </w:r>
    </w:p>
    <w:p>
      <w:pPr>
        <w:pStyle w:val="Heading3"/>
      </w:pPr>
      <w:r>
        <w:rPr>
          <w:rFonts w:ascii="Calibri" w:hAnsi="Calibri"/>
          <w:color w:val="1F3A5F"/>
        </w:rPr>
        <w:t>Intake and output</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Timepoint</w:t>
            </w:r>
          </w:p>
        </w:tc>
        <w:tc>
          <w:tcPr>
            <w:tcW w:type="dxa" w:w="1958"/>
            <w:shd w:val="clear" w:color="auto" w:fill="D9E2F3"/>
          </w:tcPr>
          <w:p>
            <w:pPr>
              <w:spacing w:after="20" w:before="20"/>
            </w:pPr>
            <w:r>
              <w:rPr>
                <w:rFonts w:ascii="Calibri" w:hAnsi="Calibri" w:cs="Calibri"/>
                <w:b/>
                <w:sz w:val="20"/>
              </w:rPr>
              <w:t>Intake (mL)</w:t>
            </w:r>
          </w:p>
        </w:tc>
        <w:tc>
          <w:tcPr>
            <w:tcW w:type="dxa" w:w="1958"/>
            <w:shd w:val="clear" w:color="auto" w:fill="D9E2F3"/>
          </w:tcPr>
          <w:p>
            <w:pPr>
              <w:spacing w:after="20" w:before="20"/>
            </w:pPr>
            <w:r>
              <w:rPr>
                <w:rFonts w:ascii="Calibri" w:hAnsi="Calibri" w:cs="Calibri"/>
                <w:b/>
                <w:sz w:val="20"/>
              </w:rPr>
              <w:t>Output (mL)</w:t>
            </w:r>
          </w:p>
        </w:tc>
        <w:tc>
          <w:tcPr>
            <w:tcW w:type="dxa" w:w="1958"/>
            <w:shd w:val="clear" w:color="auto" w:fill="D9E2F3"/>
          </w:tcPr>
          <w:p>
            <w:pPr>
              <w:spacing w:after="20" w:before="20"/>
            </w:pPr>
            <w:r>
              <w:rPr>
                <w:rFonts w:ascii="Calibri" w:hAnsi="Calibri" w:cs="Calibri"/>
                <w:b/>
                <w:sz w:val="20"/>
              </w:rPr>
              <w:t>Net (mL)</w:t>
            </w:r>
          </w:p>
        </w:tc>
        <w:tc>
          <w:tcPr>
            <w:tcW w:type="dxa" w:w="1958"/>
            <w:shd w:val="clear" w:color="auto" w:fill="D9E2F3"/>
          </w:tcPr>
          <w:p>
            <w:pPr>
              <w:spacing w:after="20" w:before="20"/>
            </w:pPr>
            <w:r>
              <w:rPr>
                <w:rFonts w:ascii="Calibri" w:hAnsi="Calibri" w:cs="Calibri"/>
                <w:b/>
                <w:sz w:val="20"/>
              </w:rPr>
              <w:t>Notes</w:t>
            </w:r>
          </w:p>
        </w:tc>
      </w:tr>
      <w:tr>
        <w:trPr>
          <w:cantSplit/>
        </w:trPr>
        <w:tc>
          <w:tcPr>
            <w:tcW w:type="dxa" w:w="1958"/>
          </w:tcPr>
          <w:p>
            <w:pPr>
              <w:spacing w:after="20" w:before="20"/>
            </w:pPr>
            <w:r>
              <w:rPr>
                <w:rFonts w:ascii="Calibri" w:hAnsi="Calibri" w:cs="Calibri"/>
                <w:b w:val="0"/>
                <w:sz w:val="20"/>
              </w:rPr>
              <w:t>diuresis</w:t>
            </w:r>
          </w:p>
        </w:tc>
        <w:tc>
          <w:tcPr>
            <w:tcW w:type="dxa" w:w="1958"/>
          </w:tcPr>
          <w:p>
            <w:pPr>
              <w:spacing w:after="20" w:before="20"/>
            </w:pPr>
            <w:r>
              <w:rPr>
                <w:rFonts w:ascii="Calibri" w:hAnsi="Calibri" w:cs="Calibri"/>
                <w:b w:val="0"/>
                <w:sz w:val="20"/>
              </w:rPr>
              <w:t>8000</w:t>
            </w:r>
          </w:p>
        </w:tc>
        <w:tc>
          <w:tcPr>
            <w:tcW w:type="dxa" w:w="1958"/>
          </w:tcPr>
          <w:p>
            <w:pPr>
              <w:spacing w:after="20" w:before="20"/>
            </w:pPr>
            <w:r>
              <w:rPr>
                <w:rFonts w:ascii="Calibri" w:hAnsi="Calibri" w:cs="Calibri"/>
                <w:b w:val="0"/>
                <w:sz w:val="20"/>
              </w:rPr>
              <w:t>12700</w:t>
            </w:r>
          </w:p>
        </w:tc>
        <w:tc>
          <w:tcPr>
            <w:tcW w:type="dxa" w:w="1958"/>
          </w:tcPr>
          <w:p>
            <w:pPr>
              <w:spacing w:after="20" w:before="20"/>
            </w:pPr>
            <w:r>
              <w:rPr>
                <w:rFonts w:ascii="Calibri" w:hAnsi="Calibri" w:cs="Calibri"/>
                <w:b w:val="0"/>
                <w:sz w:val="20"/>
              </w:rPr>
              <w:t>-4700</w:t>
            </w:r>
          </w:p>
        </w:tc>
        <w:tc>
          <w:tcPr>
            <w:tcW w:type="dxa" w:w="1958"/>
          </w:tcPr>
          <w:p>
            <w:pPr>
              <w:spacing w:after="20" w:before="20"/>
            </w:pPr>
            <w:r>
              <w:rPr>
                <w:rFonts w:ascii="Calibri" w:hAnsi="Calibri" w:cs="Calibri"/>
                <w:b w:val="0"/>
                <w:sz w:val="20"/>
              </w:rPr>
              <w:t>Net negative balance during the diuretic phase, in the same direction as the weight loss.</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150/90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91</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4.6</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1280</w:t>
            </w:r>
          </w:p>
        </w:tc>
        <w:tc>
          <w:tcPr>
            <w:tcW w:type="dxa" w:w="2160"/>
          </w:tcPr>
          <w:p>
            <w:pPr>
              <w:spacing w:after="20" w:before="20"/>
            </w:pPr>
            <w:r>
              <w:rPr>
                <w:rFonts w:ascii="Calibri" w:hAnsi="Calibri" w:cs="Calibri"/>
                <w:b w:val="0"/>
                <w:sz w:val="20"/>
              </w:rPr>
              <w:t>pg/mL</w:t>
            </w:r>
          </w:p>
        </w:tc>
      </w:tr>
      <w:tr>
        <w:trPr>
          <w:cantSplit/>
        </w:trPr>
        <w:tc>
          <w:tcPr>
            <w:tcW w:type="dxa" w:w="5760"/>
          </w:tcPr>
          <w:p>
            <w:pPr>
              <w:spacing w:after="20" w:before="20"/>
            </w:pPr>
            <w:r>
              <w:rPr>
                <w:rFonts w:ascii="Calibri" w:hAnsi="Calibri" w:cs="Calibri"/>
                <w:b w:val="0"/>
                <w:sz w:val="20"/>
              </w:rPr>
              <w:t>Troponin I.cardiac [Mass/volume] in Serum or Plasma</w:t>
            </w:r>
          </w:p>
        </w:tc>
        <w:tc>
          <w:tcPr>
            <w:tcW w:type="dxa" w:w="1872"/>
          </w:tcPr>
          <w:p>
            <w:pPr>
              <w:spacing w:after="20" w:before="20"/>
            </w:pPr>
            <w:r>
              <w:rPr>
                <w:rFonts w:ascii="Calibri" w:hAnsi="Calibri" w:cs="Calibri"/>
                <w:b w:val="0"/>
                <w:sz w:val="20"/>
              </w:rPr>
              <w:t>0.01</w:t>
            </w:r>
          </w:p>
        </w:tc>
        <w:tc>
          <w:tcPr>
            <w:tcW w:type="dxa" w:w="2160"/>
          </w:tcPr>
          <w:p>
            <w:pPr>
              <w:spacing w:after="20" w:before="20"/>
            </w:pPr>
            <w:r>
              <w:rPr>
                <w:rFonts w:ascii="Calibri" w:hAnsi="Calibri" w:cs="Calibri"/>
                <w:b w:val="0"/>
                <w:sz w:val="20"/>
              </w:rPr>
              <w:t>ng/mL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87.7</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124/72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4.3</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410</w:t>
            </w:r>
          </w:p>
        </w:tc>
        <w:tc>
          <w:tcPr>
            <w:tcW w:type="dxa" w:w="2160"/>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83.0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r>
        <w:trPr>
          <w:cantSplit/>
        </w:trPr>
        <w:tc>
          <w:tcPr>
            <w:tcW w:type="dxa" w:w="3384"/>
          </w:tcPr>
          <w:p>
            <w:pPr>
              <w:spacing w:after="20" w:before="20"/>
            </w:pPr>
            <w:r>
              <w:rPr>
                <w:rFonts w:ascii="Calibri" w:hAnsi="Calibri" w:cs="Calibri"/>
                <w:b w:val="0"/>
                <w:sz w:val="20"/>
              </w:rPr>
              <w:t>lisinopril</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r>
        <w:trPr>
          <w:cantSplit/>
        </w:trPr>
        <w:tc>
          <w:tcPr>
            <w:tcW w:type="dxa" w:w="3384"/>
          </w:tcPr>
          <w:p>
            <w:pPr>
              <w:spacing w:after="20" w:before="20"/>
            </w:pPr>
            <w:r>
              <w:rPr>
                <w:rFonts w:ascii="Calibri" w:hAnsi="Calibri" w:cs="Calibri"/>
                <w:b w:val="0"/>
                <w:sz w:val="20"/>
              </w:rPr>
              <w:t>furosemide</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new congestion from heart failure; Note: Oral furosemide 40 MG daily replaced intravenous furosemide once the weight was falling.</w:t>
            </w:r>
          </w:p>
        </w:tc>
      </w:tr>
      <w:tr>
        <w:trPr>
          <w:cantSplit/>
        </w:trPr>
        <w:tc>
          <w:tcPr>
            <w:tcW w:type="dxa" w:w="3384"/>
          </w:tcPr>
          <w:p>
            <w:pPr>
              <w:spacing w:after="20" w:before="20"/>
            </w:pPr>
            <w:r>
              <w:rPr>
                <w:rFonts w:ascii="Calibri" w:hAnsi="Calibri" w:cs="Calibri"/>
                <w:b w:val="0"/>
                <w:sz w:val="20"/>
              </w:rPr>
              <w:t>lisinopril</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weight</w:t>
            </w:r>
          </w:p>
        </w:tc>
        <w:tc>
          <w:tcPr>
            <w:tcW w:type="dxa" w:w="1958"/>
          </w:tcPr>
          <w:p>
            <w:pPr>
              <w:spacing w:after="20" w:before="20"/>
            </w:pPr>
            <w:r>
              <w:rPr>
                <w:rFonts w:ascii="Calibri" w:hAnsi="Calibri" w:cs="Calibri"/>
                <w:b w:val="0"/>
                <w:sz w:val="20"/>
              </w:rPr>
              <w:t>each morning</w:t>
            </w:r>
          </w:p>
        </w:tc>
        <w:tc>
          <w:tcPr>
            <w:tcW w:type="dxa" w:w="1958"/>
          </w:tcPr>
          <w:p>
            <w:pPr>
              <w:spacing w:after="20" w:before="20"/>
            </w:pPr>
            <w:r>
              <w:rPr>
                <w:rFonts w:ascii="Calibri" w:hAnsi="Calibri" w:cs="Calibri"/>
                <w:b w:val="0"/>
                <w:sz w:val="20"/>
              </w:rPr>
              <w:t>call if more than 2 kg above the discharge weight</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patient</w:t>
            </w:r>
          </w:p>
        </w:tc>
      </w:tr>
      <w:tr>
        <w:trPr>
          <w:cantSplit/>
        </w:trPr>
        <w:tc>
          <w:tcPr>
            <w:tcW w:type="dxa" w:w="1958"/>
          </w:tcPr>
          <w:p>
            <w:pPr>
              <w:spacing w:after="20" w:before="20"/>
            </w:pPr>
            <w:r>
              <w:rPr>
                <w:rFonts w:ascii="Calibri" w:hAnsi="Calibri" w:cs="Calibri"/>
                <w:b w:val="0"/>
                <w:sz w:val="20"/>
              </w:rPr>
              <w:t>chemistry panel</w:t>
            </w:r>
          </w:p>
        </w:tc>
        <w:tc>
          <w:tcPr>
            <w:tcW w:type="dxa" w:w="1958"/>
          </w:tcPr>
          <w:p>
            <w:pPr>
              <w:spacing w:after="20" w:before="20"/>
            </w:pPr>
            <w:r>
              <w:rPr>
                <w:rFonts w:ascii="Calibri" w:hAnsi="Calibri" w:cs="Calibri"/>
                <w:b w:val="0"/>
                <w:sz w:val="20"/>
              </w:rPr>
              <w:t>within 7 days</w:t>
            </w:r>
          </w:p>
        </w:tc>
        <w:tc>
          <w:tcPr>
            <w:tcW w:type="dxa" w:w="1958"/>
          </w:tcPr>
          <w:p>
            <w:pPr>
              <w:spacing w:after="20" w:before="20"/>
            </w:pPr>
            <w:r>
              <w:rPr>
                <w:rFonts w:ascii="Calibri" w:hAnsi="Calibri" w:cs="Calibri"/>
                <w:b w:val="0"/>
                <w:sz w:val="20"/>
              </w:rPr>
              <w:t>review creatinine and potassium</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Heart-failure clinic</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cardiology</w:t>
            </w:r>
          </w:p>
        </w:tc>
      </w:tr>
      <w:tr>
        <w:trPr>
          <w:cantSplit/>
        </w:trPr>
        <w:tc>
          <w:tcPr>
            <w:tcW w:type="dxa" w:w="3264"/>
          </w:tcPr>
          <w:p>
            <w:pPr>
              <w:spacing w:after="20" w:before="20"/>
            </w:pPr>
            <w:r>
              <w:rPr>
                <w:rFonts w:ascii="Calibri" w:hAnsi="Calibri" w:cs="Calibri"/>
                <w:b w:val="0"/>
                <w:sz w:val="20"/>
              </w:rPr>
              <w:t>Primary care</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Timepoint</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tcPr>
          <w:p>
            <w:pPr>
              <w:spacing w:after="20" w:before="20"/>
            </w:pPr>
            <w:r>
              <w:rPr>
                <w:rFonts w:ascii="Calibri" w:hAnsi="Calibri" w:cs="Calibri"/>
                <w:b w:val="0"/>
                <w:sz w:val="20"/>
              </w:rPr>
              <w:t>Chest radiograph</w:t>
            </w:r>
          </w:p>
        </w:tc>
        <w:tc>
          <w:tcPr>
            <w:tcW w:type="dxa" w:w="3264"/>
          </w:tcPr>
          <w:p>
            <w:pPr>
              <w:spacing w:after="20" w:before="20"/>
            </w:pPr>
            <w:r>
              <w:rPr>
                <w:rFonts w:ascii="Calibri" w:hAnsi="Calibri" w:cs="Calibri"/>
                <w:b w:val="0"/>
                <w:sz w:val="20"/>
              </w:rPr>
              <w:t>admission</w:t>
            </w:r>
          </w:p>
        </w:tc>
        <w:tc>
          <w:tcPr>
            <w:tcW w:type="dxa" w:w="3264"/>
          </w:tcPr>
          <w:p>
            <w:pPr>
              <w:spacing w:after="20" w:before="20"/>
            </w:pPr>
            <w:r>
              <w:rPr>
                <w:rFonts w:ascii="Calibri" w:hAnsi="Calibri" w:cs="Calibri"/>
                <w:b w:val="0"/>
                <w:sz w:val="20"/>
              </w:rPr>
              <w:t>Bilateral pulmonary edema without a focal lobar consolidation.</w:t>
            </w:r>
          </w:p>
        </w:tc>
      </w:tr>
      <w:tr>
        <w:trPr>
          <w:cantSplit/>
        </w:trPr>
        <w:tc>
          <w:tcPr>
            <w:tcW w:type="dxa" w:w="3264"/>
          </w:tcPr>
          <w:p>
            <w:pPr>
              <w:spacing w:after="20" w:before="20"/>
            </w:pPr>
            <w:r>
              <w:rPr>
                <w:rFonts w:ascii="Calibri" w:hAnsi="Calibri" w:cs="Calibri"/>
                <w:b w:val="0"/>
                <w:sz w:val="20"/>
              </w:rPr>
              <w:t>Transthoracic echocardiogram</w:t>
            </w:r>
          </w:p>
        </w:tc>
        <w:tc>
          <w:tcPr>
            <w:tcW w:type="dxa" w:w="3264"/>
          </w:tcPr>
          <w:p>
            <w:pPr>
              <w:spacing w:after="20" w:before="20"/>
            </w:pPr>
            <w:r>
              <w:rPr>
                <w:rFonts w:ascii="Calibri" w:hAnsi="Calibri" w:cs="Calibri"/>
                <w:b w:val="0"/>
                <w:sz w:val="20"/>
              </w:rPr>
              <w:t>hospital day 1</w:t>
            </w:r>
          </w:p>
        </w:tc>
        <w:tc>
          <w:tcPr>
            <w:tcW w:type="dxa" w:w="3264"/>
          </w:tcPr>
          <w:p>
            <w:pPr>
              <w:spacing w:after="20" w:before="20"/>
            </w:pPr>
            <w:r>
              <w:rPr>
                <w:rFonts w:ascii="Calibri" w:hAnsi="Calibri" w:cs="Calibri"/>
                <w:b w:val="0"/>
                <w:sz w:val="20"/>
              </w:rPr>
              <w:t>Reduced left-ventricular systolic function, estimated ejection fraction 30 percent, congested filling.</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Congestion responded to diuresis. Ischemic and arrhythmic evaluation was the one described in the course.</w:t>
            </w:r>
          </w:p>
        </w:tc>
        <w:tc>
          <w:tcPr>
            <w:tcW w:type="dxa" w:w="2448"/>
          </w:tcPr>
          <w:p>
            <w:pPr>
              <w:spacing w:after="20" w:before="20"/>
            </w:pPr>
            <w:r>
              <w:rPr>
                <w:rFonts w:ascii="Calibri" w:hAnsi="Calibri" w:cs="Calibri"/>
                <w:b w:val="0"/>
                <w:sz w:val="20"/>
              </w:rPr>
              <w:t>Primary team to complete the unsigned discharge medication reconciliation.</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9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furosemide</w:t>
            </w:r>
          </w:p>
        </w:tc>
        <w:tc>
          <w:tcPr>
            <w:tcW w:type="dxa" w:w="1152"/>
          </w:tcPr>
          <w:p>
            <w:pPr>
              <w:spacing w:after="20" w:before="20"/>
            </w:pPr>
            <w:r>
              <w:rPr>
                <w:rFonts w:ascii="Calibri" w:hAnsi="Calibri" w:cs="Calibri"/>
                <w:b w:val="0"/>
                <w:sz w:val="20"/>
              </w:rPr>
              <w:t>new_start</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new congestion from heart failure</w:t>
            </w:r>
          </w:p>
        </w:tc>
        <w:tc>
          <w:tcPr>
            <w:tcW w:type="dxa" w:w="1728"/>
          </w:tcPr>
          <w:p>
            <w:pPr>
              <w:spacing w:after="20" w:before="20"/>
            </w:pPr>
            <w:r>
              <w:rPr>
                <w:rFonts w:ascii="Calibri" w:hAnsi="Calibri" w:cs="Calibri"/>
                <w:b w:val="0"/>
                <w:sz w:val="20"/>
              </w:rPr>
              <w:t>A maintenance loop diuretic is supported because congestion was the reason for admission and the patient was not previously taking one.</w:t>
            </w:r>
          </w:p>
        </w:tc>
      </w:tr>
      <w:tr>
        <w:trPr>
          <w:cantSplit/>
        </w:trPr>
        <w:tc>
          <w:tcPr>
            <w:tcW w:type="dxa" w:w="1872"/>
          </w:tcPr>
          <w:p>
            <w:pPr>
              <w:spacing w:after="20" w:before="20"/>
            </w:pPr>
            <w:r>
              <w:rPr>
                <w:rFonts w:ascii="Calibri" w:hAnsi="Calibri" w:cs="Calibri"/>
                <w:b w:val="0"/>
                <w:sz w:val="20"/>
              </w:rPr>
              <w:t>metoprolol</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outpatient condition still present</w:t>
            </w:r>
          </w:p>
        </w:tc>
        <w:tc>
          <w:tcPr>
            <w:tcW w:type="dxa" w:w="1728"/>
          </w:tcPr>
          <w:p>
            <w:pPr>
              <w:spacing w:after="20" w:before="20"/>
            </w:pPr>
            <w:r>
              <w:rPr>
                <w:rFonts w:ascii="Calibri" w:hAnsi="Calibri" w:cs="Calibri"/>
                <w:b w:val="0"/>
                <w:sz w:val="20"/>
              </w:rPr>
              <w:t>24 HR metoprolol succinate 100 MG Extended Release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lisinopril</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outpatient condition still present</w:t>
            </w:r>
          </w:p>
        </w:tc>
        <w:tc>
          <w:tcPr>
            <w:tcW w:type="dxa" w:w="1728"/>
          </w:tcPr>
          <w:p>
            <w:pPr>
              <w:spacing w:after="20" w:before="20"/>
            </w:pPr>
            <w:r>
              <w:rPr>
                <w:rFonts w:ascii="Calibri" w:hAnsi="Calibri" w:cs="Calibri"/>
                <w:b w:val="0"/>
                <w:sz w:val="20"/>
              </w:rPr>
              <w:t>Lisinopril 10 mg daily was already an outpatient medicine. Creatinine is 1.0 mg/dL after a peak of 1.1, potassium is 4.3 mmol/L, and discharge blood pressure is 124/72 mm Hg, so it continues. A new mineralocorticoid receptor antagonist is not required on the day of discharge.</w:t>
            </w:r>
          </w:p>
        </w:tc>
      </w:tr>
      <w:tr>
        <w:trPr>
          <w:cantSplit/>
        </w:trPr>
        <w:tc>
          <w:tcPr>
            <w:tcW w:type="dxa" w:w="1872"/>
          </w:tcPr>
          <w:p>
            <w:pPr>
              <w:spacing w:after="20" w:before="20"/>
            </w:pPr>
            <w:r>
              <w:rPr>
                <w:rFonts w:ascii="Calibri" w:hAnsi="Calibri" w:cs="Calibri"/>
                <w:b w:val="0"/>
                <w:sz w:val="20"/>
              </w:rPr>
              <w:t>amlodipine</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outpatient condition still present</w:t>
            </w:r>
          </w:p>
        </w:tc>
        <w:tc>
          <w:tcPr>
            <w:tcW w:type="dxa" w:w="1728"/>
          </w:tcPr>
          <w:p>
            <w:pPr>
              <w:spacing w:after="20" w:before="20"/>
            </w:pPr>
            <w:r>
              <w:rPr>
                <w:rFonts w:ascii="Calibri" w:hAnsi="Calibri" w:cs="Calibri"/>
                <w:b w:val="0"/>
                <w:sz w:val="20"/>
              </w:rPr>
              <w:t>amLODIPine 2.5 MG Oral Tablet remains indicated. The hospitalization did not create a contraindication, so the curated regimen that matches the recorded product continues.</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furosemide</w:t>
            </w:r>
          </w:p>
        </w:tc>
        <w:tc>
          <w:tcPr>
            <w:tcW w:type="dxa" w:w="3312"/>
          </w:tcPr>
          <w:p>
            <w:pPr>
              <w:spacing w:after="20" w:before="20"/>
            </w:pPr>
            <w:r>
              <w:rPr>
                <w:rFonts w:ascii="Calibri" w:hAnsi="Calibri" w:cs="Calibri"/>
                <w:b w:val="0"/>
                <w:sz w:val="20"/>
              </w:rPr>
              <w:t>Daily home weight and a chemistry panel within 7 days.</w:t>
            </w:r>
          </w:p>
        </w:tc>
        <w:tc>
          <w:tcPr>
            <w:tcW w:type="dxa" w:w="3312"/>
          </w:tcPr>
          <w:p>
            <w:pPr>
              <w:spacing w:after="20" w:before="20"/>
            </w:pPr>
            <w:r>
              <w:rPr>
                <w:rFonts w:ascii="Calibri" w:hAnsi="Calibri" w:cs="Calibri"/>
                <w:b w:val="0"/>
                <w:sz w:val="20"/>
              </w:rPr>
              <w:t>Heart-failure clinic within 7 days.</w:t>
            </w:r>
          </w:p>
        </w:tc>
      </w:tr>
      <w:tr>
        <w:trPr>
          <w:cantSplit/>
        </w:trPr>
        <w:tc>
          <w:tcPr>
            <w:tcW w:type="dxa" w:w="3168"/>
          </w:tcPr>
          <w:p>
            <w:pPr>
              <w:spacing w:after="20" w:before="20"/>
            </w:pPr>
            <w:r>
              <w:rPr>
                <w:rFonts w:ascii="Calibri" w:hAnsi="Calibri" w:cs="Calibri"/>
                <w:b w:val="0"/>
                <w:sz w:val="20"/>
              </w:rPr>
              <w:t>metoprolol</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lisinopril</w:t>
            </w:r>
          </w:p>
        </w:tc>
        <w:tc>
          <w:tcPr>
            <w:tcW w:type="dxa" w:w="3312"/>
          </w:tcPr>
          <w:p>
            <w:pPr>
              <w:spacing w:after="20" w:before="20"/>
            </w:pPr>
            <w:r>
              <w:rPr>
                <w:rFonts w:ascii="Calibri" w:hAnsi="Calibri" w:cs="Calibri"/>
                <w:b w:val="0"/>
                <w:sz w:val="20"/>
              </w:rPr>
              <w:t>Chemistry panel within 7 days, because a loop diuretic was just started.</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amlodipine</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bl>
    <w:p>
      <w:pPr>
        <w:spacing w:after="40"/>
      </w:pPr>
    </w:p>
    <w:p>
      <w:pPr>
        <w:spacing w:after="120"/>
      </w:pPr>
      <w:r>
        <w:rPr>
          <w:rFonts w:ascii="Calibri" w:hAnsi="Calibri" w:cs="Calibri"/>
          <w:b w:val="0"/>
          <w:sz w:val="22"/>
        </w:rPr>
        <w:t>Matched counterpart: VAL-805</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9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9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0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0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1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1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1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1"/>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G2-009</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41</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98.2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infectious disease</w:t>
      </w:r>
    </w:p>
    <w:p>
      <w:pPr>
        <w:pStyle w:val="ListBullet"/>
        <w:spacing w:after="40" w:before="0"/>
      </w:pPr>
      <w:r>
        <w:rPr>
          <w:rFonts w:ascii="Calibri" w:hAnsi="Calibri" w:cs="Calibri"/>
          <w:b/>
          <w:sz w:val="22"/>
        </w:rPr>
        <w:t xml:space="preserve">Admission diagnosis: </w:t>
      </w:r>
      <w:r>
        <w:rPr>
          <w:rFonts w:ascii="Calibri" w:hAnsi="Calibri" w:cs="Calibri"/>
          <w:b w:val="0"/>
          <w:sz w:val="22"/>
        </w:rPr>
        <w:t>Fever and a new murmur</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41-year-old Male with fever with endocarditis established only after cultures and echocardiography</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Fever, fatigue, and a new murmur</w:t>
      </w:r>
    </w:p>
    <w:p>
      <w:pPr>
        <w:pStyle w:val="ListBullet"/>
        <w:spacing w:after="40" w:before="0"/>
      </w:pPr>
      <w:r>
        <w:rPr>
          <w:rFonts w:ascii="Calibri" w:hAnsi="Calibri" w:cs="Calibri"/>
          <w:b/>
          <w:sz w:val="22"/>
        </w:rPr>
        <w:t xml:space="preserve">Symptoms: </w:t>
      </w:r>
      <w:r>
        <w:rPr>
          <w:rFonts w:ascii="Calibri" w:hAnsi="Calibri" w:cs="Calibri"/>
          <w:b w:val="0"/>
          <w:sz w:val="22"/>
        </w:rPr>
        <w:t>fever, fatigue, night sweats</w:t>
      </w:r>
    </w:p>
    <w:p>
      <w:pPr>
        <w:pStyle w:val="ListBullet"/>
        <w:spacing w:after="40" w:before="0"/>
      </w:pPr>
      <w:r>
        <w:rPr>
          <w:rFonts w:ascii="Calibri" w:hAnsi="Calibri" w:cs="Calibri"/>
          <w:b/>
          <w:sz w:val="22"/>
        </w:rPr>
        <w:t xml:space="preserve">Symptom duration: </w:t>
      </w:r>
      <w:r>
        <w:rPr>
          <w:rFonts w:ascii="Calibri" w:hAnsi="Calibri" w:cs="Calibri"/>
          <w:b w:val="0"/>
          <w:sz w:val="22"/>
        </w:rPr>
        <w:t>ten days</w:t>
      </w:r>
    </w:p>
    <w:p>
      <w:pPr>
        <w:pStyle w:val="ListBullet"/>
        <w:spacing w:after="40" w:before="0"/>
      </w:pPr>
      <w:r>
        <w:rPr>
          <w:rFonts w:ascii="Calibri" w:hAnsi="Calibri" w:cs="Calibri"/>
          <w:b/>
          <w:sz w:val="22"/>
        </w:rPr>
        <w:t xml:space="preserve">Symptom course: </w:t>
      </w:r>
      <w:r>
        <w:rPr>
          <w:rFonts w:ascii="Calibri" w:hAnsi="Calibri" w:cs="Calibri"/>
          <w:b w:val="0"/>
          <w:sz w:val="22"/>
        </w:rPr>
        <w:t>fever resolved after antibiotics and clearance cultures were negative</w:t>
      </w:r>
    </w:p>
    <w:p>
      <w:pPr>
        <w:pStyle w:val="Heading3"/>
      </w:pPr>
      <w:r>
        <w:rPr>
          <w:rFonts w:ascii="Calibri" w:hAnsi="Calibri"/>
          <w:color w:val="1F3A5F"/>
        </w:rPr>
        <w:t>History of present illness</w:t>
      </w:r>
    </w:p>
    <w:p>
      <w:pPr>
        <w:spacing w:after="120"/>
      </w:pPr>
      <w:r>
        <w:rPr>
          <w:rFonts w:ascii="Calibri" w:hAnsi="Calibri" w:cs="Calibri"/>
          <w:b w:val="0"/>
          <w:sz w:val="22"/>
        </w:rPr>
        <w:t>The longitudinal extract does not list endocarditis. Outpatient products in the extract: no curated single-ingredient outpatient regimen. No pre-admission creatinine was present; the first value was 1.2 mg/dL. For ten days the patient had fever, sweats, and fatigue that were new. There was no chronic febrile illness in the history obtained on arrival. A dental extraction occurred two weeks earlier. Skin examination showed no abscess. The dental procedure is the predisposition recorded for this episode. Arrival temperature was 38.4 degrees Celsius. A murmur that the patient did not recognize was present. The working concern was bloodstream infection, not a finished diagnosis of endocarditis.</w:t>
      </w:r>
    </w:p>
    <w:p>
      <w:pPr>
        <w:pStyle w:val="Heading3"/>
      </w:pPr>
      <w:r>
        <w:rPr>
          <w:rFonts w:ascii="Calibri" w:hAnsi="Calibri"/>
          <w:color w:val="1F3A5F"/>
        </w:rPr>
        <w:t>Admission note</w:t>
      </w:r>
    </w:p>
    <w:p>
      <w:pPr>
        <w:spacing w:after="120"/>
      </w:pPr>
      <w:r>
        <w:rPr>
          <w:rFonts w:ascii="Calibri" w:hAnsi="Calibri" w:cs="Calibri"/>
          <w:b w:val="0"/>
          <w:sz w:val="22"/>
        </w:rPr>
        <w:t>The longitudinal extract does not list endocarditis. Outpatient products in the extract: no curated single-ingredient outpatient regimen. No pre-admission creatinine was present; the first value was 1.2 mg/dL. For ten days the patient had fever, sweats, and fatigue that were new. There was no chronic febrile illness in the history obtained on arrival. A dental extraction occurred two weeks earlier. Skin examination showed no abscess. The dental procedure is the predisposition recorded for this episode. Arrival temperature was 38.4 degrees Celsius. A murmur that the patient did not recognize was present. The working concern was bloodstream infection, not a finished diagnosis of endocarditis.</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Asthma (disorder)</w:t>
      </w:r>
    </w:p>
    <w:p>
      <w:pPr>
        <w:pStyle w:val="ListBullet"/>
        <w:spacing w:after="40" w:before="0"/>
      </w:pPr>
      <w:r>
        <w:rPr>
          <w:rFonts w:ascii="Calibri" w:hAnsi="Calibri" w:cs="Calibri"/>
          <w:b/>
          <w:sz w:val="22"/>
        </w:rPr>
        <w:t xml:space="preserve">Allergies: </w:t>
      </w:r>
      <w:r>
        <w:rPr>
          <w:rFonts w:ascii="Calibri" w:hAnsi="Calibri" w:cs="Calibri"/>
          <w:b w:val="0"/>
          <w:sz w:val="22"/>
        </w:rPr>
        <w:t>Allergic disposition (finding), Lisinopril</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Asthma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Fever and a new murmur</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Two sets of blood cultures were drawn before any antibiotic. They grew Streptococcus sanguinis. A transthoracic echocardiogram then showed an 8 mm mitral vegetation without abscess or severe regurgitation. Dental and skin examinations were recorded as part of the source evaluation. Endocarditis was diagnosed only after the organism and the echocardiogram were both available. The patient did not present with that label already assigned. Ceftriaxone 2 g intravenously once daily was started after the cultures were drawn and was continued once the organism was known to be treated by that regimen. Cardiac surgery saw the patient: there was no abscess, no severe valve failure, and no indication for urgent surgery. Creatinine stayed 1.2 mg/dL, which is the range in which the curated 2 g dose is used. Fever resolved by hospital day 3. A repeat blood culture showed no growth. Appetite and walking had returned. This was day 6 of intravenous ceftriaxone. Outpatient parenteral therapy is logistically feasible at home. The remaining duration has not been signed. Weekly laboratory monitoring and infectious-diseases follow-up are arranged. Infectious diseases follow-up within one week and a weekly chemistry panel were specified.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38.4</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118/68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Bacteria identified in Blood by Culture</w:t>
            </w:r>
          </w:p>
        </w:tc>
        <w:tc>
          <w:tcPr>
            <w:tcW w:type="dxa" w:w="1872"/>
          </w:tcPr>
          <w:p>
            <w:pPr>
              <w:spacing w:after="20" w:before="20"/>
            </w:pPr>
            <w:r>
              <w:rPr>
                <w:rFonts w:ascii="Calibri" w:hAnsi="Calibri" w:cs="Calibri"/>
                <w:b w:val="0"/>
                <w:sz w:val="20"/>
              </w:rPr>
              <w:t>Streptococcus sanguinis</w:t>
            </w:r>
          </w:p>
        </w:tc>
        <w:tc>
          <w:tcPr>
            <w:tcW w:type="dxa" w:w="2160"/>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122/70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ceftriaxone</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streptococcal endocarditis after cultures and echocardiography; Note: Active inpatient therapy on day 6. Clearance cultures show no growth. A discharge duration order has not been signed.</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chemistry panel and blood count</w:t>
            </w:r>
          </w:p>
        </w:tc>
        <w:tc>
          <w:tcPr>
            <w:tcW w:type="dxa" w:w="1958"/>
          </w:tcPr>
          <w:p>
            <w:pPr>
              <w:spacing w:after="20" w:before="20"/>
            </w:pPr>
            <w:r>
              <w:rPr>
                <w:rFonts w:ascii="Calibri" w:hAnsi="Calibri" w:cs="Calibri"/>
                <w:b w:val="0"/>
                <w:sz w:val="20"/>
              </w:rPr>
              <w:t>weekly</w:t>
            </w:r>
          </w:p>
        </w:tc>
        <w:tc>
          <w:tcPr>
            <w:tcW w:type="dxa" w:w="1958"/>
          </w:tcPr>
          <w:p>
            <w:pPr>
              <w:spacing w:after="20" w:before="20"/>
            </w:pPr>
            <w:r>
              <w:rPr>
                <w:rFonts w:ascii="Calibri" w:hAnsi="Calibri" w:cs="Calibri"/>
                <w:b w:val="0"/>
                <w:sz w:val="20"/>
              </w:rPr>
              <w:t>while intravenous therapy continues</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infectious diseases</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Infectious diseases</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infectious diseases</w:t>
            </w:r>
          </w:p>
        </w:tc>
      </w:tr>
      <w:tr>
        <w:trPr>
          <w:cantSplit/>
        </w:trPr>
        <w:tc>
          <w:tcPr>
            <w:tcW w:type="dxa" w:w="3264"/>
          </w:tcPr>
          <w:p>
            <w:pPr>
              <w:spacing w:after="20" w:before="20"/>
            </w:pPr>
            <w:r>
              <w:rPr>
                <w:rFonts w:ascii="Calibri" w:hAnsi="Calibri" w:cs="Calibri"/>
                <w:b w:val="0"/>
                <w:sz w:val="20"/>
              </w:rPr>
              <w:t>Primary care</w:t>
            </w:r>
          </w:p>
        </w:tc>
        <w:tc>
          <w:tcPr>
            <w:tcW w:type="dxa" w:w="3264"/>
          </w:tcPr>
          <w:p>
            <w:pPr>
              <w:spacing w:after="20" w:before="20"/>
            </w:pPr>
            <w:r>
              <w:rPr>
                <w:rFonts w:ascii="Calibri" w:hAnsi="Calibri" w:cs="Calibri"/>
                <w:b w:val="0"/>
                <w:sz w:val="20"/>
              </w:rPr>
              <w:t>within 14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Timepoint</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tcPr>
          <w:p>
            <w:pPr>
              <w:spacing w:after="20" w:before="20"/>
            </w:pPr>
            <w:r>
              <w:rPr>
                <w:rFonts w:ascii="Calibri" w:hAnsi="Calibri" w:cs="Calibri"/>
                <w:b w:val="0"/>
                <w:sz w:val="20"/>
              </w:rPr>
              <w:t>Transthoracic echocardiogram</w:t>
            </w:r>
          </w:p>
        </w:tc>
        <w:tc>
          <w:tcPr>
            <w:tcW w:type="dxa" w:w="3264"/>
          </w:tcPr>
          <w:p>
            <w:pPr>
              <w:spacing w:after="20" w:before="20"/>
            </w:pPr>
            <w:r>
              <w:rPr>
                <w:rFonts w:ascii="Calibri" w:hAnsi="Calibri" w:cs="Calibri"/>
                <w:b w:val="0"/>
                <w:sz w:val="20"/>
              </w:rPr>
              <w:t>hospital day 1</w:t>
            </w:r>
          </w:p>
        </w:tc>
        <w:tc>
          <w:tcPr>
            <w:tcW w:type="dxa" w:w="3264"/>
          </w:tcPr>
          <w:p>
            <w:pPr>
              <w:spacing w:after="20" w:before="20"/>
            </w:pPr>
            <w:r>
              <w:rPr>
                <w:rFonts w:ascii="Calibri" w:hAnsi="Calibri" w:cs="Calibri"/>
                <w:b w:val="0"/>
                <w:sz w:val="20"/>
              </w:rPr>
              <w:t>an 8 mm mitral vegetation without abscess or severe regurgitation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cardiac surgery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an 8 mm mitral vegetation without abscess or severe regurgitation No abscess and no refractory heart failure.</w:t>
            </w:r>
          </w:p>
        </w:tc>
        <w:tc>
          <w:tcPr>
            <w:tcW w:type="dxa" w:w="2448"/>
          </w:tcPr>
          <w:p>
            <w:pPr>
              <w:spacing w:after="20" w:before="20"/>
            </w:pPr>
            <w:r>
              <w:rPr>
                <w:rFonts w:ascii="Calibri" w:hAnsi="Calibri" w:cs="Calibri"/>
                <w:b w:val="0"/>
                <w:sz w:val="20"/>
              </w:rPr>
              <w:t>Urgent surgery is not indicated. Reassess if heart failure or persistent bacteremia develops.</w:t>
            </w:r>
          </w:p>
        </w:tc>
      </w:tr>
      <w:tr>
        <w:trPr>
          <w:cantSplit/>
        </w:trPr>
        <w:tc>
          <w:tcPr>
            <w:tcW w:type="dxa" w:w="2448"/>
          </w:tcPr>
          <w:p>
            <w:pPr>
              <w:spacing w:after="20" w:before="20"/>
            </w:pPr>
            <w:r>
              <w:rPr>
                <w:rFonts w:ascii="Calibri" w:hAnsi="Calibri" w:cs="Calibri"/>
                <w:b w:val="0"/>
                <w:sz w:val="20"/>
              </w:rPr>
              <w:t>infectious diseases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Streptococcus sanguinis endocarditis on the echocardiogram described above.</w:t>
            </w:r>
          </w:p>
        </w:tc>
        <w:tc>
          <w:tcPr>
            <w:tcW w:type="dxa" w:w="2448"/>
          </w:tcPr>
          <w:p>
            <w:pPr>
              <w:spacing w:after="20" w:before="20"/>
            </w:pPr>
            <w:r>
              <w:rPr>
                <w:rFonts w:ascii="Calibri" w:hAnsi="Calibri" w:cs="Calibri"/>
                <w:b w:val="0"/>
                <w:sz w:val="20"/>
              </w:rPr>
              <w:t>Ceftriaxone 2 g intravenously once daily is the inpatient regimen. The unsigned question is completing it after discharge.</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Timepoint</w:t>
            </w:r>
          </w:p>
        </w:tc>
        <w:tc>
          <w:tcPr>
            <w:tcW w:type="dxa" w:w="1399"/>
            <w:shd w:val="clear" w:color="auto" w:fill="D9E2F3"/>
          </w:tcPr>
          <w:p>
            <w:pPr>
              <w:spacing w:after="20" w:before="20"/>
            </w:pPr>
            <w:r>
              <w:rPr>
                <w:rFonts w:ascii="Calibri" w:hAnsi="Calibri" w:cs="Calibri"/>
                <w:b/>
                <w:sz w:val="20"/>
              </w:rPr>
              <w:t>Specimen</w:t>
            </w:r>
          </w:p>
        </w:tc>
        <w:tc>
          <w:tcPr>
            <w:tcW w:type="dxa" w:w="1399"/>
            <w:shd w:val="clear" w:color="auto" w:fill="D9E2F3"/>
          </w:tcPr>
          <w:p>
            <w:pPr>
              <w:spacing w:after="20" w:before="20"/>
            </w:pPr>
            <w:r>
              <w:rPr>
                <w:rFonts w:ascii="Calibri" w:hAnsi="Calibri" w:cs="Calibri"/>
                <w:b/>
                <w:sz w:val="20"/>
              </w:rPr>
              <w:t>Test</w:t>
            </w:r>
          </w:p>
        </w:tc>
        <w:tc>
          <w:tcPr>
            <w:tcW w:type="dxa" w:w="1399"/>
            <w:shd w:val="clear" w:color="auto" w:fill="D9E2F3"/>
          </w:tcPr>
          <w:p>
            <w:pPr>
              <w:spacing w:after="20" w:before="20"/>
            </w:pPr>
            <w:r>
              <w:rPr>
                <w:rFonts w:ascii="Calibri" w:hAnsi="Calibri" w:cs="Calibri"/>
                <w:b/>
                <w:sz w:val="20"/>
              </w:rPr>
              <w:t>Organism</w:t>
            </w:r>
          </w:p>
        </w:tc>
        <w:tc>
          <w:tcPr>
            <w:tcW w:type="dxa" w:w="1399"/>
            <w:shd w:val="clear" w:color="auto" w:fill="D9E2F3"/>
          </w:tcPr>
          <w:p>
            <w:pPr>
              <w:spacing w:after="20" w:before="20"/>
            </w:pPr>
            <w:r>
              <w:rPr>
                <w:rFonts w:ascii="Calibri" w:hAnsi="Calibri" w:cs="Calibri"/>
                <w:b/>
                <w:sz w:val="20"/>
              </w:rPr>
              <w:t>Result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Notes</w:t>
            </w:r>
          </w:p>
        </w:tc>
      </w:tr>
      <w:tr>
        <w:trPr>
          <w:cantSplit/>
        </w:trPr>
        <w:tc>
          <w:tcPr>
            <w:tcW w:type="dxa" w:w="1399"/>
          </w:tcPr>
          <w:p>
            <w:pPr>
              <w:spacing w:after="20" w:before="20"/>
            </w:pPr>
            <w:r>
              <w:rPr>
                <w:rFonts w:ascii="Calibri" w:hAnsi="Calibri" w:cs="Calibri"/>
                <w:b w:val="0"/>
                <w:sz w:val="20"/>
              </w:rPr>
              <w:t>admission</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t>Streptococcus sanguinis</w:t>
            </w:r>
          </w:p>
        </w:tc>
        <w:tc>
          <w:tcPr>
            <w:tcW w:type="dxa" w:w="1399"/>
          </w:tcPr>
          <w:p>
            <w:pPr>
              <w:spacing w:after="20" w:before="20"/>
            </w:pPr>
            <w:r>
              <w:rPr>
                <w:rFonts w:ascii="Calibri" w:hAnsi="Calibri" w:cs="Calibri"/>
                <w:b w:val="0"/>
                <w:sz w:val="20"/>
              </w:rPr>
              <w:t>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Drawn before the first antibiotic dose.</w:t>
            </w:r>
          </w:p>
        </w:tc>
      </w:tr>
      <w:tr>
        <w:trPr>
          <w:cantSplit/>
        </w:trPr>
        <w:tc>
          <w:tcPr>
            <w:tcW w:type="dxa" w:w="1399"/>
          </w:tcPr>
          <w:p>
            <w:pPr>
              <w:spacing w:after="20" w:before="20"/>
            </w:pPr>
            <w:r>
              <w:rPr>
                <w:rFonts w:ascii="Calibri" w:hAnsi="Calibri" w:cs="Calibri"/>
                <w:b w:val="0"/>
                <w:sz w:val="20"/>
              </w:rPr>
              <w:t>pre discharge</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r>
          </w:p>
        </w:tc>
        <w:tc>
          <w:tcPr>
            <w:tcW w:type="dxa" w:w="1399"/>
          </w:tcPr>
          <w:p>
            <w:pPr>
              <w:spacing w:after="20" w:before="20"/>
            </w:pPr>
            <w:r>
              <w:rPr>
                <w:rFonts w:ascii="Calibri" w:hAnsi="Calibri" w:cs="Calibri"/>
                <w:b w:val="0"/>
                <w:sz w:val="20"/>
              </w:rPr>
              <w:t>no 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Clearance culture after treatment had begun.</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4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ceftriaxone</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2000 MG</w:t>
            </w:r>
          </w:p>
        </w:tc>
        <w:tc>
          <w:tcPr>
            <w:tcW w:type="dxa" w:w="1008"/>
          </w:tcPr>
          <w:p>
            <w:pPr>
              <w:spacing w:after="20" w:before="20"/>
            </w:pPr>
            <w:r>
              <w:rPr>
                <w:rFonts w:ascii="Calibri" w:hAnsi="Calibri" w:cs="Calibri"/>
                <w:b w:val="0"/>
                <w:sz w:val="20"/>
              </w:rPr>
              <w:t>intravenous</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streptococcal endocarditis after cultures and echocardiography</w:t>
            </w:r>
          </w:p>
        </w:tc>
        <w:tc>
          <w:tcPr>
            <w:tcW w:type="dxa" w:w="1728"/>
          </w:tcPr>
          <w:p>
            <w:pPr>
              <w:spacing w:after="20" w:before="20"/>
            </w:pPr>
            <w:r>
              <w:rPr>
                <w:rFonts w:ascii="Calibri" w:hAnsi="Calibri" w:cs="Calibri"/>
                <w:b w:val="0"/>
                <w:sz w:val="20"/>
              </w:rPr>
              <w:t>Continuing ceftriaxone 2 g once daily to finish a four-week course is supported by the organism, the echocardiogram, preserved creatinine, clearance of bacteremia, and feasible outpatient parenteral therapy.</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ceftriaxone</w:t>
            </w:r>
          </w:p>
        </w:tc>
        <w:tc>
          <w:tcPr>
            <w:tcW w:type="dxa" w:w="3312"/>
          </w:tcPr>
          <w:p>
            <w:pPr>
              <w:spacing w:after="20" w:before="20"/>
            </w:pPr>
            <w:r>
              <w:rPr>
                <w:rFonts w:ascii="Calibri" w:hAnsi="Calibri" w:cs="Calibri"/>
                <w:b w:val="0"/>
                <w:sz w:val="20"/>
              </w:rPr>
              <w:t>Weekly chemistry panel and complete blood count.</w:t>
            </w:r>
          </w:p>
        </w:tc>
        <w:tc>
          <w:tcPr>
            <w:tcW w:type="dxa" w:w="3312"/>
          </w:tcPr>
          <w:p>
            <w:pPr>
              <w:spacing w:after="20" w:before="20"/>
            </w:pPr>
            <w:r>
              <w:rPr>
                <w:rFonts w:ascii="Calibri" w:hAnsi="Calibri" w:cs="Calibri"/>
                <w:b w:val="0"/>
                <w:sz w:val="20"/>
              </w:rPr>
              <w:t>Infectious diseases within 7 days.</w:t>
            </w:r>
          </w:p>
        </w:tc>
      </w:tr>
    </w:tbl>
    <w:p>
      <w:pPr>
        <w:spacing w:after="40"/>
      </w:pPr>
    </w:p>
    <w:p>
      <w:pPr>
        <w:spacing w:after="120"/>
      </w:pPr>
      <w:r>
        <w:rPr>
          <w:rFonts w:ascii="Calibri" w:hAnsi="Calibri" w:cs="Calibri"/>
          <w:b w:val="0"/>
          <w:sz w:val="22"/>
        </w:rPr>
        <w:t>Matched counterpart: VAL-809</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1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5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1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5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1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5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6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6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6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6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2"/>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G2-013</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61</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83.5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transplant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cytomegalovirus disease established during the hospitalization, not as the presenting label</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61-year-old Male with cytomegalovirus disease established during the hospitalization, not as the presenting label</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Diarrhea</w:t>
      </w:r>
    </w:p>
    <w:p>
      <w:pPr>
        <w:pStyle w:val="ListBullet"/>
        <w:spacing w:after="40" w:before="0"/>
      </w:pPr>
      <w:r>
        <w:rPr>
          <w:rFonts w:ascii="Calibri" w:hAnsi="Calibri" w:cs="Calibri"/>
          <w:b/>
          <w:sz w:val="22"/>
        </w:rPr>
        <w:t xml:space="preserve">Symptoms: </w:t>
      </w:r>
      <w:r>
        <w:rPr>
          <w:rFonts w:ascii="Calibri" w:hAnsi="Calibri" w:cs="Calibri"/>
          <w:b w:val="0"/>
          <w:sz w:val="22"/>
        </w:rPr>
        <w:t>diarrhea</w:t>
      </w:r>
    </w:p>
    <w:p>
      <w:pPr>
        <w:pStyle w:val="ListBullet"/>
        <w:spacing w:after="40" w:before="0"/>
      </w:pPr>
      <w:r>
        <w:rPr>
          <w:rFonts w:ascii="Calibri" w:hAnsi="Calibri" w:cs="Calibri"/>
          <w:b/>
          <w:sz w:val="22"/>
        </w:rPr>
        <w:t xml:space="preserve">Symptom duration: </w:t>
      </w:r>
      <w:r>
        <w:rPr>
          <w:rFonts w:ascii="Calibri" w:hAnsi="Calibri" w:cs="Calibri"/>
          <w:b w:val="0"/>
          <w:sz w:val="22"/>
        </w:rPr>
        <w:t>eight days</w:t>
      </w:r>
    </w:p>
    <w:p>
      <w:pPr>
        <w:pStyle w:val="ListBullet"/>
        <w:spacing w:after="40" w:before="0"/>
      </w:pPr>
      <w:r>
        <w:rPr>
          <w:rFonts w:ascii="Calibri" w:hAnsi="Calibri" w:cs="Calibri"/>
          <w:b/>
          <w:sz w:val="22"/>
        </w:rPr>
        <w:t xml:space="preserve">Symptom course: </w:t>
      </w:r>
      <w:r>
        <w:rPr>
          <w:rFonts w:ascii="Calibri" w:hAnsi="Calibri" w:cs="Calibri"/>
          <w:b w:val="0"/>
          <w:sz w:val="22"/>
        </w:rPr>
        <w:t>stool frequency or fever improved after diagnosis and antiviral therapy</w:t>
      </w:r>
    </w:p>
    <w:p>
      <w:pPr>
        <w:pStyle w:val="Heading3"/>
      </w:pPr>
      <w:r>
        <w:rPr>
          <w:rFonts w:ascii="Calibri" w:hAnsi="Calibri"/>
          <w:color w:val="1F3A5F"/>
        </w:rPr>
        <w:t>History of present illness</w:t>
      </w:r>
    </w:p>
    <w:p>
      <w:pPr>
        <w:spacing w:after="120"/>
      </w:pPr>
      <w:r>
        <w:rPr>
          <w:rFonts w:ascii="Calibri" w:hAnsi="Calibri" w:cs="Calibri"/>
          <w:b w:val="0"/>
          <w:sz w:val="22"/>
        </w:rPr>
        <w:t>The longitudinal record includes renal transplant status and extended-release tacrolimus. Other outpatient products in the extract: Hydrochlorothiazide 25 MG Oral Tablet; 24 HR tacrolimus 1 MG Extended Release Oral Tablet [Envarsus]; amLODIPine 2.5 MG Oral Tablet. Valganciclovir was not a home medicine. None was inferred from transplant status alone. Eight days of watery stool, up to ten movements a day, were new. The transplant and the immunosuppression are the predisposition. Stool testing for Clostridioides difficile toxin was negative before cytomegalovirus testing was treated as the cause. Arrival creatinine was 1.8 mg/dL and potassium was 3.2 mmol/L. The mucous membranes were dry. The presentation was the symptom above, not a preassigned cytomegalovirus diagnosis.</w:t>
      </w:r>
    </w:p>
    <w:p>
      <w:pPr>
        <w:pStyle w:val="Heading3"/>
      </w:pPr>
      <w:r>
        <w:rPr>
          <w:rFonts w:ascii="Calibri" w:hAnsi="Calibri"/>
          <w:color w:val="1F3A5F"/>
        </w:rPr>
        <w:t>Admission note</w:t>
      </w:r>
    </w:p>
    <w:p>
      <w:pPr>
        <w:spacing w:after="120"/>
      </w:pPr>
      <w:r>
        <w:rPr>
          <w:rFonts w:ascii="Calibri" w:hAnsi="Calibri" w:cs="Calibri"/>
          <w:b w:val="0"/>
          <w:sz w:val="22"/>
        </w:rPr>
        <w:t>The longitudinal record includes renal transplant status and extended-release tacrolimus. Other outpatient products in the extract: Hydrochlorothiazide 25 MG Oral Tablet; 24 HR tacrolimus 1 MG Extended Release Oral Tablet [Envarsus]; amLODIPine 2.5 MG Oral Tablet. Valganciclovir was not a home medicine. None was inferred from transplant status alone. Eight days of watery stool, up to ten movements a day, were new. The transplant and the immunosuppression are the predisposition. Stool testing for Clostridioides difficile toxin was negative before cytomegalovirus testing was treated as the cause. Arrival creatinine was 1.8 mg/dL and potassium was 3.2 mmol/L. The mucous membranes were dry. The presentation was the symptom above, not a preassigned cytomegalovirus diagnosis.</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Chronic intractable migraine without aura (disorder), Essential hypertension (disorder), Impacted molars (disorder), Kidney transplant status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Chronic intractable migraine without aura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hypertension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Impacted molars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Cytomegalovirus colitis</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Acute kidney failure, unspecified</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Hypokalemia</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Plasma cytomegalovirus DNA was detected after the symptom evaluation. Flexible sigmoidoscopy then showed colitis, and the biopsy was consistent with cytomegalovirus colitis. The cytomegalovirus diagnosis followed that testing. It was not the admitting label. Valganciclovir induction, 900 MG twice daily, was started only after the diagnostic result. Tacrolimus was continued at the recorded once-daily extended-release dose. Mycophenolate was not added, because it was not in the longitudinal record. Creatinine at that point was 1.8 mg/dL and later 1.2 mg/dL, within the range for the full induction dose. Stool frequency fell to three movements a day and the patient was drinking. Potassium was 4.0 mmol/L after having been 3.2. Creatinine was 1.2 mg/dL. Plasma cytomegalovirus DNA was still detected, which is expected this early. The patient was keeping fluids down and walking. Follow-up with infectious diseases was arranged. The induction course was not signed as a finished discharge list. Weekly laboratory monitoring and infectious diseases follow-up were specified.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37.1</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108/64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112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3.2</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Leukocytes [#/volume] in Blood by Automated count</w:t>
            </w:r>
          </w:p>
        </w:tc>
        <w:tc>
          <w:tcPr>
            <w:tcW w:type="dxa" w:w="1872"/>
          </w:tcPr>
          <w:p>
            <w:pPr>
              <w:spacing w:after="20" w:before="20"/>
            </w:pPr>
            <w:r>
              <w:rPr>
                <w:rFonts w:ascii="Calibri" w:hAnsi="Calibri" w:cs="Calibri"/>
                <w:b w:val="0"/>
                <w:sz w:val="20"/>
              </w:rPr>
              <w:t>6.2</w:t>
            </w:r>
          </w:p>
        </w:tc>
        <w:tc>
          <w:tcPr>
            <w:tcW w:type="dxa" w:w="2160"/>
          </w:tcPr>
          <w:p>
            <w:pPr>
              <w:spacing w:after="20" w:before="20"/>
            </w:pPr>
            <w:r>
              <w:rPr>
                <w:rFonts w:ascii="Calibri" w:hAnsi="Calibri" w:cs="Calibri"/>
                <w:b w:val="0"/>
                <w:sz w:val="20"/>
              </w:rPr>
              <w:t>10*3/uL</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124/74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4.0</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Cytomegalovirus DNA [Presence] in Serum or Plasma by NAA with probe detection</w:t>
            </w:r>
          </w:p>
        </w:tc>
        <w:tc>
          <w:tcPr>
            <w:tcW w:type="dxa" w:w="1872"/>
          </w:tcPr>
          <w:p>
            <w:pPr>
              <w:spacing w:after="20" w:before="20"/>
            </w:pPr>
            <w:r>
              <w:rPr>
                <w:rFonts w:ascii="Calibri" w:hAnsi="Calibri" w:cs="Calibri"/>
                <w:b w:val="0"/>
                <w:sz w:val="20"/>
              </w:rPr>
              <w:t>detected</w:t>
            </w:r>
          </w:p>
        </w:tc>
        <w:tc>
          <w:tcPr>
            <w:tcW w:type="dxa" w:w="2160"/>
          </w:tcPr>
          <w:p>
            <w:pPr>
              <w:spacing w:after="20" w:before="20"/>
            </w:pPr>
            <w:r>
              <w:rPr>
                <w:rFonts w:ascii="Calibri" w:hAnsi="Calibri" w:cs="Calibri"/>
                <w:b w:val="0"/>
                <w:sz w:val="20"/>
              </w:rPr>
            </w:r>
          </w:p>
        </w:tc>
      </w:tr>
      <w:tr>
        <w:trPr>
          <w:cantSplit/>
        </w:trPr>
        <w:tc>
          <w:tcPr>
            <w:tcW w:type="dxa" w:w="5760"/>
          </w:tcPr>
          <w:p>
            <w:pPr>
              <w:spacing w:after="20" w:before="20"/>
            </w:pPr>
            <w:r>
              <w:rPr>
                <w:rFonts w:ascii="Calibri" w:hAnsi="Calibri" w:cs="Calibri"/>
                <w:b w:val="0"/>
                <w:sz w:val="20"/>
              </w:rPr>
              <w:t>Leukocytes [#/volume] in Blood by Automated count</w:t>
            </w:r>
          </w:p>
        </w:tc>
        <w:tc>
          <w:tcPr>
            <w:tcW w:type="dxa" w:w="1872"/>
          </w:tcPr>
          <w:p>
            <w:pPr>
              <w:spacing w:after="20" w:before="20"/>
            </w:pPr>
            <w:r>
              <w:rPr>
                <w:rFonts w:ascii="Calibri" w:hAnsi="Calibri" w:cs="Calibri"/>
                <w:b w:val="0"/>
                <w:sz w:val="20"/>
              </w:rPr>
              <w:t>5.8</w:t>
            </w:r>
          </w:p>
        </w:tc>
        <w:tc>
          <w:tcPr>
            <w:tcW w:type="dxa" w:w="2160"/>
          </w:tcPr>
          <w:p>
            <w:pPr>
              <w:spacing w:after="20" w:before="20"/>
            </w:pPr>
            <w:r>
              <w:rPr>
                <w:rFonts w:ascii="Calibri" w:hAnsi="Calibri" w:cs="Calibri"/>
                <w:b w:val="0"/>
                <w:sz w:val="20"/>
              </w:rPr>
              <w:t>10*3/uL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hydrochlorothiazide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tacrolimus</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maintenance immunosuppression after kidney transplant; Note: Extended-release tacrolimus was continued once daily. It was not converted to an every-12-hour product.</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hydrochlorothiazide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tacrolimus</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maintenance immunosuppression after kidney transplant; Note: Extended-release tacrolimus was continued once daily. It was not converted to an every-12-hour product.</w:t>
            </w:r>
          </w:p>
        </w:tc>
      </w:tr>
      <w:tr>
        <w:trPr>
          <w:cantSplit/>
        </w:trPr>
        <w:tc>
          <w:tcPr>
            <w:tcW w:type="dxa" w:w="3384"/>
          </w:tcPr>
          <w:p>
            <w:pPr>
              <w:spacing w:after="20" w:before="20"/>
            </w:pPr>
            <w:r>
              <w:rPr>
                <w:rFonts w:ascii="Calibri" w:hAnsi="Calibri" w:cs="Calibri"/>
                <w:b w:val="0"/>
                <w:sz w:val="20"/>
              </w:rPr>
              <w:t>valganciclovir</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cytomegalovirus induction after laboratory or histologic confirmation; Note: Started after confirmation. Not a home medicine. Induction dose 900 MG twice daily.</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complete blood count, creatinine, and cytomegalovirus DNA</w:t>
            </w:r>
          </w:p>
        </w:tc>
        <w:tc>
          <w:tcPr>
            <w:tcW w:type="dxa" w:w="1958"/>
          </w:tcPr>
          <w:p>
            <w:pPr>
              <w:spacing w:after="20" w:before="20"/>
            </w:pPr>
            <w:r>
              <w:rPr>
                <w:rFonts w:ascii="Calibri" w:hAnsi="Calibri" w:cs="Calibri"/>
                <w:b w:val="0"/>
                <w:sz w:val="20"/>
              </w:rPr>
              <w:t>weekly</w:t>
            </w:r>
          </w:p>
        </w:tc>
        <w:tc>
          <w:tcPr>
            <w:tcW w:type="dxa" w:w="1958"/>
          </w:tcPr>
          <w:p>
            <w:pPr>
              <w:spacing w:after="20" w:before="20"/>
            </w:pPr>
            <w:r>
              <w:rPr>
                <w:rFonts w:ascii="Calibri" w:hAnsi="Calibri" w:cs="Calibri"/>
                <w:b w:val="0"/>
                <w:sz w:val="20"/>
              </w:rPr>
              <w:t>during induction</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infectious diseases</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infectious diseases</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infectious diseases</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Procedures</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Procedure</w:t>
            </w:r>
          </w:p>
        </w:tc>
        <w:tc>
          <w:tcPr>
            <w:tcW w:type="dxa" w:w="1958"/>
            <w:shd w:val="clear" w:color="auto" w:fill="D9E2F3"/>
          </w:tcPr>
          <w:p>
            <w:pPr>
              <w:spacing w:after="20" w:before="20"/>
            </w:pPr>
            <w:r>
              <w:rPr>
                <w:rFonts w:ascii="Calibri" w:hAnsi="Calibri" w:cs="Calibri"/>
                <w:b/>
                <w:sz w:val="20"/>
              </w:rPr>
              <w:t>Type</w:t>
            </w:r>
          </w:p>
        </w:tc>
        <w:tc>
          <w:tcPr>
            <w:tcW w:type="dxa" w:w="1958"/>
            <w:shd w:val="clear" w:color="auto" w:fill="D9E2F3"/>
          </w:tcPr>
          <w:p>
            <w:pPr>
              <w:spacing w:after="20" w:before="20"/>
            </w:pPr>
            <w:r>
              <w:rPr>
                <w:rFonts w:ascii="Calibri" w:hAnsi="Calibri" w:cs="Calibri"/>
                <w:b/>
                <w:sz w:val="20"/>
              </w:rPr>
              <w:t>Time</w:t>
            </w:r>
          </w:p>
        </w:tc>
        <w:tc>
          <w:tcPr>
            <w:tcW w:type="dxa" w:w="1958"/>
            <w:shd w:val="clear" w:color="auto" w:fill="D9E2F3"/>
          </w:tcPr>
          <w:p>
            <w:pPr>
              <w:spacing w:after="20" w:before="20"/>
            </w:pPr>
            <w:r>
              <w:rPr>
                <w:rFonts w:ascii="Calibri" w:hAnsi="Calibri" w:cs="Calibri"/>
                <w:b/>
                <w:sz w:val="20"/>
              </w:rPr>
              <w:t>Findings</w:t>
            </w:r>
          </w:p>
        </w:tc>
        <w:tc>
          <w:tcPr>
            <w:tcW w:type="dxa" w:w="1958"/>
            <w:shd w:val="clear" w:color="auto" w:fill="D9E2F3"/>
          </w:tcPr>
          <w:p>
            <w:pPr>
              <w:spacing w:after="20" w:before="20"/>
            </w:pPr>
            <w:r>
              <w:rPr>
                <w:rFonts w:ascii="Calibri" w:hAnsi="Calibri" w:cs="Calibri"/>
                <w:b/>
                <w:sz w:val="20"/>
              </w:rPr>
              <w:t>Complications</w:t>
            </w:r>
          </w:p>
        </w:tc>
      </w:tr>
      <w:tr>
        <w:trPr>
          <w:cantSplit/>
        </w:trPr>
        <w:tc>
          <w:tcPr>
            <w:tcW w:type="dxa" w:w="1958"/>
          </w:tcPr>
          <w:p>
            <w:pPr>
              <w:spacing w:after="20" w:before="20"/>
            </w:pPr>
            <w:r>
              <w:rPr>
                <w:rFonts w:ascii="Calibri" w:hAnsi="Calibri" w:cs="Calibri"/>
                <w:b w:val="0"/>
                <w:sz w:val="20"/>
              </w:rPr>
              <w:t>Flexible sigmoidoscopy with biopsy</w:t>
            </w:r>
          </w:p>
        </w:tc>
        <w:tc>
          <w:tcPr>
            <w:tcW w:type="dxa" w:w="1958"/>
          </w:tcPr>
          <w:p>
            <w:pPr>
              <w:spacing w:after="20" w:before="20"/>
            </w:pPr>
            <w:r>
              <w:rPr>
                <w:rFonts w:ascii="Calibri" w:hAnsi="Calibri" w:cs="Calibri"/>
                <w:b w:val="0"/>
                <w:sz w:val="20"/>
              </w:rPr>
              <w:t>inpatient</w:t>
            </w:r>
          </w:p>
        </w:tc>
        <w:tc>
          <w:tcPr>
            <w:tcW w:type="dxa" w:w="1958"/>
          </w:tcPr>
          <w:p>
            <w:pPr>
              <w:spacing w:after="20" w:before="20"/>
            </w:pPr>
            <w:r>
              <w:rPr>
                <w:rFonts w:ascii="Calibri" w:hAnsi="Calibri" w:cs="Calibri"/>
                <w:b w:val="0"/>
                <w:sz w:val="20"/>
              </w:rPr>
              <w:t>hospital day 2</w:t>
            </w:r>
          </w:p>
        </w:tc>
        <w:tc>
          <w:tcPr>
            <w:tcW w:type="dxa" w:w="1958"/>
          </w:tcPr>
          <w:p>
            <w:pPr>
              <w:spacing w:after="20" w:before="20"/>
            </w:pPr>
            <w:r>
              <w:rPr>
                <w:rFonts w:ascii="Calibri" w:hAnsi="Calibri" w:cs="Calibri"/>
                <w:b w:val="0"/>
                <w:sz w:val="20"/>
              </w:rPr>
              <w:t>Colitis. Biopsy consistent with cytomegalovirus.</w:t>
            </w:r>
          </w:p>
        </w:tc>
        <w:tc>
          <w:tcPr>
            <w:tcW w:type="dxa" w:w="1958"/>
          </w:tcPr>
          <w:p>
            <w:pPr>
              <w:spacing w:after="20" w:before="20"/>
            </w:pPr>
            <w:r>
              <w:rPr>
                <w:rFonts w:ascii="Calibri" w:hAnsi="Calibri" w:cs="Calibri"/>
                <w:b w:val="0"/>
                <w:sz w:val="20"/>
              </w:rPr>
              <w:t>none</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632"/>
        <w:gridCol w:w="1632"/>
        <w:gridCol w:w="1632"/>
        <w:gridCol w:w="1632"/>
        <w:gridCol w:w="1632"/>
        <w:gridCol w:w="1632"/>
      </w:tblGrid>
      <w:tr>
        <w:trPr>
          <w:tblHeader/>
          <w:cantSplit/>
        </w:trPr>
        <w:tc>
          <w:tcPr>
            <w:tcW w:type="dxa" w:w="1632"/>
            <w:shd w:val="clear" w:color="auto" w:fill="D9E2F3"/>
          </w:tcPr>
          <w:p>
            <w:pPr>
              <w:spacing w:after="20" w:before="20"/>
            </w:pPr>
            <w:r>
              <w:rPr>
                <w:rFonts w:ascii="Calibri" w:hAnsi="Calibri" w:cs="Calibri"/>
                <w:b/>
                <w:sz w:val="20"/>
              </w:rPr>
              <w:t>Timepoint</w:t>
            </w:r>
          </w:p>
        </w:tc>
        <w:tc>
          <w:tcPr>
            <w:tcW w:type="dxa" w:w="1632"/>
            <w:shd w:val="clear" w:color="auto" w:fill="D9E2F3"/>
          </w:tcPr>
          <w:p>
            <w:pPr>
              <w:spacing w:after="20" w:before="20"/>
            </w:pPr>
            <w:r>
              <w:rPr>
                <w:rFonts w:ascii="Calibri" w:hAnsi="Calibri" w:cs="Calibri"/>
                <w:b/>
                <w:sz w:val="20"/>
              </w:rPr>
              <w:t>Specimen</w:t>
            </w:r>
          </w:p>
        </w:tc>
        <w:tc>
          <w:tcPr>
            <w:tcW w:type="dxa" w:w="1632"/>
            <w:shd w:val="clear" w:color="auto" w:fill="D9E2F3"/>
          </w:tcPr>
          <w:p>
            <w:pPr>
              <w:spacing w:after="20" w:before="20"/>
            </w:pPr>
            <w:r>
              <w:rPr>
                <w:rFonts w:ascii="Calibri" w:hAnsi="Calibri" w:cs="Calibri"/>
                <w:b/>
                <w:sz w:val="20"/>
              </w:rPr>
              <w:t>Test</w:t>
            </w:r>
          </w:p>
        </w:tc>
        <w:tc>
          <w:tcPr>
            <w:tcW w:type="dxa" w:w="1632"/>
            <w:shd w:val="clear" w:color="auto" w:fill="D9E2F3"/>
          </w:tcPr>
          <w:p>
            <w:pPr>
              <w:spacing w:after="20" w:before="20"/>
            </w:pPr>
            <w:r>
              <w:rPr>
                <w:rFonts w:ascii="Calibri" w:hAnsi="Calibri" w:cs="Calibri"/>
                <w:b/>
                <w:sz w:val="20"/>
              </w:rPr>
              <w:t>Result</w:t>
            </w:r>
          </w:p>
        </w:tc>
        <w:tc>
          <w:tcPr>
            <w:tcW w:type="dxa" w:w="1632"/>
            <w:shd w:val="clear" w:color="auto" w:fill="D9E2F3"/>
          </w:tcPr>
          <w:p>
            <w:pPr>
              <w:spacing w:after="20" w:before="20"/>
            </w:pPr>
            <w:r>
              <w:rPr>
                <w:rFonts w:ascii="Calibri" w:hAnsi="Calibri" w:cs="Calibri"/>
                <w:b/>
                <w:sz w:val="20"/>
              </w:rPr>
              <w:t>Status</w:t>
            </w:r>
          </w:p>
        </w:tc>
        <w:tc>
          <w:tcPr>
            <w:tcW w:type="dxa" w:w="1632"/>
            <w:shd w:val="clear" w:color="auto" w:fill="D9E2F3"/>
          </w:tcPr>
          <w:p>
            <w:pPr>
              <w:spacing w:after="20" w:before="20"/>
            </w:pPr>
            <w:r>
              <w:rPr>
                <w:rFonts w:ascii="Calibri" w:hAnsi="Calibri" w:cs="Calibri"/>
                <w:b/>
                <w:sz w:val="20"/>
              </w:rPr>
              <w:t>Notes</w:t>
            </w:r>
          </w:p>
        </w:tc>
      </w:tr>
      <w:tr>
        <w:trPr>
          <w:cantSplit/>
        </w:trPr>
        <w:tc>
          <w:tcPr>
            <w:tcW w:type="dxa" w:w="1632"/>
          </w:tcPr>
          <w:p>
            <w:pPr>
              <w:spacing w:after="20" w:before="20"/>
            </w:pPr>
            <w:r>
              <w:rPr>
                <w:rFonts w:ascii="Calibri" w:hAnsi="Calibri" w:cs="Calibri"/>
                <w:b w:val="0"/>
                <w:sz w:val="20"/>
              </w:rPr>
              <w:t>admission</w:t>
            </w:r>
          </w:p>
        </w:tc>
        <w:tc>
          <w:tcPr>
            <w:tcW w:type="dxa" w:w="1632"/>
          </w:tcPr>
          <w:p>
            <w:pPr>
              <w:spacing w:after="20" w:before="20"/>
            </w:pPr>
            <w:r>
              <w:rPr>
                <w:rFonts w:ascii="Calibri" w:hAnsi="Calibri" w:cs="Calibri"/>
                <w:b w:val="0"/>
                <w:sz w:val="20"/>
              </w:rPr>
              <w:t>stool</w:t>
            </w:r>
          </w:p>
        </w:tc>
        <w:tc>
          <w:tcPr>
            <w:tcW w:type="dxa" w:w="1632"/>
          </w:tcPr>
          <w:p>
            <w:pPr>
              <w:spacing w:after="20" w:before="20"/>
            </w:pPr>
            <w:r>
              <w:rPr>
                <w:rFonts w:ascii="Calibri" w:hAnsi="Calibri" w:cs="Calibri"/>
                <w:b w:val="0"/>
                <w:sz w:val="20"/>
              </w:rPr>
              <w:t>Clostridioides difficile toxin</w:t>
            </w:r>
          </w:p>
        </w:tc>
        <w:tc>
          <w:tcPr>
            <w:tcW w:type="dxa" w:w="1632"/>
          </w:tcPr>
          <w:p>
            <w:pPr>
              <w:spacing w:after="20" w:before="20"/>
            </w:pPr>
            <w:r>
              <w:rPr>
                <w:rFonts w:ascii="Calibri" w:hAnsi="Calibri" w:cs="Calibri"/>
                <w:b w:val="0"/>
                <w:sz w:val="20"/>
              </w:rPr>
              <w:t>negative</w:t>
            </w:r>
          </w:p>
        </w:tc>
        <w:tc>
          <w:tcPr>
            <w:tcW w:type="dxa" w:w="1632"/>
          </w:tcPr>
          <w:p>
            <w:pPr>
              <w:spacing w:after="20" w:before="20"/>
            </w:pPr>
            <w:r>
              <w:rPr>
                <w:rFonts w:ascii="Calibri" w:hAnsi="Calibri" w:cs="Calibri"/>
                <w:b w:val="0"/>
                <w:sz w:val="20"/>
              </w:rPr>
              <w:t>final</w:t>
            </w:r>
          </w:p>
        </w:tc>
        <w:tc>
          <w:tcPr>
            <w:tcW w:type="dxa" w:w="1632"/>
          </w:tcPr>
          <w:p>
            <w:pPr>
              <w:spacing w:after="20" w:before="20"/>
            </w:pPr>
            <w:r>
              <w:rPr>
                <w:rFonts w:ascii="Calibri" w:hAnsi="Calibri" w:cs="Calibri"/>
                <w:b w:val="0"/>
                <w:sz w:val="20"/>
              </w:rPr>
              <w:t>Result available before antiviral therapy.</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2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2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20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tacrolimus</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maintenance immunosuppression after kidney transplant</w:t>
            </w:r>
          </w:p>
        </w:tc>
        <w:tc>
          <w:tcPr>
            <w:tcW w:type="dxa" w:w="1728"/>
          </w:tcPr>
          <w:p>
            <w:pPr>
              <w:spacing w:after="20" w:before="20"/>
            </w:pPr>
            <w:r>
              <w:rPr>
                <w:rFonts w:ascii="Calibri" w:hAnsi="Calibri" w:cs="Calibri"/>
                <w:b w:val="0"/>
                <w:sz w:val="20"/>
              </w:rPr>
              <w:t>Continuing the recorded extended-release dose is supported by ongoing transplant indication and the absence of a toxicity event that required a change.</w:t>
            </w:r>
          </w:p>
        </w:tc>
      </w:tr>
      <w:tr>
        <w:trPr>
          <w:cantSplit/>
        </w:trPr>
        <w:tc>
          <w:tcPr>
            <w:tcW w:type="dxa" w:w="1872"/>
          </w:tcPr>
          <w:p>
            <w:pPr>
              <w:spacing w:after="20" w:before="20"/>
            </w:pPr>
            <w:r>
              <w:rPr>
                <w:rFonts w:ascii="Calibri" w:hAnsi="Calibri" w:cs="Calibri"/>
                <w:b w:val="0"/>
                <w:sz w:val="20"/>
              </w:rPr>
              <w:t>valganciclovir</w:t>
            </w:r>
          </w:p>
        </w:tc>
        <w:tc>
          <w:tcPr>
            <w:tcW w:type="dxa" w:w="1152"/>
          </w:tcPr>
          <w:p>
            <w:pPr>
              <w:spacing w:after="20" w:before="20"/>
            </w:pPr>
            <w:r>
              <w:rPr>
                <w:rFonts w:ascii="Calibri" w:hAnsi="Calibri" w:cs="Calibri"/>
                <w:b w:val="0"/>
                <w:sz w:val="20"/>
              </w:rPr>
              <w:t>new_start</w:t>
            </w:r>
          </w:p>
        </w:tc>
        <w:tc>
          <w:tcPr>
            <w:tcW w:type="dxa" w:w="1008"/>
          </w:tcPr>
          <w:p>
            <w:pPr>
              <w:spacing w:after="20" w:before="20"/>
            </w:pPr>
            <w:r>
              <w:rPr>
                <w:rFonts w:ascii="Calibri" w:hAnsi="Calibri" w:cs="Calibri"/>
                <w:b w:val="0"/>
                <w:sz w:val="20"/>
              </w:rPr>
              <w:t>900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cytomegalovirus induction after laboratory or histologic confirmation</w:t>
            </w:r>
          </w:p>
        </w:tc>
        <w:tc>
          <w:tcPr>
            <w:tcW w:type="dxa" w:w="1728"/>
          </w:tcPr>
          <w:p>
            <w:pPr>
              <w:spacing w:after="20" w:before="20"/>
            </w:pPr>
            <w:r>
              <w:rPr>
                <w:rFonts w:ascii="Calibri" w:hAnsi="Calibri" w:cs="Calibri"/>
                <w:b w:val="0"/>
                <w:sz w:val="20"/>
              </w:rPr>
              <w:t>Starting induction is supported because the drug was absent at home, the diagnosis followed testing, and renal function allows the labeled induction dose.</w:t>
            </w:r>
          </w:p>
        </w:tc>
      </w:tr>
      <w:tr>
        <w:trPr>
          <w:cantSplit/>
        </w:trPr>
        <w:tc>
          <w:tcPr>
            <w:tcW w:type="dxa" w:w="1872"/>
          </w:tcPr>
          <w:p>
            <w:pPr>
              <w:spacing w:after="20" w:before="20"/>
            </w:pPr>
            <w:r>
              <w:rPr>
                <w:rFonts w:ascii="Calibri" w:hAnsi="Calibri" w:cs="Calibri"/>
                <w:b w:val="0"/>
                <w:sz w:val="20"/>
              </w:rPr>
              <w:t>hydrochlorothiazide</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Thiazide during diarrheal volume loss</w:t>
            </w:r>
          </w:p>
        </w:tc>
        <w:tc>
          <w:tcPr>
            <w:tcW w:type="dxa" w:w="1728"/>
          </w:tcPr>
          <w:p>
            <w:pPr>
              <w:spacing w:after="20" w:before="20"/>
            </w:pPr>
            <w:r>
              <w:rPr>
                <w:rFonts w:ascii="Calibri" w:hAnsi="Calibri" w:cs="Calibri"/>
                <w:b w:val="0"/>
                <w:sz w:val="20"/>
              </w:rPr>
              <w:t>Watery stool, dry mucous membranes, potassium 3.2 mmol/L, and creatinine rising from 1.1 mg/dL to 1.8 mg/dL occurred while hydrochlorothiazide was a home medicine. It is not continued. Amlodipine remains for blood pressure.</w:t>
            </w:r>
          </w:p>
        </w:tc>
      </w:tr>
      <w:tr>
        <w:trPr>
          <w:cantSplit/>
        </w:trPr>
        <w:tc>
          <w:tcPr>
            <w:tcW w:type="dxa" w:w="1872"/>
          </w:tcPr>
          <w:p>
            <w:pPr>
              <w:spacing w:after="20" w:before="20"/>
            </w:pPr>
            <w:r>
              <w:rPr>
                <w:rFonts w:ascii="Calibri" w:hAnsi="Calibri" w:cs="Calibri"/>
                <w:b w:val="0"/>
                <w:sz w:val="20"/>
              </w:rPr>
              <w:t>amlodipine</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unchanged outpatient indication</w:t>
            </w:r>
          </w:p>
        </w:tc>
        <w:tc>
          <w:tcPr>
            <w:tcW w:type="dxa" w:w="1728"/>
          </w:tcPr>
          <w:p>
            <w:pPr>
              <w:spacing w:after="20" w:before="20"/>
            </w:pPr>
            <w:r>
              <w:rPr>
                <w:rFonts w:ascii="Calibri" w:hAnsi="Calibri" w:cs="Calibri"/>
                <w:b w:val="0"/>
                <w:sz w:val="20"/>
              </w:rPr>
              <w:t>amLODIPine 2.5 MG Oral Tablet remains indicated. The hospitalization did not create a contraindication, so the curated regimen that matches the recorded product continues.</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tacrolimus</w:t>
            </w:r>
          </w:p>
        </w:tc>
        <w:tc>
          <w:tcPr>
            <w:tcW w:type="dxa" w:w="3312"/>
          </w:tcPr>
          <w:p>
            <w:pPr>
              <w:spacing w:after="20" w:before="20"/>
            </w:pPr>
            <w:r>
              <w:rPr>
                <w:rFonts w:ascii="Calibri" w:hAnsi="Calibri" w:cs="Calibri"/>
                <w:b w:val="0"/>
                <w:sz w:val="20"/>
              </w:rPr>
              <w:t>Tacrolimus trough at the transplant visit.</w:t>
            </w:r>
          </w:p>
        </w:tc>
        <w:tc>
          <w:tcPr>
            <w:tcW w:type="dxa" w:w="3312"/>
          </w:tcPr>
          <w:p>
            <w:pPr>
              <w:spacing w:after="20" w:before="20"/>
            </w:pPr>
            <w:r>
              <w:rPr>
                <w:rFonts w:ascii="Calibri" w:hAnsi="Calibri" w:cs="Calibri"/>
                <w:b w:val="0"/>
                <w:sz w:val="20"/>
              </w:rPr>
              <w:t>infectious diseases</w:t>
            </w:r>
          </w:p>
        </w:tc>
      </w:tr>
      <w:tr>
        <w:trPr>
          <w:cantSplit/>
        </w:trPr>
        <w:tc>
          <w:tcPr>
            <w:tcW w:type="dxa" w:w="3168"/>
          </w:tcPr>
          <w:p>
            <w:pPr>
              <w:spacing w:after="20" w:before="20"/>
            </w:pPr>
            <w:r>
              <w:rPr>
                <w:rFonts w:ascii="Calibri" w:hAnsi="Calibri" w:cs="Calibri"/>
                <w:b w:val="0"/>
                <w:sz w:val="20"/>
              </w:rPr>
              <w:t>valganciclovir</w:t>
            </w:r>
          </w:p>
        </w:tc>
        <w:tc>
          <w:tcPr>
            <w:tcW w:type="dxa" w:w="3312"/>
          </w:tcPr>
          <w:p>
            <w:pPr>
              <w:spacing w:after="20" w:before="20"/>
            </w:pPr>
            <w:r>
              <w:rPr>
                <w:rFonts w:ascii="Calibri" w:hAnsi="Calibri" w:cs="Calibri"/>
                <w:b w:val="0"/>
                <w:sz w:val="20"/>
              </w:rPr>
              <w:t>Weekly complete blood count, creatinine, and cytomegalovirus DNA.</w:t>
            </w:r>
          </w:p>
        </w:tc>
        <w:tc>
          <w:tcPr>
            <w:tcW w:type="dxa" w:w="3312"/>
          </w:tcPr>
          <w:p>
            <w:pPr>
              <w:spacing w:after="20" w:before="20"/>
            </w:pPr>
            <w:r>
              <w:rPr>
                <w:rFonts w:ascii="Calibri" w:hAnsi="Calibri" w:cs="Calibri"/>
                <w:b w:val="0"/>
                <w:sz w:val="20"/>
              </w:rPr>
              <w:t>infectious diseases within 7 days.</w:t>
            </w:r>
          </w:p>
        </w:tc>
      </w:tr>
      <w:tr>
        <w:trPr>
          <w:cantSplit/>
        </w:trPr>
        <w:tc>
          <w:tcPr>
            <w:tcW w:type="dxa" w:w="3168"/>
          </w:tcPr>
          <w:p>
            <w:pPr>
              <w:spacing w:after="20" w:before="20"/>
            </w:pPr>
            <w:r>
              <w:rPr>
                <w:rFonts w:ascii="Calibri" w:hAnsi="Calibri" w:cs="Calibri"/>
                <w:b w:val="0"/>
                <w:sz w:val="20"/>
              </w:rPr>
              <w:t>hydrochlorothiazide</w:t>
            </w:r>
          </w:p>
        </w:tc>
        <w:tc>
          <w:tcPr>
            <w:tcW w:type="dxa" w:w="3312"/>
          </w:tcPr>
          <w:p>
            <w:pPr>
              <w:spacing w:after="20" w:before="20"/>
            </w:pPr>
            <w:r>
              <w:rPr>
                <w:rFonts w:ascii="Calibri" w:hAnsi="Calibri" w:cs="Calibri"/>
                <w:b w:val="0"/>
                <w:sz w:val="20"/>
              </w:rPr>
              <w:t>Blood pressure and a chemistry panel at follow-up.</w:t>
            </w:r>
          </w:p>
        </w:tc>
        <w:tc>
          <w:tcPr>
            <w:tcW w:type="dxa" w:w="3312"/>
          </w:tcPr>
          <w:p>
            <w:pPr>
              <w:spacing w:after="20" w:before="20"/>
            </w:pPr>
            <w:r>
              <w:rPr>
                <w:rFonts w:ascii="Calibri" w:hAnsi="Calibri" w:cs="Calibri"/>
                <w:b w:val="0"/>
                <w:sz w:val="20"/>
              </w:rPr>
              <w:t>Infectious diseases follow-up, with blood pressure checked at that visit.</w:t>
            </w:r>
          </w:p>
        </w:tc>
      </w:tr>
      <w:tr>
        <w:trPr>
          <w:cantSplit/>
        </w:trPr>
        <w:tc>
          <w:tcPr>
            <w:tcW w:type="dxa" w:w="3168"/>
          </w:tcPr>
          <w:p>
            <w:pPr>
              <w:spacing w:after="20" w:before="20"/>
            </w:pPr>
            <w:r>
              <w:rPr>
                <w:rFonts w:ascii="Calibri" w:hAnsi="Calibri" w:cs="Calibri"/>
                <w:b w:val="0"/>
                <w:sz w:val="20"/>
              </w:rPr>
              <w:t>amlodipine</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bl>
    <w:p>
      <w:pPr>
        <w:spacing w:after="40"/>
      </w:pPr>
    </w:p>
    <w:p>
      <w:pPr>
        <w:spacing w:after="120"/>
      </w:pPr>
      <w:r>
        <w:rPr>
          <w:rFonts w:ascii="Calibri" w:hAnsi="Calibri" w:cs="Calibri"/>
          <w:b w:val="0"/>
          <w:sz w:val="22"/>
        </w:rPr>
        <w:t>Matched counterpart: VAL-813</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2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2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20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2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2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20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2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2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21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2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21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2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22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22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22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sectPr w:rsidR="00FC693F" w:rsidRPr="0006063C" w:rsidSect="00034616">
      <w:headerReference w:type="default" r:id="rId13"/>
      <w:pgSz w:w="12240" w:h="15840"/>
      <w:pgMar w:top="1224" w:right="1224" w:bottom="1080"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s="Calibri"/>
        <w:b w:val="0"/>
        <w:color w:val="1F3A5F"/>
        <w:sz w:val="18"/>
      </w:rPr>
      <w:t xml:space="preserve">CliniProof Synthea-grounded matched cases    </w:t>
    </w:r>
    <w:r>
      <w:rPr>
        <w:rFonts w:ascii="Calibri" w:hAnsi="Calibri" w:cs="Calibri"/>
        <w:b w:val="0"/>
        <w:color w:val="1F3A5F"/>
        <w:sz w:val="18"/>
      </w:rPr>
      <w:fldChar w:fldCharType="begin"/>
    </w:r>
    <w:r>
      <w:rPr>
        <w:rFonts w:ascii="Calibri" w:hAnsi="Calibri" w:cs="Calibri"/>
        <w:b w:val="0"/>
        <w:color w:val="1F3A5F"/>
        <w:sz w:val="18"/>
      </w:rPr>
      <w:instrText xml:space="preserve"> PAGE </w:instrText>
    </w:r>
    <w:r>
      <w:rPr>
        <w:rFonts w:ascii="Calibri" w:hAnsi="Calibri" w:cs="Calibri"/>
        <w:b w:val="0"/>
        <w:color w:val="1F3A5F"/>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Synthea-grounded matched cases    G2-001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Synthea-grounded matched cases    G2-005</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Synthea-grounded matched cases    G2-009</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Synthea-grounded matched cases    G2-013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6"/>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CliniProof Synthea-grounded matched cases</dc:title>
  <dc:subject/>
  <dc:creator/>
  <cp:keywords/>
  <dc:description/>
  <cp:lastModifiedBy/>
  <cp:revision>1</cp:revision>
  <dcterms:created xsi:type="dcterms:W3CDTF">2013-12-23T23:15:00Z</dcterms:created>
  <dcterms:modified xsi:type="dcterms:W3CDTF">2013-12-23T23:15:00Z</dcterms:modified>
  <cp:category/>
  <dc:identifier/>
</cp:coreProperties>
</file>