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spacing w:after="120"/>
      </w:pPr>
      <w:r>
        <w:rPr>
          <w:rFonts w:ascii="Calibri" w:hAnsi="Calibri" w:cs="Calibri"/>
          <w:b w:val="0"/>
          <w:sz w:val="22"/>
        </w:rPr>
        <w:t>Clinical Revision Round 2</w:t>
      </w:r>
    </w:p>
    <w:p>
      <w:pPr>
        <w:pStyle w:val="Heading1"/>
      </w:pPr>
      <w:r>
        <w:rPr>
          <w:rFonts w:ascii="Calibri" w:hAnsi="Calibri"/>
          <w:color w:val="1F3A5F"/>
        </w:rPr>
        <w:t>SET 1</w:t>
      </w:r>
    </w:p>
    <w:p>
      <w:pPr>
        <w:pStyle w:val="Heading2"/>
      </w:pPr>
      <w:r>
        <w:rPr>
          <w:rFonts w:ascii="Calibri" w:hAnsi="Calibri"/>
          <w:color w:val="1F3A5F"/>
        </w:rPr>
        <w:t>REVISED CASES FOLLOWING ROUND 1 CLINICIAN FEEDBACK</w:t>
      </w:r>
    </w:p>
    <w:p>
      <w:pPr>
        <w:spacing w:after="120"/>
      </w:pPr>
      <w:r>
        <w:rPr>
          <w:rFonts w:ascii="Calibri" w:hAnsi="Calibri" w:cs="Calibri"/>
          <w:b w:val="0"/>
          <w:sz w:val="22"/>
        </w:rPr>
        <w:t>Cases: VAL-801, VAL-802, VAL-803, VAL-805, VAL-809, VAL-813</w:t>
      </w:r>
    </w:p>
    <w:p>
      <w:r>
        <w:rPr>
          <w:rFonts w:ascii="Calibri" w:hAnsi="Calibri" w:cs="Calibri"/>
          <w:b/>
          <w:sz w:val="22"/>
        </w:rPr>
        <w:t xml:space="preserve">Reviewer code: </w:t>
      </w:r>
      <w:sdt>
        <w:sdtPr>
          <w:rPr>
            <w:rFonts w:ascii="Calibri" w:hAnsi="Calibri" w:cs="Calibri"/>
            <w:sz w:val="22"/>
            <w:szCs w:val="22"/>
            <w:u w:val="single"/>
          </w:rPr>
          <w:alias w:val="Reviewer code"/>
          <w:tag w:val="cover-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sz w:val="22"/>
        </w:rPr>
        <w:t xml:space="preserve">Review date: </w:t>
      </w:r>
      <w:sdt>
        <w:sdtPr>
          <w:rPr>
            <w:rFonts w:ascii="Calibri" w:hAnsi="Calibri" w:cs="Calibri"/>
            <w:sz w:val="22"/>
            <w:szCs w:val="22"/>
            <w:u w:val="single"/>
          </w:rPr>
          <w:alias w:val="Review date"/>
          <w:tag w:val="cover-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These six cases were revised because the first clinician-validation round identified substantive problems with the underlying clinical scenario. For each case, please review the current revised case and complete the blank Round 2 validation form before reading the reproduced Round 1 feedback that follows. The previous feedback is included so that the reviewer can then assess whether the revision adequately addressed the earlier concerns.</w:t>
      </w:r>
    </w:p>
    <w:p>
      <w:pPr>
        <w:spacing w:after="120"/>
      </w:pPr>
      <w:r>
        <w:rPr>
          <w:rFonts w:ascii="Calibri" w:hAnsi="Calibri" w:cs="Calibri"/>
          <w:b w:val="0"/>
          <w:sz w:val="22"/>
        </w:rPr>
        <w:t>Set 2 is a separate codebook. It contains the other eighteen cases and should be reviewed after this set. Ready for clinician review does not mean clinically validated. Every Round 2 checkbox below starts blank.</w:t>
      </w:r>
    </w:p>
    <w:p>
      <w:pPr>
        <w:keepNext/>
        <w:pageBreakBefore/>
        <w:spacing w:after="40"/>
      </w:pPr>
      <w:r>
        <w:rPr>
          <w:rFonts w:ascii="Calibri" w:hAnsi="Calibri" w:cs="Calibri"/>
          <w:b/>
          <w:color w:val="1F3A5F"/>
          <w:sz w:val="32"/>
        </w:rPr>
        <w:t>CASE VAL-801</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man with diabetes, hypertension, and hyperlipidemia is admitted with confusion and fatigue for several days. He had been eating and drinking poorly. Home medicines are lisinopril, atorvastatin, metformin, and ibuprofen as needed for knee pain. There is no gastrointestinal bleeding, melena, or recent kidney injury.</w:t>
      </w:r>
    </w:p>
    <w:p>
      <w:pPr>
        <w:pStyle w:val="Heading3"/>
      </w:pPr>
      <w:r>
        <w:rPr>
          <w:rFonts w:ascii="Calibri" w:hAnsi="Calibri"/>
          <w:color w:val="1F3A5F"/>
        </w:rPr>
        <w:t>Admission note</w:t>
      </w:r>
    </w:p>
    <w:p>
      <w:pPr>
        <w:spacing w:after="120"/>
      </w:pPr>
      <w:r>
        <w:rPr>
          <w:rFonts w:ascii="Calibri" w:hAnsi="Calibri" w:cs="Calibri"/>
          <w:b w:val="0"/>
          <w:sz w:val="22"/>
        </w:rPr>
        <w:t>Admission note. Confusion and fatigue for several days, with poor oral intake. Mucous membranes are dry, and the orthostatic systolic pressure falls 20 mmHg from the recorded supine pressure of 136 mmHg. Collateral history later confirmed the home medication list, including ibuprofen for knee pain. No bleeding symptoms.</w:t>
      </w:r>
    </w:p>
    <w:p>
      <w:pPr>
        <w:pStyle w:val="Heading2"/>
      </w:pPr>
      <w:r>
        <w:rPr>
          <w:rFonts w:ascii="Calibri" w:hAnsi="Calibri"/>
          <w:color w:val="1F3A5F"/>
        </w:rPr>
        <w:t>Hospital course</w:t>
      </w:r>
    </w:p>
    <w:p>
      <w:pPr>
        <w:spacing w:after="120"/>
      </w:pPr>
      <w:r>
        <w:rPr>
          <w:rFonts w:ascii="Calibri" w:hAnsi="Calibri" w:cs="Calibri"/>
          <w:b w:val="0"/>
          <w:sz w:val="22"/>
        </w:rPr>
        <w:t>Delirium was attributed to dehydration from poor oral intake. Intravenous fluids and nutrition were given. Glucose fell from 163 mg/dL to 103 mg/dL as eating resumed; this was not a hyperosmolar state. Creatinine stayed 1.1 mg/dL then 1.0 mg/dL. Confusion cleared as intake improved. Knee pain was still present. No bleeding was found, and kidney function stayed stable.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136/78</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121/71</w:t>
            </w:r>
          </w:p>
        </w:tc>
        <w:tc>
          <w:tcPr>
            <w:tcW w:type="dxa" w:w="1440"/>
            <w:vAlign w:val="top"/>
          </w:tcPr>
          <w:p>
            <w:pPr>
              <w:spacing w:after="20" w:before="20"/>
            </w:pPr>
            <w:r>
              <w:rPr>
                <w:rFonts w:ascii="Calibri" w:hAnsi="Calibri" w:cs="Calibri"/>
                <w:b w:val="0"/>
                <w:sz w:val="20"/>
              </w:rPr>
              <w:t>65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163.0</w:t>
            </w:r>
          </w:p>
        </w:tc>
        <w:tc>
          <w:tcPr>
            <w:tcW w:type="dxa" w:w="2448"/>
            <w:vAlign w:val="top"/>
          </w:tcPr>
          <w:p>
            <w:pPr>
              <w:spacing w:after="20" w:before="20"/>
            </w:pPr>
            <w:r>
              <w:rPr>
                <w:rFonts w:ascii="Calibri" w:hAnsi="Calibri" w:cs="Calibri"/>
                <w:b w:val="0"/>
                <w:sz w:val="20"/>
              </w:rPr>
              <w:t>103.0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knee pain;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knee pain;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geriatrics</w:t>
            </w:r>
          </w:p>
        </w:tc>
        <w:tc>
          <w:tcPr>
            <w:tcW w:type="dxa" w:w="3264"/>
            <w:vAlign w:val="top"/>
          </w:tcPr>
          <w:p>
            <w:pPr>
              <w:spacing w:after="20" w:before="20"/>
            </w:pPr>
            <w:r>
              <w:rPr>
                <w:rFonts w:ascii="Calibri" w:hAnsi="Calibri" w:cs="Calibri"/>
                <w:b w:val="0"/>
                <w:sz w:val="20"/>
              </w:rPr>
              <w:t>Delirium improved after rehydration and the glucose fell from 163 mg/dL to 103 mg/dL.</w:t>
            </w:r>
          </w:p>
        </w:tc>
        <w:tc>
          <w:tcPr>
            <w:tcW w:type="dxa" w:w="3264"/>
            <w:vAlign w:val="top"/>
          </w:tcPr>
          <w:p>
            <w:pPr>
              <w:spacing w:after="20" w:before="20"/>
            </w:pPr>
            <w:r>
              <w:rPr>
                <w:rFonts w:ascii="Calibri" w:hAnsi="Calibri" w:cs="Calibri"/>
                <w:b w:val="0"/>
                <w:sz w:val="20"/>
              </w:rPr>
              <w:t>The collateral medication list was verified. No bleeding or kidney injury was found.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collateral medication verification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1 C1 Presentation and demographics 1"/>
                <w:tag w:val="VAL-801-c1-Presentation and demographics-1"/>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2"/>
                <w:tag w:val="VAL-801-c1-Presentation and demographics-2"/>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3"/>
                <w:tag w:val="VAL-801-c1-Presentation and demographics-3"/>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4"/>
                <w:tag w:val="VAL-801-c1-Presentation and demographics-4"/>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1"/>
                <w:tag w:val="VAL-801-c1-Fit between presentation and diagnosis-1"/>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2"/>
                <w:tag w:val="VAL-801-c1-Fit between presentation and diagnosis-2"/>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3"/>
                <w:tag w:val="VAL-801-c1-Fit between presentation and diagnosis-3"/>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4"/>
                <w:tag w:val="VAL-801-c1-Fit between presentation and diagnosis-4"/>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1 C1 Vital signs 1"/>
                <w:tag w:val="VAL-801-c1-Vital signs-1"/>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2"/>
                <w:tag w:val="VAL-801-c1-Vital signs-2"/>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3"/>
                <w:tag w:val="VAL-801-c1-Vital signs-3"/>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4"/>
                <w:tag w:val="VAL-801-c1-Vital signs-4"/>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1 C1 Laboratory findings 1"/>
                <w:tag w:val="VAL-801-c1-Laboratory findings-1"/>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2"/>
                <w:tag w:val="VAL-801-c1-Laboratory findings-2"/>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3"/>
                <w:tag w:val="VAL-801-c1-Laboratory findings-3"/>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4"/>
                <w:tag w:val="VAL-801-c1-Laboratory findings-4"/>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1 C1 Medication regimen 1"/>
                <w:tag w:val="VAL-801-c1-Medication regimen-1"/>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2"/>
                <w:tag w:val="VAL-801-c1-Medication regimen-2"/>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3"/>
                <w:tag w:val="VAL-801-c1-Medication regimen-3"/>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4"/>
                <w:tag w:val="VAL-801-c1-Medication regimen-4"/>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1 C1 Hospital course 1"/>
                <w:tag w:val="VAL-801-c1-Hospital course-1"/>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2"/>
                <w:tag w:val="VAL-801-c1-Hospital course-2"/>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3"/>
                <w:tag w:val="VAL-801-c1-Hospital course-3"/>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4"/>
                <w:tag w:val="VAL-801-c1-Hospital course-4"/>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1 C1 Chart consistency 1"/>
                <w:tag w:val="VAL-801-c1-Chart consistency-1"/>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2"/>
                <w:tag w:val="VAL-801-c1-Chart consistency-2"/>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3"/>
                <w:tag w:val="VAL-801-c1-Chart consistency-3"/>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4"/>
                <w:tag w:val="VAL-801-c1-Chart consistency-4"/>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1 C1 Discharge context and follow-up 1"/>
                <w:tag w:val="VAL-801-c1-Discharge context and follow-up-1"/>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2"/>
                <w:tag w:val="VAL-801-c1-Discharge context and follow-up-2"/>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3"/>
                <w:tag w:val="VAL-801-c1-Discharge context and follow-up-3"/>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4"/>
                <w:tag w:val="VAL-801-c1-Discharge context and follow-up-4"/>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1 c1-overall Pass"/>
                <w:tag w:val="VAL-801-c1-overall-Pass"/>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1-overall Fail"/>
                <w:tag w:val="VAL-801-c1-overall-Fail"/>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1-c1-comment"/>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1 c2 Pass"/>
                <w:tag w:val="VAL-801-c2-Pass"/>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2 Fail"/>
                <w:tag w:val="VAL-801-c2-Fail"/>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1-c2-comment"/>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ibuprofen 400 MG Oral Tablet</w:t>
            </w:r>
          </w:p>
        </w:tc>
        <w:tc>
          <w:tcPr>
            <w:tcW w:type="dxa" w:w="1152"/>
            <w:vAlign w:val="top"/>
          </w:tcPr>
          <w:p>
            <w:pPr>
              <w:spacing w:after="20" w:before="20"/>
            </w:pPr>
            <w:r>
              <w:rPr>
                <w:rFonts w:ascii="Calibri" w:hAnsi="Calibri" w:cs="Calibri"/>
                <w:b w:val="0"/>
                <w:sz w:val="20"/>
              </w:rPr>
              <w:t>400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8 hours as needed</w:t>
            </w:r>
          </w:p>
        </w:tc>
        <w:tc>
          <w:tcPr>
            <w:tcW w:type="dxa" w:w="2304"/>
            <w:vAlign w:val="top"/>
          </w:tcPr>
          <w:p>
            <w:pPr>
              <w:spacing w:after="20" w:before="20"/>
            </w:pPr>
            <w:r>
              <w:rPr>
                <w:rFonts w:ascii="Calibri" w:hAnsi="Calibri" w:cs="Calibri"/>
                <w:b w:val="0"/>
                <w:sz w:val="20"/>
              </w:rPr>
              <w:t>knee pain; not a treatment for the admission diagnosis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1 c3 Pass"/>
                <w:tag w:val="VAL-801-c3-Pass"/>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3 Fail"/>
                <w:tag w:val="VAL-801-c3-Fail"/>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1 c4 No"/>
                <w:tag w:val="VAL-801-c4-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4 Yes"/>
                <w:tag w:val="VAL-801-c4-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1 c5-issue No"/>
                <w:tag w:val="VAL-801-c5-issue-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issue Yes"/>
                <w:tag w:val="VAL-801-c5-issue-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1 c5-leak No"/>
                <w:tag w:val="VAL-801-c5-leak-No"/>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leak Yes"/>
                <w:tag w:val="VAL-801-c5-leak-Yes"/>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1-c5-comment"/>
              <w:id w:val="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Easy"/>
                <w:tag w:val="VAL-801-c6-Eas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1 c6 Moderate"/>
                <w:tag w:val="VAL-801-c6-Moderate"/>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Hard"/>
                <w:tag w:val="VAL-801-c6-Hard"/>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1 c6 Inappropriate or outlier"/>
                <w:tag w:val="VAL-801-c6-Inappropriate or outlier"/>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1 overall Accept"/>
                <w:tag w:val="VAL-801-overall-Accept"/>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1 overall Revise"/>
                <w:tag w:val="VAL-801-overall-Revise"/>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1 overall Exclude"/>
                <w:tag w:val="VAL-801-overall-Exclude"/>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1-overall-comment"/>
              <w:id w:val="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1-reviewer"/>
          <w:id w:val="5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1-date"/>
          <w:id w:val="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The cause of delirium was not explained.</w:t>
            </w:r>
          </w:p>
        </w:tc>
        <w:tc>
          <w:tcPr>
            <w:tcW w:type="dxa" w:w="5184"/>
            <w:vAlign w:val="top"/>
          </w:tcPr>
          <w:p>
            <w:pPr>
              <w:spacing w:after="20" w:before="20"/>
            </w:pPr>
            <w:r>
              <w:rPr>
                <w:rFonts w:ascii="Calibri" w:hAnsi="Calibri" w:cs="Calibri"/>
                <w:b w:val="0"/>
                <w:sz w:val="20"/>
              </w:rPr>
              <w:t>Dehydration from poor intake is now the stated cause.</w:t>
            </w:r>
          </w:p>
        </w:tc>
      </w:tr>
      <w:tr>
        <w:trPr>
          <w:cantSplit/>
        </w:trPr>
        <w:tc>
          <w:tcPr>
            <w:tcW w:type="dxa" w:w="4608"/>
            <w:vAlign w:val="top"/>
          </w:tcPr>
          <w:p>
            <w:pPr>
              <w:spacing w:after="20" w:before="20"/>
            </w:pPr>
            <w:r>
              <w:rPr>
                <w:rFonts w:ascii="Calibri" w:hAnsi="Calibri" w:cs="Calibri"/>
                <w:b w:val="0"/>
                <w:sz w:val="20"/>
              </w:rPr>
              <w:t>The hospital course did not explain the improvement.</w:t>
            </w:r>
          </w:p>
        </w:tc>
        <w:tc>
          <w:tcPr>
            <w:tcW w:type="dxa" w:w="5184"/>
            <w:vAlign w:val="top"/>
          </w:tcPr>
          <w:p>
            <w:pPr>
              <w:spacing w:after="20" w:before="20"/>
            </w:pPr>
            <w:r>
              <w:rPr>
                <w:rFonts w:ascii="Calibri" w:hAnsi="Calibri" w:cs="Calibri"/>
                <w:b w:val="0"/>
                <w:sz w:val="20"/>
              </w:rPr>
              <w:t>Dry mucous membranes and a 20 mmHg orthostatic change support dehydration. Confusion clears after fluids and restored intake.</w:t>
            </w:r>
          </w:p>
        </w:tc>
      </w:tr>
      <w:tr>
        <w:trPr>
          <w:cantSplit/>
        </w:trPr>
        <w:tc>
          <w:tcPr>
            <w:tcW w:type="dxa" w:w="4608"/>
            <w:vAlign w:val="top"/>
          </w:tcPr>
          <w:p>
            <w:pPr>
              <w:spacing w:after="20" w:before="20"/>
            </w:pPr>
            <w:r>
              <w:rPr>
                <w:rFonts w:ascii="Calibri" w:hAnsi="Calibri" w:cs="Calibri"/>
                <w:b w:val="0"/>
                <w:sz w:val="20"/>
              </w:rPr>
              <w:t>Ibuprofen discontinuation lacked justification.</w:t>
            </w:r>
          </w:p>
        </w:tc>
        <w:tc>
          <w:tcPr>
            <w:tcW w:type="dxa" w:w="5184"/>
            <w:vAlign w:val="top"/>
          </w:tcPr>
          <w:p>
            <w:pPr>
              <w:spacing w:after="20" w:before="20"/>
            </w:pPr>
            <w:r>
              <w:rPr>
                <w:rFonts w:ascii="Calibri" w:hAnsi="Calibri" w:cs="Calibri"/>
                <w:b w:val="0"/>
                <w:sz w:val="20"/>
              </w:rPr>
              <w:t>The unsupported ibuprofen discontinuation was removed. Creatinine stays 1.1 then 1.0 mg/dL, and the chart does not describe bleeding.</w:t>
            </w:r>
          </w:p>
        </w:tc>
      </w:tr>
    </w:tbl>
    <w:p>
      <w:pPr>
        <w:spacing w:after="40"/>
      </w:pPr>
    </w:p>
    <w:p>
      <w:pPr>
        <w:keepNext/>
        <w:pageBreakBefore/>
        <w:spacing w:after="40"/>
      </w:pPr>
      <w:r>
        <w:rPr>
          <w:rFonts w:ascii="Calibri" w:hAnsi="Calibri" w:cs="Calibri"/>
          <w:b/>
          <w:color w:val="1F3A5F"/>
          <w:sz w:val="32"/>
        </w:rPr>
        <w:t>CASE VAL-802</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81-year-old Female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81-year-old woman with hypertension and hyperlipidemia is admitted with two days of confusion. She had been drinking poorly. A clinic creatinine six weeks earlier was 1.2 mg/dL. Home medicines are lisinopril and atorvastatin. There is no focal weakness.</w:t>
      </w:r>
    </w:p>
    <w:p>
      <w:pPr>
        <w:pStyle w:val="Heading3"/>
      </w:pPr>
      <w:r>
        <w:rPr>
          <w:rFonts w:ascii="Calibri" w:hAnsi="Calibri"/>
          <w:color w:val="1F3A5F"/>
        </w:rPr>
        <w:t>Admission note</w:t>
      </w:r>
    </w:p>
    <w:p>
      <w:pPr>
        <w:spacing w:after="120"/>
      </w:pPr>
      <w:r>
        <w:rPr>
          <w:rFonts w:ascii="Calibri" w:hAnsi="Calibri" w:cs="Calibri"/>
          <w:b w:val="0"/>
          <w:sz w:val="22"/>
        </w:rPr>
        <w:t>Admission note. Confusion for two days with poor oral intake. Outpatient creatinine was 1.2 mg/dL six weeks earlier. Home lisinopril and atorvastatin were confirmed from a collateral list.</w:t>
      </w:r>
    </w:p>
    <w:p>
      <w:pPr>
        <w:pStyle w:val="Heading2"/>
      </w:pPr>
      <w:r>
        <w:rPr>
          <w:rFonts w:ascii="Calibri" w:hAnsi="Calibri"/>
          <w:color w:val="1F3A5F"/>
        </w:rPr>
        <w:t>Hospital course</w:t>
      </w:r>
    </w:p>
    <w:p>
      <w:pPr>
        <w:spacing w:after="120"/>
      </w:pPr>
      <w:r>
        <w:rPr>
          <w:rFonts w:ascii="Calibri" w:hAnsi="Calibri" w:cs="Calibri"/>
          <w:b w:val="0"/>
          <w:sz w:val="22"/>
        </w:rPr>
        <w:t>Delirium was attributed to dehydration from poor oral intake. Intravenous fluids were given. Creatinine was 1.3 mg/dL on admission and 1.2 mg/dL at discharge, matching the recent baseline of 1.2 mg/dL. Potassium was 4.2 mmol/L then 4.1 mmol/L. Systolic blood pressure was 138 mmHg on admission and 124 mmHg at discharge. Confusion cleared after rehydration. Kidney function and potassium were back at the recent baseline, and the discharge systolic pressure was 124 mmHg.</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138/69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124/68</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4.2</w:t>
            </w:r>
          </w:p>
        </w:tc>
        <w:tc>
          <w:tcPr>
            <w:tcW w:type="dxa" w:w="2448"/>
            <w:vAlign w:val="top"/>
          </w:tcPr>
          <w:p>
            <w:pPr>
              <w:spacing w:after="20" w:before="20"/>
            </w:pPr>
            <w:r>
              <w:rPr>
                <w:rFonts w:ascii="Calibri" w:hAnsi="Calibri" w:cs="Calibri"/>
                <w:b w:val="0"/>
                <w:sz w:val="20"/>
              </w:rPr>
              <w:t>4.1</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medication-list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2 C1 Presentation and demographics 1"/>
                <w:tag w:val="VAL-802-c1-Presentation and demographics-1"/>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2"/>
                <w:tag w:val="VAL-802-c1-Presentation and demographics-2"/>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3"/>
                <w:tag w:val="VAL-802-c1-Presentation and demographics-3"/>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4"/>
                <w:tag w:val="VAL-802-c1-Presentation and demographics-4"/>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1"/>
                <w:tag w:val="VAL-802-c1-Fit between presentation and diagnosis-1"/>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2"/>
                <w:tag w:val="VAL-802-c1-Fit between presentation and diagnosis-2"/>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3"/>
                <w:tag w:val="VAL-802-c1-Fit between presentation and diagnosis-3"/>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4"/>
                <w:tag w:val="VAL-802-c1-Fit between presentation and diagnosis-4"/>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2 C1 Vital signs 1"/>
                <w:tag w:val="VAL-802-c1-Vital signs-1"/>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2"/>
                <w:tag w:val="VAL-802-c1-Vital signs-2"/>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3"/>
                <w:tag w:val="VAL-802-c1-Vital signs-3"/>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4"/>
                <w:tag w:val="VAL-802-c1-Vital signs-4"/>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2 C1 Laboratory findings 1"/>
                <w:tag w:val="VAL-802-c1-Laboratory findings-1"/>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2"/>
                <w:tag w:val="VAL-802-c1-Laboratory findings-2"/>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3"/>
                <w:tag w:val="VAL-802-c1-Laboratory findings-3"/>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4"/>
                <w:tag w:val="VAL-802-c1-Laboratory findings-4"/>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2 C1 Medication regimen 1"/>
                <w:tag w:val="VAL-802-c1-Medication regimen-1"/>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2"/>
                <w:tag w:val="VAL-802-c1-Medication regimen-2"/>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3"/>
                <w:tag w:val="VAL-802-c1-Medication regimen-3"/>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4"/>
                <w:tag w:val="VAL-802-c1-Medication regimen-4"/>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2 C1 Hospital course 1"/>
                <w:tag w:val="VAL-802-c1-Hospital course-1"/>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2"/>
                <w:tag w:val="VAL-802-c1-Hospital course-2"/>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3"/>
                <w:tag w:val="VAL-802-c1-Hospital course-3"/>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4"/>
                <w:tag w:val="VAL-802-c1-Hospital course-4"/>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2 C1 Chart consistency 1"/>
                <w:tag w:val="VAL-802-c1-Chart consistency-1"/>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2"/>
                <w:tag w:val="VAL-802-c1-Chart consistency-2"/>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3"/>
                <w:tag w:val="VAL-802-c1-Chart consistency-3"/>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4"/>
                <w:tag w:val="VAL-802-c1-Chart consistency-4"/>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2 C1 Discharge context and follow-up 1"/>
                <w:tag w:val="VAL-802-c1-Discharge context and follow-up-1"/>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2"/>
                <w:tag w:val="VAL-802-c1-Discharge context and follow-up-2"/>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3"/>
                <w:tag w:val="VAL-802-c1-Discharge context and follow-up-3"/>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4"/>
                <w:tag w:val="VAL-802-c1-Discharge context and follow-up-4"/>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2 c1-overall Pass"/>
                <w:tag w:val="VAL-802-c1-overall-Pass"/>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1-overall Fail"/>
                <w:tag w:val="VAL-802-c1-overall-Fail"/>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2-c1-comment"/>
              <w:id w:val="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2 c2 Pass"/>
                <w:tag w:val="VAL-802-c2-Pass"/>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2 Fail"/>
                <w:tag w:val="VAL-802-c2-Fail"/>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2-c2-comment"/>
              <w:id w:val="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2 c3 Pass"/>
                <w:tag w:val="VAL-802-c3-Pass"/>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3 Fail"/>
                <w:tag w:val="VAL-802-c3-Fail"/>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2 c4 No"/>
                <w:tag w:val="VAL-802-c4-No"/>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4 Yes"/>
                <w:tag w:val="VAL-802-c4-Yes"/>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2 c5-issue No"/>
                <w:tag w:val="VAL-802-c5-issue-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issue Yes"/>
                <w:tag w:val="VAL-802-c5-issue-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2 c5-leak No"/>
                <w:tag w:val="VAL-802-c5-leak-No"/>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leak Yes"/>
                <w:tag w:val="VAL-802-c5-leak-Yes"/>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2-c5-comment"/>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Easy"/>
                <w:tag w:val="VAL-802-c6-Easy"/>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2 c6 Moderate"/>
                <w:tag w:val="VAL-802-c6-Moderate"/>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Hard"/>
                <w:tag w:val="VAL-802-c6-Hard"/>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2 c6 Inappropriate or outlier"/>
                <w:tag w:val="VAL-802-c6-Inappropriate or outlier"/>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2 overall Accept"/>
                <w:tag w:val="VAL-802-overall-Accept"/>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2 overall Revise"/>
                <w:tag w:val="VAL-802-overall-Revise"/>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2 overall Exclude"/>
                <w:tag w:val="VAL-802-overall-Exclud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2-overall-comment"/>
              <w:id w:val="1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2-reviewer"/>
          <w:id w:val="1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2-date"/>
          <w:id w:val="1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The cause of delirium was not explained.</w:t>
            </w:r>
          </w:p>
        </w:tc>
        <w:tc>
          <w:tcPr>
            <w:tcW w:type="dxa" w:w="5184"/>
            <w:vAlign w:val="top"/>
          </w:tcPr>
          <w:p>
            <w:pPr>
              <w:spacing w:after="20" w:before="20"/>
            </w:pPr>
            <w:r>
              <w:rPr>
                <w:rFonts w:ascii="Calibri" w:hAnsi="Calibri" w:cs="Calibri"/>
                <w:b w:val="0"/>
                <w:sz w:val="20"/>
              </w:rPr>
              <w:t>Poor intake and dehydration are now the stated cause.</w:t>
            </w:r>
          </w:p>
        </w:tc>
      </w:tr>
      <w:tr>
        <w:trPr>
          <w:cantSplit/>
        </w:trPr>
        <w:tc>
          <w:tcPr>
            <w:tcW w:type="dxa" w:w="4608"/>
            <w:vAlign w:val="top"/>
          </w:tcPr>
          <w:p>
            <w:pPr>
              <w:spacing w:after="20" w:before="20"/>
            </w:pPr>
            <w:r>
              <w:rPr>
                <w:rFonts w:ascii="Calibri" w:hAnsi="Calibri" w:cs="Calibri"/>
                <w:b w:val="0"/>
                <w:sz w:val="20"/>
              </w:rPr>
              <w:t>Creatinine and lisinopril were hard to interpret without a baseline.</w:t>
            </w:r>
          </w:p>
        </w:tc>
        <w:tc>
          <w:tcPr>
            <w:tcW w:type="dxa" w:w="5184"/>
            <w:vAlign w:val="top"/>
          </w:tcPr>
          <w:p>
            <w:pPr>
              <w:spacing w:after="20" w:before="20"/>
            </w:pPr>
            <w:r>
              <w:rPr>
                <w:rFonts w:ascii="Calibri" w:hAnsi="Calibri" w:cs="Calibri"/>
                <w:b w:val="0"/>
                <w:sz w:val="20"/>
              </w:rPr>
              <w:t>A clinic creatinine of 1.2 mg/dL six weeks earlier is the baseline. Admission creatinine is 1.3 mg/dL and discharge creatinine is 1.2 mg/dL. Potassium is 4.2 then 4.1 mmol/L.</w:t>
            </w:r>
          </w:p>
        </w:tc>
      </w:tr>
      <w:tr>
        <w:trPr>
          <w:cantSplit/>
        </w:trPr>
        <w:tc>
          <w:tcPr>
            <w:tcW w:type="dxa" w:w="4608"/>
            <w:vAlign w:val="top"/>
          </w:tcPr>
          <w:p>
            <w:pPr>
              <w:spacing w:after="20" w:before="20"/>
            </w:pPr>
            <w:r>
              <w:rPr>
                <w:rFonts w:ascii="Calibri" w:hAnsi="Calibri" w:cs="Calibri"/>
                <w:b w:val="0"/>
                <w:sz w:val="20"/>
              </w:rPr>
              <w:t>Atorvastatin was missing from the recovered chart's intended regimen after the earlier injection.</w:t>
            </w:r>
          </w:p>
        </w:tc>
        <w:tc>
          <w:tcPr>
            <w:tcW w:type="dxa" w:w="5184"/>
            <w:vAlign w:val="top"/>
          </w:tcPr>
          <w:p>
            <w:pPr>
              <w:spacing w:after="20" w:before="20"/>
            </w:pPr>
            <w:r>
              <w:rPr>
                <w:rFonts w:ascii="Calibri" w:hAnsi="Calibri" w:cs="Calibri"/>
                <w:b w:val="0"/>
                <w:sz w:val="20"/>
              </w:rPr>
              <w:t>Atorvastatin remains on the chart and on the reference plan.</w:t>
            </w:r>
          </w:p>
        </w:tc>
      </w:tr>
    </w:tbl>
    <w:p>
      <w:pPr>
        <w:spacing w:after="40"/>
      </w:pPr>
    </w:p>
    <w:p>
      <w:pPr>
        <w:keepNext/>
        <w:pageBreakBefore/>
        <w:spacing w:after="40"/>
      </w:pPr>
      <w:r>
        <w:rPr>
          <w:rFonts w:ascii="Calibri" w:hAnsi="Calibri" w:cs="Calibri"/>
          <w:b/>
          <w:color w:val="1F3A5F"/>
          <w:sz w:val="32"/>
        </w:rPr>
        <w:t>CASE VAL-803</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with hypertension, diabetes, and hyperlipidemia is admitted with one week of fatigue and confusion. Home medicines include hydrochlorothiazide, lisinopril, atorvastatin, and metformin. He has been drinking more water than usual and has no focal weakness.</w:t>
      </w:r>
    </w:p>
    <w:p>
      <w:pPr>
        <w:pStyle w:val="Heading3"/>
      </w:pPr>
      <w:r>
        <w:rPr>
          <w:rFonts w:ascii="Calibri" w:hAnsi="Calibri"/>
          <w:color w:val="1F3A5F"/>
        </w:rPr>
        <w:t>Admission note</w:t>
      </w:r>
    </w:p>
    <w:p>
      <w:pPr>
        <w:spacing w:after="120"/>
      </w:pPr>
      <w:r>
        <w:rPr>
          <w:rFonts w:ascii="Calibri" w:hAnsi="Calibri" w:cs="Calibri"/>
          <w:b w:val="0"/>
          <w:sz w:val="22"/>
        </w:rPr>
        <w:t>Admission note. Subacute confusion and fatigue. Hydrochlorothiazide is on the home list. Serum sodium on arrival is 128 mmol/L.</w:t>
      </w:r>
    </w:p>
    <w:p>
      <w:pPr>
        <w:pStyle w:val="Heading2"/>
      </w:pPr>
      <w:r>
        <w:rPr>
          <w:rFonts w:ascii="Calibri" w:hAnsi="Calibri"/>
          <w:color w:val="1F3A5F"/>
        </w:rPr>
        <w:t>Hospital course</w:t>
      </w:r>
    </w:p>
    <w:p>
      <w:pPr>
        <w:spacing w:after="120"/>
      </w:pPr>
      <w:r>
        <w:rPr>
          <w:rFonts w:ascii="Calibri" w:hAnsi="Calibri" w:cs="Calibri"/>
          <w:b w:val="0"/>
          <w:sz w:val="22"/>
        </w:rPr>
        <w:t>Delirium was attributed to thiazide-associated hyponatremia. Hydrochlorothiazide was held because the serum sodium was 128 mmol/L. Isotonic fluid was given. Sodium rose to 135 mmol/L and confusion cleared. Creatinine was 1.0 mg/dL then 1.2 mg/dL and potassium was 4.4 mmol/L then 4.2 mmol/L.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119/69</w:t>
            </w:r>
          </w:p>
        </w:tc>
        <w:tc>
          <w:tcPr>
            <w:tcW w:type="dxa" w:w="1440"/>
            <w:vAlign w:val="top"/>
          </w:tcPr>
          <w:p>
            <w:pPr>
              <w:spacing w:after="20" w:before="20"/>
            </w:pPr>
            <w:r>
              <w:rPr>
                <w:rFonts w:ascii="Calibri" w:hAnsi="Calibri" w:cs="Calibri"/>
                <w:b w:val="0"/>
                <w:sz w:val="20"/>
              </w:rPr>
              <w:t>91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123/70</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149.0</w:t>
            </w:r>
          </w:p>
        </w:tc>
        <w:tc>
          <w:tcPr>
            <w:tcW w:type="dxa" w:w="2448"/>
            <w:vAlign w:val="top"/>
          </w:tcPr>
          <w:p>
            <w:pPr>
              <w:spacing w:after="20" w:before="20"/>
            </w:pPr>
            <w:r>
              <w:rPr>
                <w:rFonts w:ascii="Calibri" w:hAnsi="Calibri" w:cs="Calibri"/>
                <w:b w:val="0"/>
                <w:sz w:val="20"/>
              </w:rPr>
              <w:t>129.0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4.4</w:t>
            </w:r>
          </w:p>
        </w:tc>
        <w:tc>
          <w:tcPr>
            <w:tcW w:type="dxa" w:w="2448"/>
            <w:vAlign w:val="top"/>
          </w:tcPr>
          <w:p>
            <w:pPr>
              <w:spacing w:after="20" w:before="20"/>
            </w:pPr>
            <w:r>
              <w:rPr>
                <w:rFonts w:ascii="Calibri" w:hAnsi="Calibri" w:cs="Calibri"/>
                <w:b w:val="0"/>
                <w:sz w:val="20"/>
              </w:rPr>
              <w:t>4.2</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Sodium [Moles/volume] in Serum or Plasma</w:t>
            </w:r>
          </w:p>
        </w:tc>
        <w:tc>
          <w:tcPr>
            <w:tcW w:type="dxa" w:w="2448"/>
            <w:vAlign w:val="top"/>
          </w:tcPr>
          <w:p>
            <w:pPr>
              <w:spacing w:after="20" w:before="20"/>
            </w:pPr>
            <w:r>
              <w:rPr>
                <w:rFonts w:ascii="Calibri" w:hAnsi="Calibri" w:cs="Calibri"/>
                <w:b w:val="0"/>
                <w:sz w:val="20"/>
              </w:rPr>
              <w:t>128</w:t>
            </w:r>
          </w:p>
        </w:tc>
        <w:tc>
          <w:tcPr>
            <w:tcW w:type="dxa" w:w="2448"/>
            <w:vAlign w:val="top"/>
          </w:tcPr>
          <w:p>
            <w:pPr>
              <w:spacing w:after="20" w:before="20"/>
            </w:pPr>
            <w:r>
              <w:rPr>
                <w:rFonts w:ascii="Calibri" w:hAnsi="Calibri" w:cs="Calibri"/>
                <w:b w:val="0"/>
                <w:sz w:val="20"/>
              </w:rPr>
              <w:t>135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Serum sodium 128 mmol/L on admission while taking hydrochlorothiazide.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Serum sodium 128 mmol/L on admission while taking hydrochlorothiazide.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Home-health and primary care medication-supply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3 C1 Presentation and demographics 1"/>
                <w:tag w:val="VAL-803-c1-Presentation and demographics-1"/>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2"/>
                <w:tag w:val="VAL-803-c1-Presentation and demographics-2"/>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3"/>
                <w:tag w:val="VAL-803-c1-Presentation and demographics-3"/>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4"/>
                <w:tag w:val="VAL-803-c1-Presentation and demographics-4"/>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1"/>
                <w:tag w:val="VAL-803-c1-Fit between presentation and diagnosis-1"/>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2"/>
                <w:tag w:val="VAL-803-c1-Fit between presentation and diagnosis-2"/>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3"/>
                <w:tag w:val="VAL-803-c1-Fit between presentation and diagnosis-3"/>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4"/>
                <w:tag w:val="VAL-803-c1-Fit between presentation and diagnosis-4"/>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3 C1 Vital signs 1"/>
                <w:tag w:val="VAL-803-c1-Vital signs-1"/>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2"/>
                <w:tag w:val="VAL-803-c1-Vital signs-2"/>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3"/>
                <w:tag w:val="VAL-803-c1-Vital signs-3"/>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4"/>
                <w:tag w:val="VAL-803-c1-Vital signs-4"/>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3 C1 Laboratory findings 1"/>
                <w:tag w:val="VAL-803-c1-Laboratory findings-1"/>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2"/>
                <w:tag w:val="VAL-803-c1-Laboratory findings-2"/>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3"/>
                <w:tag w:val="VAL-803-c1-Laboratory findings-3"/>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4"/>
                <w:tag w:val="VAL-803-c1-Laboratory findings-4"/>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3 C1 Medication regimen 1"/>
                <w:tag w:val="VAL-803-c1-Medication regimen-1"/>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2"/>
                <w:tag w:val="VAL-803-c1-Medication regimen-2"/>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3"/>
                <w:tag w:val="VAL-803-c1-Medication regimen-3"/>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4"/>
                <w:tag w:val="VAL-803-c1-Medication regimen-4"/>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3 C1 Hospital course 1"/>
                <w:tag w:val="VAL-803-c1-Hospital course-1"/>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2"/>
                <w:tag w:val="VAL-803-c1-Hospital course-2"/>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3"/>
                <w:tag w:val="VAL-803-c1-Hospital course-3"/>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4"/>
                <w:tag w:val="VAL-803-c1-Hospital course-4"/>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3 C1 Chart consistency 1"/>
                <w:tag w:val="VAL-803-c1-Chart consistency-1"/>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2"/>
                <w:tag w:val="VAL-803-c1-Chart consistency-2"/>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3"/>
                <w:tag w:val="VAL-803-c1-Chart consistency-3"/>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4"/>
                <w:tag w:val="VAL-803-c1-Chart consistency-4"/>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3 C1 Discharge context and follow-up 1"/>
                <w:tag w:val="VAL-803-c1-Discharge context and follow-up-1"/>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2"/>
                <w:tag w:val="VAL-803-c1-Discharge context and follow-up-2"/>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3"/>
                <w:tag w:val="VAL-803-c1-Discharge context and follow-up-3"/>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4"/>
                <w:tag w:val="VAL-803-c1-Discharge context and follow-up-4"/>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3 c1-overall Pass"/>
                <w:tag w:val="VAL-803-c1-overall-Pass"/>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1-overall Fail"/>
                <w:tag w:val="VAL-803-c1-overall-Fail"/>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3-c1-comment"/>
              <w:id w:val="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3 c2 Pass"/>
                <w:tag w:val="VAL-803-c2-Pass"/>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2 Fail"/>
                <w:tag w:val="VAL-803-c2-Fail"/>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3-c2-comment"/>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hydrochlorothiazide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3 c3 Pass"/>
                <w:tag w:val="VAL-803-c3-Pass"/>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3 Fail"/>
                <w:tag w:val="VAL-803-c3-Fail"/>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3 c4 No"/>
                <w:tag w:val="VAL-803-c4-No"/>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4 Yes"/>
                <w:tag w:val="VAL-803-c4-Yes"/>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3 c5-issue No"/>
                <w:tag w:val="VAL-803-c5-issue-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issue Yes"/>
                <w:tag w:val="VAL-803-c5-issue-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3 c5-leak No"/>
                <w:tag w:val="VAL-803-c5-leak-No"/>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leak Yes"/>
                <w:tag w:val="VAL-803-c5-leak-Yes"/>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3-c5-comment"/>
              <w:id w:val="1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Easy"/>
                <w:tag w:val="VAL-803-c6-Easy"/>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3 c6 Moderate"/>
                <w:tag w:val="VAL-803-c6-Moderate"/>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Hard"/>
                <w:tag w:val="VAL-803-c6-Hard"/>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3 c6 Inappropriate or outlier"/>
                <w:tag w:val="VAL-803-c6-Inappropriate or outlier"/>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3 overall Accept"/>
                <w:tag w:val="VAL-803-overall-Accept"/>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3 overall Revise"/>
                <w:tag w:val="VAL-803-overall-Revis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3 overall Exclude"/>
                <w:tag w:val="VAL-803-overall-Exclud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3-overall-comment"/>
              <w:id w:val="1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3-reviewer"/>
          <w:id w:val="1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3-date"/>
          <w:id w:val="17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The Round 1 review of this case was incomplete.</w:t>
            </w:r>
          </w:p>
        </w:tc>
        <w:tc>
          <w:tcPr>
            <w:tcW w:type="dxa" w:w="5184"/>
            <w:vAlign w:val="top"/>
          </w:tcPr>
          <w:p>
            <w:pPr>
              <w:spacing w:after="20" w:before="20"/>
            </w:pPr>
            <w:r>
              <w:rPr>
                <w:rFonts w:ascii="Calibri" w:hAnsi="Calibri" w:cs="Calibri"/>
                <w:b w:val="0"/>
                <w:sz w:val="20"/>
              </w:rPr>
              <w:t>Delirium is attributed to thiazide-associated hyponatremia. Sodium moves from 128 mmol/L to 135 mmol/L after hydrochlorothiazide is held, and confusion clears. The clean 30-day lisinopril supply is restored.</w:t>
            </w:r>
          </w:p>
        </w:tc>
      </w:tr>
    </w:tbl>
    <w:p>
      <w:pPr>
        <w:spacing w:after="40"/>
      </w:pPr>
    </w:p>
    <w:p>
      <w:pPr>
        <w:keepNext/>
        <w:pageBreakBefore/>
        <w:spacing w:after="40"/>
      </w:pPr>
      <w:r>
        <w:rPr>
          <w:rFonts w:ascii="Calibri" w:hAnsi="Calibri" w:cs="Calibri"/>
          <w:b/>
          <w:color w:val="1F3A5F"/>
          <w:sz w:val="32"/>
        </w:rPr>
        <w:t>CASE VAL-805</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with systolic heart failure and hyperlipidemia is admitted with one week of dyspnea, edema, and orthopnea. Home medicines are oral furosemide 40 MG once daily, metoprolol succinate 25 MG once daily, and atorvastatin. She is hypoxic and volume overloaded. Dry weight is 80 kg.</w:t>
      </w:r>
    </w:p>
    <w:p>
      <w:pPr>
        <w:pStyle w:val="Heading3"/>
      </w:pPr>
      <w:r>
        <w:rPr>
          <w:rFonts w:ascii="Calibri" w:hAnsi="Calibri"/>
          <w:color w:val="1F3A5F"/>
        </w:rPr>
        <w:t>Admission note</w:t>
      </w:r>
    </w:p>
    <w:p>
      <w:pPr>
        <w:spacing w:after="120"/>
      </w:pPr>
      <w:r>
        <w:rPr>
          <w:rFonts w:ascii="Calibri" w:hAnsi="Calibri" w:cs="Calibri"/>
          <w:b w:val="0"/>
          <w:sz w:val="22"/>
        </w:rPr>
        <w:t>Admission note. Acute decompensated heart failure. Weight 86 kg, above a dry weight of 80 kg. Oxygen saturation 92 percent. Home oral furosemide is not the inpatient dose.</w:t>
      </w:r>
    </w:p>
    <w:p>
      <w:pPr>
        <w:pStyle w:val="Heading2"/>
      </w:pPr>
      <w:r>
        <w:rPr>
          <w:rFonts w:ascii="Calibri" w:hAnsi="Calibri"/>
          <w:color w:val="1F3A5F"/>
        </w:rPr>
        <w:t>Hospital course</w:t>
      </w:r>
    </w:p>
    <w:p>
      <w:pPr>
        <w:spacing w:after="120"/>
      </w:pPr>
      <w:r>
        <w:rPr>
          <w:rFonts w:ascii="Calibri" w:hAnsi="Calibri" w:cs="Calibri"/>
          <w:b w:val="0"/>
          <w:sz w:val="22"/>
        </w:rPr>
        <w:t>Pulmonary edema was treated with intravenous furosemide 40 MG twice daily, which is distinct from the home oral 40 MG once daily. Intake and output were net negative on hospital days 1, 2, and 3. Weight fell from 86 kg to 83 kg and then to 80 kg, equal to the dry weight. Creatinine fell from 1.7 mg/dL to 0.9 mg/dL and potassium from 4.7 mmol/L to 4.3 mmol/L. B-type natriuretic peptide fell from 1120 pg/mL to 369 pg/mL. Discharge systolic blood pressure was 110 mmHg and heart rate 69. Oxygen saturation was 92 percent on admission and 98 percent at discharge. Ejection fraction was 30 percent. The home list is oral furosemide, metoprolol succinate, and atorvastatin.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109/82</w:t>
            </w:r>
          </w:p>
        </w:tc>
        <w:tc>
          <w:tcPr>
            <w:tcW w:type="dxa" w:w="1440"/>
            <w:vAlign w:val="top"/>
          </w:tcPr>
          <w:p>
            <w:pPr>
              <w:spacing w:after="20" w:before="20"/>
            </w:pPr>
            <w:r>
              <w:rPr>
                <w:rFonts w:ascii="Calibri" w:hAnsi="Calibri" w:cs="Calibri"/>
                <w:b w:val="0"/>
                <w:sz w:val="20"/>
              </w:rPr>
              <w:t>93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92.00 %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110/84</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1.7</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4.3</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1120.0</w:t>
            </w:r>
          </w:p>
        </w:tc>
        <w:tc>
          <w:tcPr>
            <w:tcW w:type="dxa" w:w="2448"/>
            <w:vAlign w:val="top"/>
          </w:tcPr>
          <w:p>
            <w:pPr>
              <w:spacing w:after="20" w:before="20"/>
            </w:pPr>
            <w:r>
              <w:rPr>
                <w:rFonts w:ascii="Calibri" w:hAnsi="Calibri" w:cs="Calibri"/>
                <w:b w:val="0"/>
                <w:sz w:val="20"/>
              </w:rPr>
              <w:t>369.0</w:t>
            </w:r>
          </w:p>
        </w:tc>
        <w:tc>
          <w:tcPr>
            <w:tcW w:type="dxa" w:w="1152"/>
            <w:vAlign w:val="top"/>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86.000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hospital day 2</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80.000</w:t>
            </w:r>
          </w:p>
        </w:tc>
        <w:tc>
          <w:tcPr>
            <w:tcW w:type="dxa" w:w="3312"/>
            <w:vAlign w:val="top"/>
          </w:tcPr>
          <w:p>
            <w:pPr>
              <w:spacing w:after="20" w:before="20"/>
            </w:pPr>
            <w:r>
              <w:rPr>
                <w:rFonts w:ascii="Calibri" w:hAnsi="Calibri" w:cs="Calibri"/>
                <w:b w:val="0"/>
                <w:sz w:val="20"/>
              </w:rPr>
              <w:t>80.000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1</w:t>
            </w:r>
          </w:p>
        </w:tc>
        <w:tc>
          <w:tcPr>
            <w:tcW w:type="dxa" w:w="2448"/>
            <w:vAlign w:val="top"/>
          </w:tcPr>
          <w:p>
            <w:pPr>
              <w:spacing w:after="20" w:before="20"/>
            </w:pPr>
            <w:r>
              <w:rPr>
                <w:rFonts w:ascii="Calibri" w:hAnsi="Calibri" w:cs="Calibri"/>
                <w:b w:val="0"/>
                <w:sz w:val="20"/>
              </w:rPr>
              <w:t>1100</w:t>
            </w:r>
          </w:p>
        </w:tc>
        <w:tc>
          <w:tcPr>
            <w:tcW w:type="dxa" w:w="2448"/>
            <w:vAlign w:val="top"/>
          </w:tcPr>
          <w:p>
            <w:pPr>
              <w:spacing w:after="20" w:before="20"/>
            </w:pPr>
            <w:r>
              <w:rPr>
                <w:rFonts w:ascii="Calibri" w:hAnsi="Calibri" w:cs="Calibri"/>
                <w:b w:val="0"/>
                <w:sz w:val="20"/>
              </w:rPr>
              <w:t>2800</w:t>
            </w:r>
          </w:p>
        </w:tc>
        <w:tc>
          <w:tcPr>
            <w:tcW w:type="dxa" w:w="2448"/>
            <w:vAlign w:val="top"/>
          </w:tcPr>
          <w:p>
            <w:pPr>
              <w:spacing w:after="20" w:before="20"/>
            </w:pPr>
            <w:r>
              <w:rPr>
                <w:rFonts w:ascii="Calibri" w:hAnsi="Calibri" w:cs="Calibri"/>
                <w:b w:val="0"/>
                <w:sz w:val="20"/>
              </w:rPr>
              <w:t>-1700</w:t>
            </w:r>
          </w:p>
        </w:tc>
      </w:tr>
      <w:tr>
        <w:trPr>
          <w:cantSplit/>
        </w:trPr>
        <w:tc>
          <w:tcPr>
            <w:tcW w:type="dxa" w:w="2448"/>
            <w:vAlign w:val="top"/>
          </w:tcPr>
          <w:p>
            <w:pPr>
              <w:spacing w:after="20" w:before="20"/>
            </w:pPr>
            <w:r>
              <w:rPr>
                <w:rFonts w:ascii="Calibri" w:hAnsi="Calibri" w:cs="Calibri"/>
                <w:b w:val="0"/>
                <w:sz w:val="20"/>
              </w:rPr>
              <w:t>hospital day 2</w:t>
            </w:r>
          </w:p>
        </w:tc>
        <w:tc>
          <w:tcPr>
            <w:tcW w:type="dxa" w:w="2448"/>
            <w:vAlign w:val="top"/>
          </w:tcPr>
          <w:p>
            <w:pPr>
              <w:spacing w:after="20" w:before="20"/>
            </w:pPr>
            <w:r>
              <w:rPr>
                <w:rFonts w:ascii="Calibri" w:hAnsi="Calibri" w:cs="Calibri"/>
                <w:b w:val="0"/>
                <w:sz w:val="20"/>
              </w:rPr>
              <w:t>1300</w:t>
            </w:r>
          </w:p>
        </w:tc>
        <w:tc>
          <w:tcPr>
            <w:tcW w:type="dxa" w:w="2448"/>
            <w:vAlign w:val="top"/>
          </w:tcPr>
          <w:p>
            <w:pPr>
              <w:spacing w:after="20" w:before="20"/>
            </w:pPr>
            <w:r>
              <w:rPr>
                <w:rFonts w:ascii="Calibri" w:hAnsi="Calibri" w:cs="Calibri"/>
                <w:b w:val="0"/>
                <w:sz w:val="20"/>
              </w:rPr>
              <w:t>2600</w:t>
            </w:r>
          </w:p>
        </w:tc>
        <w:tc>
          <w:tcPr>
            <w:tcW w:type="dxa" w:w="2448"/>
            <w:vAlign w:val="top"/>
          </w:tcPr>
          <w:p>
            <w:pPr>
              <w:spacing w:after="20" w:before="20"/>
            </w:pPr>
            <w:r>
              <w:rPr>
                <w:rFonts w:ascii="Calibri" w:hAnsi="Calibri" w:cs="Calibri"/>
                <w:b w:val="0"/>
                <w:sz w:val="20"/>
              </w:rPr>
              <w:t>-1300</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1500</w:t>
            </w:r>
          </w:p>
        </w:tc>
        <w:tc>
          <w:tcPr>
            <w:tcW w:type="dxa" w:w="2448"/>
            <w:vAlign w:val="top"/>
          </w:tcPr>
          <w:p>
            <w:pPr>
              <w:spacing w:after="20" w:before="20"/>
            </w:pPr>
            <w:r>
              <w:rPr>
                <w:rFonts w:ascii="Calibri" w:hAnsi="Calibri" w:cs="Calibri"/>
                <w:b w:val="0"/>
                <w:sz w:val="20"/>
              </w:rPr>
              <w:t>1900</w:t>
            </w:r>
          </w:p>
        </w:tc>
        <w:tc>
          <w:tcPr>
            <w:tcW w:type="dxa" w:w="2448"/>
            <w:vAlign w:val="top"/>
          </w:tcPr>
          <w:p>
            <w:pPr>
              <w:spacing w:after="20" w:before="20"/>
            </w:pPr>
            <w:r>
              <w:rPr>
                <w:rFonts w:ascii="Calibri" w:hAnsi="Calibri" w:cs="Calibri"/>
                <w:b w:val="0"/>
                <w:sz w:val="20"/>
              </w:rPr>
              <w:t>-400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Acute systolic (congestive) heart failure; Note: Intravenous furosemide 40 MG twice daily during volume overload. The home regimen was 40 MG orally once daily.</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edema without pneumonia.</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Left ventricular ejection fraction 30 percent. No valvular vegetation.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Volume overload responded to intravenous diuresis. Ejection fraction is 30 percent. Discharge weight equals the 80 kg dry weight.</w:t>
            </w:r>
          </w:p>
        </w:tc>
        <w:tc>
          <w:tcPr>
            <w:tcW w:type="dxa" w:w="3264"/>
            <w:vAlign w:val="top"/>
          </w:tcPr>
          <w:p>
            <w:pPr>
              <w:spacing w:after="20" w:before="20"/>
            </w:pPr>
            <w:r>
              <w:rPr>
                <w:rFonts w:ascii="Calibri" w:hAnsi="Calibri" w:cs="Calibri"/>
                <w:b w:val="0"/>
                <w:sz w:val="20"/>
              </w:rPr>
              <w:t>Blood pressure at discharge is 110 mmHg systolic. Kidney function improved.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Heart-failure clinic after diuresis</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5 C1 Presentation and demographics 1"/>
                <w:tag w:val="VAL-805-c1-Presentation and demographics-1"/>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2"/>
                <w:tag w:val="VAL-805-c1-Presentation and demographics-2"/>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3"/>
                <w:tag w:val="VAL-805-c1-Presentation and demographics-3"/>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4"/>
                <w:tag w:val="VAL-805-c1-Presentation and demographics-4"/>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1"/>
                <w:tag w:val="VAL-805-c1-Fit between presentation and diagnosis-1"/>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2"/>
                <w:tag w:val="VAL-805-c1-Fit between presentation and diagnosis-2"/>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3"/>
                <w:tag w:val="VAL-805-c1-Fit between presentation and diagnosis-3"/>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4"/>
                <w:tag w:val="VAL-805-c1-Fit between presentation and diagnosis-4"/>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5 C1 Vital signs 1"/>
                <w:tag w:val="VAL-805-c1-Vital signs-1"/>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2"/>
                <w:tag w:val="VAL-805-c1-Vital signs-2"/>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3"/>
                <w:tag w:val="VAL-805-c1-Vital signs-3"/>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4"/>
                <w:tag w:val="VAL-805-c1-Vital signs-4"/>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5 C1 Laboratory findings 1"/>
                <w:tag w:val="VAL-805-c1-Laboratory findings-1"/>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2"/>
                <w:tag w:val="VAL-805-c1-Laboratory findings-2"/>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3"/>
                <w:tag w:val="VAL-805-c1-Laboratory findings-3"/>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4"/>
                <w:tag w:val="VAL-805-c1-Laboratory findings-4"/>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5 C1 Medication regimen 1"/>
                <w:tag w:val="VAL-805-c1-Medication regimen-1"/>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2"/>
                <w:tag w:val="VAL-805-c1-Medication regimen-2"/>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3"/>
                <w:tag w:val="VAL-805-c1-Medication regimen-3"/>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4"/>
                <w:tag w:val="VAL-805-c1-Medication regimen-4"/>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5 C1 Hospital course 1"/>
                <w:tag w:val="VAL-805-c1-Hospital course-1"/>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2"/>
                <w:tag w:val="VAL-805-c1-Hospital course-2"/>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3"/>
                <w:tag w:val="VAL-805-c1-Hospital course-3"/>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4"/>
                <w:tag w:val="VAL-805-c1-Hospital course-4"/>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5 C1 Chart consistency 1"/>
                <w:tag w:val="VAL-805-c1-Chart consistency-1"/>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2"/>
                <w:tag w:val="VAL-805-c1-Chart consistency-2"/>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3"/>
                <w:tag w:val="VAL-805-c1-Chart consistency-3"/>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4"/>
                <w:tag w:val="VAL-805-c1-Chart consistency-4"/>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5 C1 Discharge context and follow-up 1"/>
                <w:tag w:val="VAL-805-c1-Discharge context and follow-up-1"/>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2"/>
                <w:tag w:val="VAL-805-c1-Discharge context and follow-up-2"/>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3"/>
                <w:tag w:val="VAL-805-c1-Discharge context and follow-up-3"/>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4"/>
                <w:tag w:val="VAL-805-c1-Discharge context and follow-up-4"/>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5 c1-overall Pass"/>
                <w:tag w:val="VAL-805-c1-overall-Pass"/>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1-overall Fail"/>
                <w:tag w:val="VAL-805-c1-overall-Fail"/>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5-c1-comment"/>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5 c2 Pass"/>
                <w:tag w:val="VAL-805-c2-Pass"/>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2 Fail"/>
                <w:tag w:val="VAL-805-c2-Fail"/>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5-c2-comment"/>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ACE inhibitor, ARB, or SGLT2 inhibitor</w:t>
            </w:r>
          </w:p>
        </w:tc>
        <w:tc>
          <w:tcPr>
            <w:tcW w:type="dxa" w:w="2016"/>
            <w:vAlign w:val="top"/>
          </w:tcPr>
          <w:p>
            <w:pPr>
              <w:spacing w:after="20" w:before="20"/>
            </w:pPr>
            <w:r>
              <w:rPr>
                <w:rFonts w:ascii="Calibri" w:hAnsi="Calibri" w:cs="Calibri"/>
                <w:b w:val="0"/>
                <w:sz w:val="20"/>
              </w:rPr>
              <w:t>start</w:t>
            </w:r>
          </w:p>
        </w:tc>
        <w:tc>
          <w:tcPr>
            <w:tcW w:type="dxa" w:w="4608"/>
            <w:vAlign w:val="top"/>
          </w:tcPr>
          <w:p>
            <w:pPr>
              <w:spacing w:after="20" w:before="20"/>
            </w:pPr>
            <w:r>
              <w:rPr>
                <w:rFonts w:ascii="Calibri" w:hAnsi="Calibri" w:cs="Calibri"/>
                <w:b w:val="0"/>
                <w:sz w:val="20"/>
              </w:rPr>
              <w:t>Ejection fraction is 30 percent and creatinine recovered to 0.9 mg/dL. The reference plan does not start one of these classes because none was a home medicine and the discharge systolic pressure is 110 mmHg. A reviewer may still accept a low-dose start.</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Which additional HFrEF therapies should be required versus acceptable alternatives, given ejection fraction 30 percent, discharge systolic pressure 110 mmHg, creatinine 0.9 mg/dL, and potassium 4.3 mmol/L?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5-adjudication"/>
              <w:id w:val="2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5 c3 Pass"/>
                <w:tag w:val="VAL-805-c3-Pass"/>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3 Fail"/>
                <w:tag w:val="VAL-805-c3-Fail"/>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5 c4 No"/>
                <w:tag w:val="VAL-805-c4-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4 Yes"/>
                <w:tag w:val="VAL-805-c4-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5 c5-issue No"/>
                <w:tag w:val="VAL-805-c5-issue-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issue Yes"/>
                <w:tag w:val="VAL-805-c5-issue-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5 c5-leak No"/>
                <w:tag w:val="VAL-805-c5-leak-No"/>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leak Yes"/>
                <w:tag w:val="VAL-805-c5-leak-Yes"/>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5-c5-comment"/>
              <w:id w:val="2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Easy"/>
                <w:tag w:val="VAL-805-c6-Easy"/>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5 c6 Moderate"/>
                <w:tag w:val="VAL-805-c6-Moderat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Hard"/>
                <w:tag w:val="VAL-805-c6-Hard"/>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5 c6 Inappropriate or outlier"/>
                <w:tag w:val="VAL-805-c6-Inappropriate or outlier"/>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5 overall Accept"/>
                <w:tag w:val="VAL-805-overall-Accept"/>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5 overall Revise"/>
                <w:tag w:val="VAL-805-overall-Revis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5 overall Exclude"/>
                <w:tag w:val="VAL-805-overall-Exclud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5-overall-comment"/>
              <w:id w:val="2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5-reviewer"/>
          <w:id w:val="2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5-date"/>
          <w:id w:val="2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Discharge weight was not close enough to dry weight.</w:t>
            </w:r>
          </w:p>
        </w:tc>
        <w:tc>
          <w:tcPr>
            <w:tcW w:type="dxa" w:w="5184"/>
            <w:vAlign w:val="top"/>
          </w:tcPr>
          <w:p>
            <w:pPr>
              <w:spacing w:after="20" w:before="20"/>
            </w:pPr>
            <w:r>
              <w:rPr>
                <w:rFonts w:ascii="Calibri" w:hAnsi="Calibri" w:cs="Calibri"/>
                <w:b w:val="0"/>
                <w:sz w:val="20"/>
              </w:rPr>
              <w:t>Serial weights are 86 kg, then 83 kg, then 80 kg, and 80 kg is the documented dry weight.</w:t>
            </w:r>
          </w:p>
        </w:tc>
      </w:tr>
      <w:tr>
        <w:trPr>
          <w:cantSplit/>
        </w:trPr>
        <w:tc>
          <w:tcPr>
            <w:tcW w:type="dxa" w:w="4608"/>
            <w:vAlign w:val="top"/>
          </w:tcPr>
          <w:p>
            <w:pPr>
              <w:spacing w:after="20" w:before="20"/>
            </w:pPr>
            <w:r>
              <w:rPr>
                <w:rFonts w:ascii="Calibri" w:hAnsi="Calibri" w:cs="Calibri"/>
                <w:b w:val="0"/>
                <w:sz w:val="20"/>
              </w:rPr>
              <w:t>Inpatient diuresis was not realistically represented, and serial intake and output were insufficient.</w:t>
            </w:r>
          </w:p>
        </w:tc>
        <w:tc>
          <w:tcPr>
            <w:tcW w:type="dxa" w:w="5184"/>
            <w:vAlign w:val="top"/>
          </w:tcPr>
          <w:p>
            <w:pPr>
              <w:spacing w:after="20" w:before="20"/>
            </w:pPr>
            <w:r>
              <w:rPr>
                <w:rFonts w:ascii="Calibri" w:hAnsi="Calibri" w:cs="Calibri"/>
                <w:b w:val="0"/>
                <w:sz w:val="20"/>
              </w:rPr>
              <w:t>Intake and output are net negative on hospital days 1 through 3. Inpatient furosemide is intravenous 40 mg twice daily, distinct from the home oral dose of 40 mg daily.</w:t>
            </w:r>
          </w:p>
        </w:tc>
      </w:tr>
      <w:tr>
        <w:trPr>
          <w:cantSplit/>
        </w:trPr>
        <w:tc>
          <w:tcPr>
            <w:tcW w:type="dxa" w:w="4608"/>
            <w:vAlign w:val="top"/>
          </w:tcPr>
          <w:p>
            <w:pPr>
              <w:spacing w:after="20" w:before="20"/>
            </w:pPr>
            <w:r>
              <w:rPr>
                <w:rFonts w:ascii="Calibri" w:hAnsi="Calibri" w:cs="Calibri"/>
                <w:b w:val="0"/>
                <w:sz w:val="20"/>
              </w:rPr>
              <w:t>Cardiology and echocardiography information was missing.</w:t>
            </w:r>
          </w:p>
        </w:tc>
        <w:tc>
          <w:tcPr>
            <w:tcW w:type="dxa" w:w="5184"/>
            <w:vAlign w:val="top"/>
          </w:tcPr>
          <w:p>
            <w:pPr>
              <w:spacing w:after="20" w:before="20"/>
            </w:pPr>
            <w:r>
              <w:rPr>
                <w:rFonts w:ascii="Calibri" w:hAnsi="Calibri" w:cs="Calibri"/>
                <w:b w:val="0"/>
                <w:sz w:val="20"/>
              </w:rPr>
              <w:t>Ejection fraction is 30 percent. Creatinine, potassium, and natriuretic peptide trajectories are on the chart, with discharge systolic pressure 110 mmHg.</w:t>
            </w:r>
          </w:p>
        </w:tc>
      </w:tr>
      <w:tr>
        <w:trPr>
          <w:cantSplit/>
        </w:trPr>
        <w:tc>
          <w:tcPr>
            <w:tcW w:type="dxa" w:w="4608"/>
            <w:vAlign w:val="top"/>
          </w:tcPr>
          <w:p>
            <w:pPr>
              <w:spacing w:after="20" w:before="20"/>
            </w:pPr>
            <w:r>
              <w:rPr>
                <w:rFonts w:ascii="Calibri" w:hAnsi="Calibri" w:cs="Calibri"/>
                <w:b w:val="0"/>
                <w:sz w:val="20"/>
              </w:rPr>
              <w:t>The trainee needed a meaningful decision about additional heart-failure therapy.</w:t>
            </w:r>
          </w:p>
        </w:tc>
        <w:tc>
          <w:tcPr>
            <w:tcW w:type="dxa" w:w="5184"/>
            <w:vAlign w:val="top"/>
          </w:tcPr>
          <w:p>
            <w:pPr>
              <w:spacing w:after="20" w:before="20"/>
            </w:pPr>
            <w:r>
              <w:rPr>
                <w:rFonts w:ascii="Calibri" w:hAnsi="Calibri" w:cs="Calibri"/>
                <w:b w:val="0"/>
                <w:sz w:val="20"/>
              </w:rPr>
              <w:t>The reference continues oral furosemide, metoprolol succinate, and atorvastatin. The form asks whether additional HFrEF therapy is required or only acceptable. It was not added automatically.</w:t>
            </w:r>
          </w:p>
        </w:tc>
      </w:tr>
    </w:tbl>
    <w:p>
      <w:pPr>
        <w:spacing w:after="40"/>
      </w:pPr>
    </w:p>
    <w:p>
      <w:pPr>
        <w:keepNext/>
        <w:pageBreakBefore/>
        <w:spacing w:after="40"/>
      </w:pPr>
      <w:r>
        <w:rPr>
          <w:rFonts w:ascii="Calibri" w:hAnsi="Calibri" w:cs="Calibri"/>
          <w:b/>
          <w:color w:val="1F3A5F"/>
          <w:sz w:val="32"/>
        </w:rPr>
        <w:t>CASE VAL-809</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man with hypertension and hyperlipidemia is admitted with one week of fever and fatigue. He had a dental extraction three weeks earlier. A new murmur is present. Home medicines are lisinopril and atorvastatin. Outpatient creatinine last month was 0.8 mg/dL.</w:t>
      </w:r>
    </w:p>
    <w:p>
      <w:pPr>
        <w:pStyle w:val="Heading3"/>
      </w:pPr>
      <w:r>
        <w:rPr>
          <w:rFonts w:ascii="Calibri" w:hAnsi="Calibri"/>
          <w:color w:val="1F3A5F"/>
        </w:rPr>
        <w:t>Admission note</w:t>
      </w:r>
    </w:p>
    <w:p>
      <w:pPr>
        <w:spacing w:after="120"/>
      </w:pPr>
      <w:r>
        <w:rPr>
          <w:rFonts w:ascii="Calibri" w:hAnsi="Calibri" w:cs="Calibri"/>
          <w:b w:val="0"/>
          <w:sz w:val="22"/>
        </w:rPr>
        <w:t>Admission note. Fever 38.6 C, heart rate 104, and a new murmur after a recent dental extraction. Blood cultures grew gram-positive cocci. Creatinine is 1.3 mg/dL, above the 0.8 mg/dL baseline.</w:t>
      </w:r>
    </w:p>
    <w:p>
      <w:pPr>
        <w:pStyle w:val="Heading2"/>
      </w:pPr>
      <w:r>
        <w:rPr>
          <w:rFonts w:ascii="Calibri" w:hAnsi="Calibri"/>
          <w:color w:val="1F3A5F"/>
        </w:rPr>
        <w:t>Hospital course</w:t>
      </w:r>
    </w:p>
    <w:p>
      <w:pPr>
        <w:spacing w:after="120"/>
      </w:pPr>
      <w:r>
        <w:rPr>
          <w:rFonts w:ascii="Calibri" w:hAnsi="Calibri" w:cs="Calibri"/>
          <w:b w:val="0"/>
          <w:sz w:val="22"/>
        </w:rPr>
        <w:t>Blood cultures grew Viridans group streptococcus. A transthoracic echocardiogram showed a vegetation. Ceftriaxone 2000 MG intravenously once daily was started. Later blood cultures showed no growth, and fever resolved. Acute kidney injury was attributed to the infection: creatinine 1.3 mg/dL on admission, 1.0 mg/dL on hospital day 3, and 0.8 mg/dL at discharge. Lisinopril was held while creatinine was 1.3 mg/dL. At discharge the creatinine is 0.8 mg/dL and the systolic blood pressure is 118 mmHg.</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128/86</w:t>
            </w:r>
          </w:p>
        </w:tc>
        <w:tc>
          <w:tcPr>
            <w:tcW w:type="dxa" w:w="1440"/>
            <w:vAlign w:val="top"/>
          </w:tcPr>
          <w:p>
            <w:pPr>
              <w:spacing w:after="20" w:before="20"/>
            </w:pPr>
            <w:r>
              <w:rPr>
                <w:rFonts w:ascii="Calibri" w:hAnsi="Calibri" w:cs="Calibri"/>
                <w:b w:val="0"/>
                <w:sz w:val="20"/>
              </w:rPr>
              <w:t>104</w:t>
            </w:r>
          </w:p>
        </w:tc>
        <w:tc>
          <w:tcPr>
            <w:tcW w:type="dxa" w:w="2016"/>
            <w:vAlign w:val="top"/>
          </w:tcPr>
          <w:p>
            <w:pPr>
              <w:spacing w:after="20" w:before="20"/>
            </w:pPr>
            <w:r>
              <w:rPr>
                <w:rFonts w:ascii="Calibri" w:hAnsi="Calibri" w:cs="Calibri"/>
                <w:b w:val="0"/>
                <w:sz w:val="20"/>
              </w:rPr>
              <w:t>38.60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118/85</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1"/>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admission</w:t>
            </w:r>
          </w:p>
        </w:tc>
        <w:tc>
          <w:tcPr>
            <w:tcW w:type="dxa" w:w="1632"/>
            <w:shd w:val="clear" w:color="auto" w:fill="D9E2F3"/>
          </w:tcPr>
          <w:p>
            <w:pPr>
              <w:spacing w:after="20" w:before="20"/>
            </w:pPr>
            <w:r>
              <w:rPr>
                <w:rFonts w:ascii="Calibri" w:hAnsi="Calibri" w:cs="Calibri"/>
                <w:b/>
                <w:sz w:val="20"/>
              </w:rPr>
              <w:t>hospital day 3</w:t>
            </w:r>
          </w:p>
        </w:tc>
        <w:tc>
          <w:tcPr>
            <w:tcW w:type="dxa" w:w="1632"/>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1632"/>
            <w:vAlign w:val="top"/>
          </w:tcPr>
          <w:p>
            <w:pPr>
              <w:spacing w:after="20" w:before="20"/>
            </w:pPr>
            <w:r>
              <w:rPr>
                <w:rFonts w:ascii="Calibri" w:hAnsi="Calibri" w:cs="Calibri"/>
                <w:b w:val="0"/>
                <w:sz w:val="20"/>
              </w:rPr>
              <w:t>1.3</w:t>
            </w:r>
          </w:p>
        </w:tc>
        <w:tc>
          <w:tcPr>
            <w:tcW w:type="dxa" w:w="1632"/>
            <w:vAlign w:val="top"/>
          </w:tcPr>
          <w:p>
            <w:pPr>
              <w:spacing w:after="20" w:before="20"/>
            </w:pPr>
            <w:r>
              <w:rPr>
                <w:rFonts w:ascii="Calibri" w:hAnsi="Calibri" w:cs="Calibri"/>
                <w:b w:val="0"/>
                <w:sz w:val="20"/>
              </w:rPr>
              <w:t>1.0</w:t>
            </w:r>
          </w:p>
        </w:tc>
        <w:tc>
          <w:tcPr>
            <w:tcW w:type="dxa" w:w="1632"/>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1632"/>
            <w:vAlign w:val="top"/>
          </w:tcPr>
          <w:p>
            <w:pPr>
              <w:spacing w:after="20" w:before="20"/>
            </w:pPr>
            <w:r>
              <w:rPr>
                <w:rFonts w:ascii="Calibri" w:hAnsi="Calibri" w:cs="Calibri"/>
                <w:b w:val="0"/>
                <w:sz w:val="20"/>
              </w:rPr>
              <w:t>13.1</w:t>
            </w:r>
          </w:p>
        </w:tc>
        <w:tc>
          <w:tcPr>
            <w:tcW w:type="dxa" w:w="1632"/>
            <w:vAlign w:val="top"/>
          </w:tcPr>
          <w:p>
            <w:pPr>
              <w:spacing w:after="20" w:before="20"/>
            </w:pPr>
            <w:r>
              <w:rPr>
                <w:rFonts w:ascii="Calibri" w:hAnsi="Calibri" w:cs="Calibri"/>
                <w:b w:val="0"/>
                <w:sz w:val="20"/>
              </w:rPr>
            </w:r>
          </w:p>
        </w:tc>
        <w:tc>
          <w:tcPr>
            <w:tcW w:type="dxa" w:w="1632"/>
            <w:vAlign w:val="top"/>
          </w:tcPr>
          <w:p>
            <w:pPr>
              <w:spacing w:after="20" w:before="20"/>
            </w:pPr>
            <w:r>
              <w:rPr>
                <w:rFonts w:ascii="Calibri" w:hAnsi="Calibri" w:cs="Calibri"/>
                <w:b w:val="0"/>
                <w:sz w:val="20"/>
              </w:rPr>
              <w:t>12.9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Held while creatinine was 1.3 mg/dL.</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Endocarditis with a vegetation and Viridans group streptococcus bacteremia after a dental extraction. Fever has resolved and follow-up cultures show no growth.</w:t>
            </w:r>
          </w:p>
        </w:tc>
        <w:tc>
          <w:tcPr>
            <w:tcW w:type="dxa" w:w="3264"/>
            <w:vAlign w:val="top"/>
          </w:tcPr>
          <w:p>
            <w:pPr>
              <w:spacing w:after="20" w:before="20"/>
            </w:pPr>
            <w:r>
              <w:rPr>
                <w:rFonts w:ascii="Calibri" w:hAnsi="Calibri" w:cs="Calibri"/>
                <w:b w:val="0"/>
                <w:sz w:val="20"/>
              </w:rPr>
              <w:t>Four weeks of intravenous ceftriaxone is the planned course for viridans endocarditis with a vegetation. Kidney function has returned to the 0.8 mg/dL baseline.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with parenteral-therapy laboratory monitoring</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9 C1 Presentation and demographics 1"/>
                <w:tag w:val="VAL-809-c1-Presentation and demographics-1"/>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2"/>
                <w:tag w:val="VAL-809-c1-Presentation and demographics-2"/>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3"/>
                <w:tag w:val="VAL-809-c1-Presentation and demographics-3"/>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4"/>
                <w:tag w:val="VAL-809-c1-Presentation and demographics-4"/>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1"/>
                <w:tag w:val="VAL-809-c1-Fit between presentation and diagnosis-1"/>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2"/>
                <w:tag w:val="VAL-809-c1-Fit between presentation and diagnosis-2"/>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3"/>
                <w:tag w:val="VAL-809-c1-Fit between presentation and diagnosis-3"/>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4"/>
                <w:tag w:val="VAL-809-c1-Fit between presentation and diagnosis-4"/>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9 C1 Vital signs 1"/>
                <w:tag w:val="VAL-809-c1-Vital signs-1"/>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2"/>
                <w:tag w:val="VAL-809-c1-Vital signs-2"/>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3"/>
                <w:tag w:val="VAL-809-c1-Vital signs-3"/>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4"/>
                <w:tag w:val="VAL-809-c1-Vital signs-4"/>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9 C1 Laboratory findings 1"/>
                <w:tag w:val="VAL-809-c1-Laboratory findings-1"/>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2"/>
                <w:tag w:val="VAL-809-c1-Laboratory findings-2"/>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3"/>
                <w:tag w:val="VAL-809-c1-Laboratory findings-3"/>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4"/>
                <w:tag w:val="VAL-809-c1-Laboratory findings-4"/>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9 C1 Medication regimen 1"/>
                <w:tag w:val="VAL-809-c1-Medication regimen-1"/>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2"/>
                <w:tag w:val="VAL-809-c1-Medication regimen-2"/>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3"/>
                <w:tag w:val="VAL-809-c1-Medication regimen-3"/>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4"/>
                <w:tag w:val="VAL-809-c1-Medication regimen-4"/>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9 C1 Hospital course 1"/>
                <w:tag w:val="VAL-809-c1-Hospital course-1"/>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2"/>
                <w:tag w:val="VAL-809-c1-Hospital course-2"/>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3"/>
                <w:tag w:val="VAL-809-c1-Hospital course-3"/>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4"/>
                <w:tag w:val="VAL-809-c1-Hospital course-4"/>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9 C1 Chart consistency 1"/>
                <w:tag w:val="VAL-809-c1-Chart consistency-1"/>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2"/>
                <w:tag w:val="VAL-809-c1-Chart consistency-2"/>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3"/>
                <w:tag w:val="VAL-809-c1-Chart consistency-3"/>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4"/>
                <w:tag w:val="VAL-809-c1-Chart consistency-4"/>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9 C1 Discharge context and follow-up 1"/>
                <w:tag w:val="VAL-809-c1-Discharge context and follow-up-1"/>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2"/>
                <w:tag w:val="VAL-809-c1-Discharge context and follow-up-2"/>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3"/>
                <w:tag w:val="VAL-809-c1-Discharge context and follow-up-3"/>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4"/>
                <w:tag w:val="VAL-809-c1-Discharge context and follow-up-4"/>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9 c1-overall Pass"/>
                <w:tag w:val="VAL-809-c1-overall-Pass"/>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1-overall Fail"/>
                <w:tag w:val="VAL-809-c1-overall-Fail"/>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9-c1-comment"/>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9 c2 Pass"/>
                <w:tag w:val="VAL-809-c2-Pass"/>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2 Fail"/>
                <w:tag w:val="VAL-809-c2-Fail"/>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9-c2-comment"/>
              <w:id w:val="2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9 c3 Pass"/>
                <w:tag w:val="VAL-809-c3-Pass"/>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3 Fail"/>
                <w:tag w:val="VAL-809-c3-Fail"/>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9 c4 No"/>
                <w:tag w:val="VAL-809-c4-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4 Yes"/>
                <w:tag w:val="VAL-809-c4-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9 c5-issue No"/>
                <w:tag w:val="VAL-809-c5-issue-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issue Yes"/>
                <w:tag w:val="VAL-809-c5-issue-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9 c5-leak No"/>
                <w:tag w:val="VAL-809-c5-leak-No"/>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leak Yes"/>
                <w:tag w:val="VAL-809-c5-leak-Yes"/>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9-c5-comment"/>
              <w:id w:val="2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Easy"/>
                <w:tag w:val="VAL-809-c6-Easy"/>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9 c6 Moderate"/>
                <w:tag w:val="VAL-809-c6-Moderat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Hard"/>
                <w:tag w:val="VAL-809-c6-Hard"/>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9 c6 Inappropriate or outlier"/>
                <w:tag w:val="VAL-809-c6-Inappropriate or outlier"/>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9 overall Accept"/>
                <w:tag w:val="VAL-809-overall-Accept"/>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9 overall Revise"/>
                <w:tag w:val="VAL-809-overall-Revis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9 overall Exclude"/>
                <w:tag w:val="VAL-809-overall-Exclud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9-overall-comment"/>
              <w:id w:val="2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9-reviewer"/>
          <w:id w:val="2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9-date"/>
          <w:id w:val="28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There was insufficient clinical evidence for endocarditis, including fever and risk context.</w:t>
            </w:r>
          </w:p>
        </w:tc>
        <w:tc>
          <w:tcPr>
            <w:tcW w:type="dxa" w:w="5184"/>
            <w:vAlign w:val="top"/>
          </w:tcPr>
          <w:p>
            <w:pPr>
              <w:spacing w:after="20" w:before="20"/>
            </w:pPr>
            <w:r>
              <w:rPr>
                <w:rFonts w:ascii="Calibri" w:hAnsi="Calibri" w:cs="Calibri"/>
                <w:b w:val="0"/>
                <w:sz w:val="20"/>
              </w:rPr>
              <w:t>The chart includes fever of 38.6°C, heart rate 104, a dental extraction three weeks earlier, a new murmur, viridans group streptococcus, and a vegetation. Later cultures show no growth and the fever resolves.</w:t>
            </w:r>
          </w:p>
        </w:tc>
      </w:tr>
      <w:tr>
        <w:trPr>
          <w:cantSplit/>
        </w:trPr>
        <w:tc>
          <w:tcPr>
            <w:tcW w:type="dxa" w:w="4608"/>
            <w:vAlign w:val="top"/>
          </w:tcPr>
          <w:p>
            <w:pPr>
              <w:spacing w:after="20" w:before="20"/>
            </w:pPr>
            <w:r>
              <w:rPr>
                <w:rFonts w:ascii="Calibri" w:hAnsi="Calibri" w:cs="Calibri"/>
                <w:b w:val="0"/>
                <w:sz w:val="20"/>
              </w:rPr>
              <w:t>The acute kidney injury was unexplained, and lisinopril handling was not appropriate.</w:t>
            </w:r>
          </w:p>
        </w:tc>
        <w:tc>
          <w:tcPr>
            <w:tcW w:type="dxa" w:w="5184"/>
            <w:vAlign w:val="top"/>
          </w:tcPr>
          <w:p>
            <w:pPr>
              <w:spacing w:after="20" w:before="20"/>
            </w:pPr>
            <w:r>
              <w:rPr>
                <w:rFonts w:ascii="Calibri" w:hAnsi="Calibri" w:cs="Calibri"/>
                <w:b w:val="0"/>
                <w:sz w:val="20"/>
              </w:rPr>
              <w:t>Baseline creatinine is 0.8 mg/dL. Creatinine is 1.3, then 1.0, then 0.8 mg/dL. Lisinopril is held during the elevation. The reference restarts it at discharge, and the chart does not announce that restart.</w:t>
            </w:r>
          </w:p>
        </w:tc>
      </w:tr>
      <w:tr>
        <w:trPr>
          <w:cantSplit/>
        </w:trPr>
        <w:tc>
          <w:tcPr>
            <w:tcW w:type="dxa" w:w="4608"/>
            <w:vAlign w:val="top"/>
          </w:tcPr>
          <w:p>
            <w:pPr>
              <w:spacing w:after="20" w:before="20"/>
            </w:pPr>
            <w:r>
              <w:rPr>
                <w:rFonts w:ascii="Calibri" w:hAnsi="Calibri" w:cs="Calibri"/>
                <w:b w:val="0"/>
                <w:sz w:val="20"/>
              </w:rPr>
              <w:t>The case was not complex enough for the intended decision.</w:t>
            </w:r>
          </w:p>
        </w:tc>
        <w:tc>
          <w:tcPr>
            <w:tcW w:type="dxa" w:w="5184"/>
            <w:vAlign w:val="top"/>
          </w:tcPr>
          <w:p>
            <w:pPr>
              <w:spacing w:after="20" w:before="20"/>
            </w:pPr>
            <w:r>
              <w:rPr>
                <w:rFonts w:ascii="Calibri" w:hAnsi="Calibri" w:cs="Calibri"/>
                <w:b w:val="0"/>
                <w:sz w:val="20"/>
              </w:rPr>
              <w:t>Ceftriaxone 2 g intravenously daily for four weeks is the reference start, with the endocarditis findings above available to the resident.</w:t>
            </w:r>
          </w:p>
        </w:tc>
      </w:tr>
    </w:tbl>
    <w:p>
      <w:pPr>
        <w:spacing w:after="40"/>
      </w:pPr>
    </w:p>
    <w:p>
      <w:pPr>
        <w:keepNext/>
        <w:pageBreakBefore/>
        <w:spacing w:after="40"/>
      </w:pPr>
      <w:r>
        <w:rPr>
          <w:rFonts w:ascii="Calibri" w:hAnsi="Calibri" w:cs="Calibri"/>
          <w:b/>
          <w:color w:val="1F3A5F"/>
          <w:sz w:val="32"/>
        </w:rPr>
        <w:t>CASE VAL-813</w:t>
      </w:r>
    </w:p>
    <w:p>
      <w:pPr>
        <w:spacing w:after="120"/>
      </w:pPr>
      <w:r>
        <w:rPr>
          <w:rFonts w:ascii="Calibri" w:hAnsi="Calibri" w:cs="Calibri"/>
          <w:b w:val="0"/>
          <w:sz w:val="22"/>
        </w:rPr>
        <w:t>Round 2 revised case</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64-year-old Female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64-year-old woman with a kidney transplant is admitted with several days of diarrhea. Maintenance immunosuppression is tacrolimus and mycophenolate. She also takes amlodipine for hypertension and atorvastatin for hyperlipidemia. She was not taking valganciclovir before this admission.</w:t>
      </w:r>
    </w:p>
    <w:p>
      <w:pPr>
        <w:pStyle w:val="Heading3"/>
      </w:pPr>
      <w:r>
        <w:rPr>
          <w:rFonts w:ascii="Calibri" w:hAnsi="Calibri"/>
          <w:color w:val="1F3A5F"/>
        </w:rPr>
        <w:t>Admission note</w:t>
      </w:r>
    </w:p>
    <w:p>
      <w:pPr>
        <w:spacing w:after="120"/>
      </w:pPr>
      <w:r>
        <w:rPr>
          <w:rFonts w:ascii="Calibri" w:hAnsi="Calibri" w:cs="Calibri"/>
          <w:b w:val="0"/>
          <w:sz w:val="22"/>
        </w:rPr>
        <w:t>Admission note. Diarrhea after kidney transplantation. Home immunosuppression is tacrolimus and mycophenolate. Valganciclovir is not a home medicine.</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and valganciclovir was started only after that result, 900 MG twice daily given as 450 MG tablets. Diarrhea then improved, and a later viral-load review was lower than the admission result. Creatinine was 1.2 mg/dL then 1.0 mg/dL and potassium was 4.7 mmol/L then 3.9 mmol/L. Tacrolimus, mycophenolate, amlodipine, and atorvastatin were continued.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147/80</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134/80</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3.9</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66.000</w:t>
            </w:r>
          </w:p>
        </w:tc>
        <w:tc>
          <w:tcPr>
            <w:tcW w:type="dxa" w:w="3312"/>
            <w:vAlign w:val="top"/>
          </w:tcPr>
          <w:p>
            <w:pPr>
              <w:spacing w:after="20" w:before="20"/>
            </w:pPr>
            <w:r>
              <w:rPr>
                <w:rFonts w:ascii="Calibri" w:hAnsi="Calibri" w:cs="Calibri"/>
                <w:b w:val="0"/>
                <w:sz w:val="20"/>
              </w:rPr>
              <w:t>63.000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5</w:t>
            </w:r>
          </w:p>
        </w:tc>
        <w:tc>
          <w:tcPr>
            <w:tcW w:type="dxa" w:w="2448"/>
            <w:vAlign w:val="top"/>
          </w:tcPr>
          <w:p>
            <w:pPr>
              <w:spacing w:after="20" w:before="20"/>
            </w:pPr>
            <w:r>
              <w:rPr>
                <w:rFonts w:ascii="Calibri" w:hAnsi="Calibri" w:cs="Calibri"/>
                <w:b w:val="0"/>
                <w:sz w:val="20"/>
              </w:rPr>
              <w:t>1655</w:t>
            </w:r>
          </w:p>
        </w:tc>
        <w:tc>
          <w:tcPr>
            <w:tcW w:type="dxa" w:w="2448"/>
            <w:vAlign w:val="top"/>
          </w:tcPr>
          <w:p>
            <w:pPr>
              <w:spacing w:after="20" w:before="20"/>
            </w:pPr>
            <w:r>
              <w:rPr>
                <w:rFonts w:ascii="Calibri" w:hAnsi="Calibri" w:cs="Calibri"/>
                <w:b w:val="0"/>
                <w:sz w:val="20"/>
              </w:rPr>
              <w:t>1812</w:t>
            </w:r>
          </w:p>
        </w:tc>
        <w:tc>
          <w:tcPr>
            <w:tcW w:type="dxa" w:w="2448"/>
            <w:vAlign w:val="top"/>
          </w:tcPr>
          <w:p>
            <w:pPr>
              <w:spacing w:after="20" w:before="20"/>
            </w:pPr>
            <w:r>
              <w:rPr>
                <w:rFonts w:ascii="Calibri" w:hAnsi="Calibri" w:cs="Calibri"/>
                <w:b w:val="0"/>
                <w:sz w:val="20"/>
              </w:rPr>
              <w:t>-157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Kidney transplant status; Note: Given as 500 MG tablets.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Kidney transplant status; Note: Given as 500 MG tablets.</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Given as 450 MG tablets. Not a pre-admission medicine.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Kidney transplant maintained on tacrolimus and mycophenolate.</w:t>
            </w:r>
          </w:p>
        </w:tc>
        <w:tc>
          <w:tcPr>
            <w:tcW w:type="dxa" w:w="3264"/>
            <w:vAlign w:val="top"/>
          </w:tcPr>
          <w:p>
            <w:pPr>
              <w:spacing w:after="20" w:before="20"/>
            </w:pPr>
            <w:r>
              <w:rPr>
                <w:rFonts w:ascii="Calibri" w:hAnsi="Calibri" w:cs="Calibri"/>
                <w:b w:val="0"/>
                <w:sz w:val="20"/>
              </w:rPr>
              <w:t>Immunosuppression was kept active while the new antiviral was started.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CMV viral load was detected after admission in a transplant recipient with diarrhea.</w:t>
            </w:r>
          </w:p>
        </w:tc>
        <w:tc>
          <w:tcPr>
            <w:tcW w:type="dxa" w:w="3264"/>
            <w:vAlign w:val="top"/>
          </w:tcPr>
          <w:p>
            <w:pPr>
              <w:spacing w:after="20" w:before="20"/>
            </w:pPr>
            <w:r>
              <w:rPr>
                <w:rFonts w:ascii="Calibri" w:hAnsi="Calibri" w:cs="Calibri"/>
                <w:b w:val="0"/>
                <w:sz w:val="20"/>
              </w:rPr>
              <w:t>Antiviral therapy was begun after the viral-load result. Symptoms improved.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clinic follow-up after antiviral conversion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3 C1 Presentation and demographics 1"/>
                <w:tag w:val="VAL-813-c1-Presentation and demographics-1"/>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2"/>
                <w:tag w:val="VAL-813-c1-Presentation and demographics-2"/>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3"/>
                <w:tag w:val="VAL-813-c1-Presentation and demographics-3"/>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4"/>
                <w:tag w:val="VAL-813-c1-Presentation and demographics-4"/>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1"/>
                <w:tag w:val="VAL-813-c1-Fit between presentation and diagnosis-1"/>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2"/>
                <w:tag w:val="VAL-813-c1-Fit between presentation and diagnosis-2"/>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3"/>
                <w:tag w:val="VAL-813-c1-Fit between presentation and diagnosis-3"/>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4"/>
                <w:tag w:val="VAL-813-c1-Fit between presentation and diagnosis-4"/>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3 C1 Vital signs 1"/>
                <w:tag w:val="VAL-813-c1-Vital signs-1"/>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2"/>
                <w:tag w:val="VAL-813-c1-Vital signs-2"/>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3"/>
                <w:tag w:val="VAL-813-c1-Vital signs-3"/>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4"/>
                <w:tag w:val="VAL-813-c1-Vital signs-4"/>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3 C1 Laboratory findings 1"/>
                <w:tag w:val="VAL-813-c1-Laboratory findings-1"/>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2"/>
                <w:tag w:val="VAL-813-c1-Laboratory findings-2"/>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3"/>
                <w:tag w:val="VAL-813-c1-Laboratory findings-3"/>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4"/>
                <w:tag w:val="VAL-813-c1-Laboratory findings-4"/>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3 C1 Medication regimen 1"/>
                <w:tag w:val="VAL-813-c1-Medication regimen-1"/>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2"/>
                <w:tag w:val="VAL-813-c1-Medication regimen-2"/>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3"/>
                <w:tag w:val="VAL-813-c1-Medication regimen-3"/>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4"/>
                <w:tag w:val="VAL-813-c1-Medication regimen-4"/>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3 C1 Hospital course 1"/>
                <w:tag w:val="VAL-813-c1-Hospital course-1"/>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2"/>
                <w:tag w:val="VAL-813-c1-Hospital course-2"/>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3"/>
                <w:tag w:val="VAL-813-c1-Hospital course-3"/>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4"/>
                <w:tag w:val="VAL-813-c1-Hospital course-4"/>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3 C1 Chart consistency 1"/>
                <w:tag w:val="VAL-813-c1-Chart consistency-1"/>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2"/>
                <w:tag w:val="VAL-813-c1-Chart consistency-2"/>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3"/>
                <w:tag w:val="VAL-813-c1-Chart consistency-3"/>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4"/>
                <w:tag w:val="VAL-813-c1-Chart consistency-4"/>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3 C1 Discharge context and follow-up 1"/>
                <w:tag w:val="VAL-813-c1-Discharge context and follow-up-1"/>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2"/>
                <w:tag w:val="VAL-813-c1-Discharge context and follow-up-2"/>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3"/>
                <w:tag w:val="VAL-813-c1-Discharge context and follow-up-3"/>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4"/>
                <w:tag w:val="VAL-813-c1-Discharge context and follow-up-4"/>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3 c1-overall Pass"/>
                <w:tag w:val="VAL-813-c1-overall-Pass"/>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1-overall Fail"/>
                <w:tag w:val="VAL-813-c1-overall-Fail"/>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3-c1-comment"/>
              <w:id w:val="3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3 c2 Pass"/>
                <w:tag w:val="VAL-813-c2-Pass"/>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2 Fail"/>
                <w:tag w:val="VAL-813-c2-Fail"/>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3-c2-comment"/>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mycophenolate mofetil 500 MG Oral Tablet</w:t>
            </w:r>
          </w:p>
        </w:tc>
        <w:tc>
          <w:tcPr>
            <w:tcW w:type="dxa" w:w="1152"/>
            <w:vAlign w:val="top"/>
          </w:tcPr>
          <w:p>
            <w:pPr>
              <w:spacing w:after="20" w:before="20"/>
            </w:pPr>
            <w:r>
              <w:rPr>
                <w:rFonts w:ascii="Calibri" w:hAnsi="Calibri" w:cs="Calibri"/>
                <w:b w:val="0"/>
                <w:sz w:val="20"/>
              </w:rPr>
              <w:t>1000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Continue versus modify or temporarily hold mycophenolate, given the CMV disease and transplant context?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3-adjudication"/>
              <w:id w:val="3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3 c3 Pass"/>
                <w:tag w:val="VAL-813-c3-Pass"/>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3 Fail"/>
                <w:tag w:val="VAL-813-c3-Fail"/>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3 c4 No"/>
                <w:tag w:val="VAL-813-c4-No"/>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4 Yes"/>
                <w:tag w:val="VAL-813-c4-Yes"/>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3 c5-issue No"/>
                <w:tag w:val="VAL-813-c5-issue-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issue Yes"/>
                <w:tag w:val="VAL-813-c5-issue-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3 c5-leak No"/>
                <w:tag w:val="VAL-813-c5-leak-No"/>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leak Yes"/>
                <w:tag w:val="VAL-813-c5-leak-Yes"/>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3-c5-comment"/>
              <w:id w:val="3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Easy"/>
                <w:tag w:val="VAL-813-c6-Easy"/>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3 c6 Moderate"/>
                <w:tag w:val="VAL-813-c6-Moderat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Hard"/>
                <w:tag w:val="VAL-813-c6-Hard"/>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3 c6 Inappropriate or outlier"/>
                <w:tag w:val="VAL-813-c6-Inappropriate or outlier"/>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3 overall Accept"/>
                <w:tag w:val="VAL-813-overall-Accept"/>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3 overall Revise"/>
                <w:tag w:val="VAL-813-overall-Revis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3 overall Exclude"/>
                <w:tag w:val="VAL-813-overall-Exclud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3-overall-comment"/>
              <w:id w:val="3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3-reviewer"/>
          <w:id w:val="34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3-date"/>
          <w:id w:val="3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PREVIOUS ROUND 1 CLINICIAN FEEDBACK</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feedback recorded during the first clinician-validation round. It is shown after the current Round 2 form so that the revised case can first be judged independently. Historical boxes are not editable.</w:t>
      </w:r>
    </w:p>
    <w:p>
      <w:pPr>
        <w:spacing w:after="120"/>
      </w:pPr>
      <w:r>
        <w:rPr>
          <w:rFonts w:ascii="Calibri" w:hAnsi="Calibri" w:cs="Calibri"/>
          <w:b w:val="0"/>
          <w:sz w:val="22"/>
        </w:rPr>
        <w:t>The completed Round 1 file KO Casebook Validation.docx was not in the repository when this codebook was built. Ratings and comments were not reconstructed, and no Round 1 selection was invented.</w:t>
      </w:r>
    </w:p>
    <w:p>
      <w:pPr>
        <w:pStyle w:val="Heading2"/>
      </w:pPr>
      <w:r>
        <w:rPr>
          <w:rFonts w:ascii="Calibri" w:hAnsi="Calibri"/>
          <w:color w:val="1F3A5F"/>
        </w:rPr>
        <w:t>ROUND 2 RESPONSE TO ROUND 1 FEEDBACK</w:t>
      </w:r>
    </w:p>
    <w:p>
      <w:pPr>
        <w:spacing w:after="120"/>
      </w:pPr>
      <w:r>
        <w:rPr>
          <w:rFonts w:ascii="Calibri" w:hAnsi="Calibri" w:cs="Calibri"/>
          <w:b w:val="0"/>
          <w:sz w:val="22"/>
        </w:rPr>
        <w:t>This table records how the revised chart responds to the earlier review. It is not a new rating, and it does not replace the blank form above.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608"/>
            <w:shd w:val="clear" w:color="auto" w:fill="D9E2F3"/>
          </w:tcPr>
          <w:p>
            <w:pPr>
              <w:spacing w:after="20" w:before="20"/>
            </w:pPr>
            <w:r>
              <w:rPr>
                <w:rFonts w:ascii="Calibri" w:hAnsi="Calibri" w:cs="Calibri"/>
                <w:b/>
                <w:sz w:val="20"/>
              </w:rPr>
              <w:t>Round 1 concern</w:t>
            </w:r>
          </w:p>
        </w:tc>
        <w:tc>
          <w:tcPr>
            <w:tcW w:type="dxa" w:w="5184"/>
            <w:shd w:val="clear" w:color="auto" w:fill="D9E2F3"/>
          </w:tcPr>
          <w:p>
            <w:pPr>
              <w:spacing w:after="20" w:before="20"/>
            </w:pPr>
            <w:r>
              <w:rPr>
                <w:rFonts w:ascii="Calibri" w:hAnsi="Calibri" w:cs="Calibri"/>
                <w:b/>
                <w:sz w:val="20"/>
              </w:rPr>
              <w:t>Round 2 change</w:t>
            </w:r>
          </w:p>
        </w:tc>
      </w:tr>
      <w:tr>
        <w:trPr>
          <w:cantSplit/>
        </w:trPr>
        <w:tc>
          <w:tcPr>
            <w:tcW w:type="dxa" w:w="4608"/>
            <w:vAlign w:val="top"/>
          </w:tcPr>
          <w:p>
            <w:pPr>
              <w:spacing w:after="20" w:before="20"/>
            </w:pPr>
            <w:r>
              <w:rPr>
                <w:rFonts w:ascii="Calibri" w:hAnsi="Calibri" w:cs="Calibri"/>
                <w:b w:val="0"/>
                <w:sz w:val="20"/>
              </w:rPr>
              <w:t>Valganciclovir was present at home before a new cytomegalovirus diagnosis.</w:t>
            </w:r>
          </w:p>
        </w:tc>
        <w:tc>
          <w:tcPr>
            <w:tcW w:type="dxa" w:w="5184"/>
            <w:vAlign w:val="top"/>
          </w:tcPr>
          <w:p>
            <w:pPr>
              <w:spacing w:after="20" w:before="20"/>
            </w:pPr>
            <w:r>
              <w:rPr>
                <w:rFonts w:ascii="Calibri" w:hAnsi="Calibri" w:cs="Calibri"/>
                <w:b w:val="0"/>
                <w:sz w:val="20"/>
              </w:rPr>
              <w:t>Valganciclovir is not a home medication.</w:t>
            </w:r>
          </w:p>
        </w:tc>
      </w:tr>
      <w:tr>
        <w:trPr>
          <w:cantSplit/>
        </w:trPr>
        <w:tc>
          <w:tcPr>
            <w:tcW w:type="dxa" w:w="4608"/>
            <w:vAlign w:val="top"/>
          </w:tcPr>
          <w:p>
            <w:pPr>
              <w:spacing w:after="20" w:before="20"/>
            </w:pPr>
            <w:r>
              <w:rPr>
                <w:rFonts w:ascii="Calibri" w:hAnsi="Calibri" w:cs="Calibri"/>
                <w:b w:val="0"/>
                <w:sz w:val="20"/>
              </w:rPr>
              <w:t>The cytomegalovirus chronology was misleading.</w:t>
            </w:r>
          </w:p>
        </w:tc>
        <w:tc>
          <w:tcPr>
            <w:tcW w:type="dxa" w:w="5184"/>
            <w:vAlign w:val="top"/>
          </w:tcPr>
          <w:p>
            <w:pPr>
              <w:spacing w:after="20" w:before="20"/>
            </w:pPr>
            <w:r>
              <w:rPr>
                <w:rFonts w:ascii="Calibri" w:hAnsi="Calibri" w:cs="Calibri"/>
                <w:b w:val="0"/>
                <w:sz w:val="20"/>
              </w:rPr>
              <w:t>Viral load is detected after admission, and valganciclovir 900 mg twice daily begins after that detection.</w:t>
            </w:r>
          </w:p>
        </w:tc>
      </w:tr>
      <w:tr>
        <w:trPr>
          <w:cantSplit/>
        </w:trPr>
        <w:tc>
          <w:tcPr>
            <w:tcW w:type="dxa" w:w="4608"/>
            <w:vAlign w:val="top"/>
          </w:tcPr>
          <w:p>
            <w:pPr>
              <w:spacing w:after="20" w:before="20"/>
            </w:pPr>
            <w:r>
              <w:rPr>
                <w:rFonts w:ascii="Calibri" w:hAnsi="Calibri" w:cs="Calibri"/>
                <w:b w:val="0"/>
                <w:sz w:val="20"/>
              </w:rPr>
              <w:t>The transplant regimen was too simplified, and the laboratories were incomplete.</w:t>
            </w:r>
          </w:p>
        </w:tc>
        <w:tc>
          <w:tcPr>
            <w:tcW w:type="dxa" w:w="5184"/>
            <w:vAlign w:val="top"/>
          </w:tcPr>
          <w:p>
            <w:pPr>
              <w:spacing w:after="20" w:before="20"/>
            </w:pPr>
            <w:r>
              <w:rPr>
                <w:rFonts w:ascii="Calibri" w:hAnsi="Calibri" w:cs="Calibri"/>
                <w:b w:val="0"/>
                <w:sz w:val="20"/>
              </w:rPr>
              <w:t>The chart keeps tacrolimus and mycophenolate, with creatinine 1.2 then 1.0 mg/dL. The form asks the clinician to judge whether mycophenolate should continue. That reference action was not changed in advance.</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Cycle 2  |  Set 1 revised cases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