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rPr>
          <w:rFonts w:ascii="Calibri" w:hAnsi="Calibri"/>
          <w:color w:val="1F3A5F"/>
        </w:rPr>
        <w:t>CliniProof</w:t>
      </w:r>
    </w:p>
    <w:p>
      <w:pPr>
        <w:spacing w:after="120"/>
      </w:pPr>
      <w:r>
        <w:rPr>
          <w:rFonts w:ascii="Calibri" w:hAnsi="Calibri" w:cs="Calibri"/>
          <w:b w:val="0"/>
          <w:sz w:val="22"/>
        </w:rPr>
        <w:t>Clinical Revision Round 2, version 2</w:t>
      </w:r>
    </w:p>
    <w:p>
      <w:pPr>
        <w:pStyle w:val="Heading1"/>
      </w:pPr>
      <w:r>
        <w:rPr>
          <w:rFonts w:ascii="Calibri" w:hAnsi="Calibri"/>
          <w:color w:val="1F3A5F"/>
        </w:rPr>
        <w:t>SET 1</w:t>
      </w:r>
    </w:p>
    <w:p>
      <w:pPr>
        <w:pStyle w:val="Heading2"/>
      </w:pPr>
      <w:r>
        <w:rPr>
          <w:rFonts w:ascii="Calibri" w:hAnsi="Calibri"/>
          <w:color w:val="1F3A5F"/>
        </w:rPr>
        <w:t>REVISED CASES FOLLOWING ROUND 1 CLINICIAN FEEDBACK</w:t>
      </w:r>
    </w:p>
    <w:p>
      <w:pPr>
        <w:spacing w:after="120"/>
      </w:pPr>
      <w:r>
        <w:rPr>
          <w:rFonts w:ascii="Calibri" w:hAnsi="Calibri" w:cs="Calibri"/>
          <w:b w:val="0"/>
          <w:sz w:val="22"/>
        </w:rPr>
        <w:t>Cases: VAL-801, VAL-802, VAL-803, VAL-805, VAL-809, VAL-813</w:t>
      </w:r>
    </w:p>
    <w:p>
      <w:pPr>
        <w:spacing w:after="120"/>
      </w:pPr>
      <w:r>
        <w:rPr>
          <w:rFonts w:ascii="Calibri" w:hAnsi="Calibri" w:cs="Calibri"/>
          <w:b w:val="0"/>
          <w:sz w:val="22"/>
        </w:rPr>
        <w:t>Complete the blank Round 2 form before you read the historical Round 1 record or the author response. Version 2 replaces the earlier revised-case codebook for these six cases. The other eighteen cases are not in this file. Ready for clinician review does not mean clinically validated.</w:t>
      </w:r>
    </w:p>
    <w:p>
      <w:pPr>
        <w:keepNext/>
        <w:pageBreakBefore/>
      </w:pPr>
      <w:r>
        <w:rPr>
          <w:rFonts w:ascii="Calibri" w:hAnsi="Calibri" w:cs="Calibri"/>
          <w:b/>
          <w:color w:val="1F3A5F"/>
          <w:sz w:val="32"/>
        </w:rPr>
        <w:t>CASE VAL-801</w:t>
      </w:r>
    </w:p>
    <w:p>
      <w:pPr>
        <w:spacing w:after="120"/>
      </w:pPr>
      <w:r>
        <w:rPr>
          <w:rFonts w:ascii="Calibri" w:hAnsi="Calibri" w:cs="Calibri"/>
          <w:b w:val="0"/>
          <w:sz w:val="22"/>
        </w:rPr>
        <w:t>Round 2 revised case, version 2</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75</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75-year-old 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75-year-old Male is admitted with delirium. Confusion and fatigue have been present for several days and are described as improving after treatment. Recorded home medicines are lisinopril, atorvastatin, metformin, and ibuprofen. The chart does not document a precipitant for the delirium. Admission glucose is 163 mg/dL and discharge glucose is 103 mg/dL. Creatinine is 1.1 mg/dL on admission and 1.0 mg/dL at discharge. He could not give a reliable medication history at admission. A collateral home-medication list was verified later.</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delirium. Symptoms are confusion and fatigue for several days, described as improving after treatment. Home medicines are lisinopril, atorvastatin, metformin, and ibuprofen. No precipitant is documented. A collateral medication list was verified after admission.</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verified after admission. Confusion is described as improving. The chart does not name a precipitant. Glucose is 163 mg/dL then 103 mg/dL. Creatinine is 1.1 mg/dL then 1.0 mg/dL. No indication for stopping ibuprofen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136/78</w:t>
            </w:r>
          </w:p>
        </w:tc>
        <w:tc>
          <w:tcPr>
            <w:tcW w:type="dxa" w:w="1440"/>
            <w:vAlign w:val="top"/>
          </w:tcPr>
          <w:p>
            <w:pPr>
              <w:spacing w:after="20" w:before="20"/>
            </w:pPr>
            <w:r>
              <w:rPr>
                <w:rFonts w:ascii="Calibri" w:hAnsi="Calibri" w:cs="Calibri"/>
                <w:b w:val="0"/>
                <w:sz w:val="20"/>
              </w:rPr>
              <w:t>85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121/71</w:t>
            </w:r>
          </w:p>
        </w:tc>
        <w:tc>
          <w:tcPr>
            <w:tcW w:type="dxa" w:w="1440"/>
            <w:vAlign w:val="top"/>
          </w:tcPr>
          <w:p>
            <w:pPr>
              <w:spacing w:after="20" w:before="20"/>
            </w:pPr>
            <w:r>
              <w:rPr>
                <w:rFonts w:ascii="Calibri" w:hAnsi="Calibri" w:cs="Calibri"/>
                <w:b w:val="0"/>
                <w:sz w:val="20"/>
              </w:rPr>
              <w:t>65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163.0</w:t>
            </w:r>
          </w:p>
        </w:tc>
        <w:tc>
          <w:tcPr>
            <w:tcW w:type="dxa" w:w="2448"/>
            <w:vAlign w:val="top"/>
          </w:tcPr>
          <w:p>
            <w:pPr>
              <w:spacing w:after="20" w:before="20"/>
            </w:pPr>
            <w:r>
              <w:rPr>
                <w:rFonts w:ascii="Calibri" w:hAnsi="Calibri" w:cs="Calibri"/>
                <w:b w:val="0"/>
                <w:sz w:val="20"/>
              </w:rPr>
              <w:t>103.0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1.1</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ibuprofen 400 MG Oral Tablet</w:t>
            </w:r>
          </w:p>
        </w:tc>
        <w:tc>
          <w:tcPr>
            <w:tcW w:type="dxa" w:w="1296"/>
            <w:vAlign w:val="top"/>
          </w:tcPr>
          <w:p>
            <w:pPr>
              <w:spacing w:after="20" w:before="20"/>
            </w:pPr>
            <w:r>
              <w:rPr>
                <w:rFonts w:ascii="Calibri" w:hAnsi="Calibri" w:cs="Calibri"/>
                <w:b w:val="0"/>
                <w:sz w:val="20"/>
              </w:rPr>
              <w:t>400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8 hours as needed</w:t>
            </w:r>
          </w:p>
        </w:tc>
        <w:tc>
          <w:tcPr>
            <w:tcW w:type="dxa" w:w="2736"/>
            <w:vAlign w:val="top"/>
          </w:tcPr>
          <w:p>
            <w:pPr>
              <w:spacing w:after="20" w:before="20"/>
            </w:pPr>
            <w:r>
              <w:rPr>
                <w:rFonts w:ascii="Calibri" w:hAnsi="Calibri" w:cs="Calibri"/>
                <w:b w:val="0"/>
                <w:sz w:val="20"/>
              </w:rPr>
              <w:t>Indication: symptomatic analgesia; not a treatment for the admission diagnosis</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geriatrics</w:t>
            </w:r>
          </w:p>
        </w:tc>
        <w:tc>
          <w:tcPr>
            <w:tcW w:type="dxa" w:w="3264"/>
            <w:vAlign w:val="top"/>
          </w:tcPr>
          <w:p>
            <w:pPr>
              <w:spacing w:after="20" w:before="20"/>
            </w:pPr>
            <w:r>
              <w:rPr>
                <w:rFonts w:ascii="Calibri" w:hAnsi="Calibri" w:cs="Calibri"/>
                <w:b w:val="0"/>
                <w:sz w:val="20"/>
              </w:rPr>
              <w:t>Delirium improved toward baseline.</w:t>
            </w:r>
          </w:p>
        </w:tc>
        <w:tc>
          <w:tcPr>
            <w:tcW w:type="dxa" w:w="3264"/>
            <w:vAlign w:val="top"/>
          </w:tcPr>
          <w:p>
            <w:pPr>
              <w:spacing w:after="20" w:before="20"/>
            </w:pPr>
            <w:r>
              <w:rPr>
                <w:rFonts w:ascii="Calibri" w:hAnsi="Calibri" w:cs="Calibri"/>
                <w:b w:val="0"/>
                <w:sz w:val="20"/>
              </w:rPr>
              <w:t>Use the verified collateral medication list at discharge.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follow-up after collateral medication verification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1 C1 Presentation and demographics 1"/>
                <w:tag w:val="VAL-801-c1-Presentation and demographics-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2"/>
                <w:tag w:val="VAL-801-c1-Presentation and demographics-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3"/>
                <w:tag w:val="VAL-801-c1-Presentation and demographics-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Presentation and demographics 4"/>
                <w:tag w:val="VAL-801-c1-Presentation and demographics-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1"/>
                <w:tag w:val="VAL-801-c1-Fit between presentation and 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2"/>
                <w:tag w:val="VAL-801-c1-Fit between presentation and 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3"/>
                <w:tag w:val="VAL-801-c1-Fit between presentation and 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Fit between presentation and diagnosis 4"/>
                <w:tag w:val="VAL-801-c1-Fit between presentation and 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1 C1 Vital signs 1"/>
                <w:tag w:val="VAL-801-c1-Vital signs-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2"/>
                <w:tag w:val="VAL-801-c1-Vital signs-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3"/>
                <w:tag w:val="VAL-801-c1-Vital signs-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Vital signs 4"/>
                <w:tag w:val="VAL-801-c1-Vital signs-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1 C1 Laboratory findings 1"/>
                <w:tag w:val="VAL-801-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2"/>
                <w:tag w:val="VAL-801-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3"/>
                <w:tag w:val="VAL-801-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Laboratory findings 4"/>
                <w:tag w:val="VAL-801-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1 C1 Medication regimen 1"/>
                <w:tag w:val="VAL-801-c1-Medication regimen-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2"/>
                <w:tag w:val="VAL-801-c1-Medication regimen-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3"/>
                <w:tag w:val="VAL-801-c1-Medication regimen-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Medication regimen 4"/>
                <w:tag w:val="VAL-801-c1-Medication regimen-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1 C1 Hospital course 1"/>
                <w:tag w:val="VAL-801-c1-Hospital course-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2"/>
                <w:tag w:val="VAL-801-c1-Hospital course-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3"/>
                <w:tag w:val="VAL-801-c1-Hospital course-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Hospital course 4"/>
                <w:tag w:val="VAL-801-c1-Hospital course-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1 C1 Chart consistency 1"/>
                <w:tag w:val="VAL-801-c1-Chart consistency-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2"/>
                <w:tag w:val="VAL-801-c1-Chart consistency-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3"/>
                <w:tag w:val="VAL-801-c1-Chart consistency-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Chart consistency 4"/>
                <w:tag w:val="VAL-801-c1-Chart consistency-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1 C1 Discharge context and follow-up 1"/>
                <w:tag w:val="VAL-801-c1-Discharge context and follow-up-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2"/>
                <w:tag w:val="VAL-801-c1-Discharge context and follow-up-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3"/>
                <w:tag w:val="VAL-801-c1-Discharge context and follow-up-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1 C1 Discharge context and follow-up 4"/>
                <w:tag w:val="VAL-801-c1-Discharge context and follow-up-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1 c1-overall Pass"/>
                <w:tag w:val="VAL-801-c1-overall-Pass"/>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1-overall Fail"/>
                <w:tag w:val="VAL-801-c1-overall-Fail"/>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1-c1-comment"/>
              <w:id w:val="3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1 c2 Pass"/>
                <w:tag w:val="VAL-801-c2-Pass"/>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2 Fail"/>
                <w:tag w:val="VAL-801-c2-Fail"/>
                <w:id w:val="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1-c2-comment"/>
              <w:id w:val="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ibuprofen 400 MG Oral Tablet</w:t>
            </w:r>
          </w:p>
        </w:tc>
        <w:tc>
          <w:tcPr>
            <w:tcW w:type="dxa" w:w="1152"/>
            <w:vAlign w:val="top"/>
          </w:tcPr>
          <w:p>
            <w:pPr>
              <w:spacing w:after="20" w:before="20"/>
            </w:pPr>
            <w:r>
              <w:rPr>
                <w:rFonts w:ascii="Calibri" w:hAnsi="Calibri" w:cs="Calibri"/>
                <w:b w:val="0"/>
                <w:sz w:val="20"/>
              </w:rPr>
              <w:t>400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8 hours as needed</w:t>
            </w:r>
          </w:p>
        </w:tc>
        <w:tc>
          <w:tcPr>
            <w:tcW w:type="dxa" w:w="2304"/>
            <w:vAlign w:val="top"/>
          </w:tcPr>
          <w:p>
            <w:pPr>
              <w:spacing w:after="20" w:before="20"/>
            </w:pPr>
            <w:r>
              <w:rPr>
                <w:rFonts w:ascii="Calibri" w:hAnsi="Calibri" w:cs="Calibri"/>
                <w:b w:val="0"/>
                <w:sz w:val="20"/>
              </w:rPr>
              <w:t>symptomatic analgesia; not a treatment for the admission diagnosis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1 c3 Pass"/>
                <w:tag w:val="VAL-801-c3-Pass"/>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1 c3 Fail"/>
                <w:tag w:val="VAL-801-c3-Fail"/>
                <w:id w:val="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1 c4 No"/>
                <w:tag w:val="VAL-801-c4-No"/>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4 Yes"/>
                <w:tag w:val="VAL-801-c4-Yes"/>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1 c5-issue No"/>
                <w:tag w:val="VAL-801-c5-issue-No"/>
                <w:id w:val="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issue Yes"/>
                <w:tag w:val="VAL-801-c5-issue-Yes"/>
                <w:id w:val="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1 c5-leak No"/>
                <w:tag w:val="VAL-801-c5-leak-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1 c5-leak Yes"/>
                <w:tag w:val="VAL-801-c5-leak-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1-c5-comment"/>
              <w:id w:val="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Easy"/>
                <w:tag w:val="VAL-801-c6-Easy"/>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1 c6 Moderate"/>
                <w:tag w:val="VAL-801-c6-Moderate"/>
                <w:id w:val="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1 c6 Hard"/>
                <w:tag w:val="VAL-801-c6-Hard"/>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1 c6 Inappropriate or outlier"/>
                <w:tag w:val="VAL-801-c6-Inappropriate or outlier"/>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1 overall Accept"/>
                <w:tag w:val="VAL-801-overall-Accept"/>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1 overall Revise"/>
                <w:tag w:val="VAL-801-overall-Revise"/>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1 overall Exclude"/>
                <w:tag w:val="VAL-801-overall-Exclude"/>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1-overall-comment"/>
              <w:id w:val="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1-reviewer"/>
          <w:id w:val="5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1-date"/>
          <w:id w:val="57"/>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This case is lacking clinical complexity. The patient presents with delirium, but the cause is not revealed during the hospital course, we just learn that the delirium improves with treatment. There are no further details on why the patient was delirious or why he improved. It is also not clear why the ibuprofen was stopped. I would add that he is discovered to have an infection or GI bleed or something that would explain this better.</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It wasn’t clear why ibuprofen should be stopped.</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Pass, Fail. Source document contains multiple selected responses; reproduced exactly.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Fail</w:t>
      </w:r>
    </w:p>
    <w:p>
      <w:pPr>
        <w:spacing w:after="120"/>
      </w:pPr>
      <w:r>
        <w:rPr>
          <w:rFonts w:ascii="Calibri" w:hAnsi="Calibri" w:cs="Calibri"/>
          <w:b w:val="0"/>
          <w:sz w:val="22"/>
        </w:rPr>
        <w:t>C4 issue: Ibuprofen stopped on admission</w:t>
      </w:r>
    </w:p>
    <w:p>
      <w:pPr>
        <w:spacing w:after="120"/>
      </w:pPr>
      <w:r>
        <w:rPr>
          <w:rFonts w:ascii="Calibri" w:hAnsi="Calibri" w:cs="Calibri"/>
          <w:b w:val="0"/>
          <w:sz w:val="22"/>
        </w:rPr>
        <w:t>C4 location: In home medication list</w:t>
      </w:r>
    </w:p>
    <w:p>
      <w:pPr>
        <w:spacing w:after="120"/>
      </w:pPr>
      <w:r>
        <w:rPr>
          <w:rFonts w:ascii="Calibri" w:hAnsi="Calibri" w:cs="Calibri"/>
          <w:b w:val="0"/>
          <w:sz w:val="22"/>
        </w:rPr>
        <w:t>C4 clinical meaning: No obvious indication for why this should be stopped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clear why ibuprofen was stopped</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Case is unclear</w:t>
            </w:r>
          </w:p>
        </w:tc>
      </w:tr>
    </w:tbl>
    <w:p>
      <w:pPr>
        <w:spacing w:after="4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This case could be usable if there was more complexity to the clinical case, i.e infection discovered and treated. Delirium due to known physiologic condition and then not elaborating on the physiologic condition doesn’t make sense. Medication list should be clearer.</w:t>
            </w:r>
          </w:p>
        </w:tc>
      </w:tr>
    </w:tbl>
    <w:p>
      <w:pPr>
        <w:spacing w:after="40"/>
      </w:pPr>
    </w:p>
    <w:p>
      <w:pPr>
        <w:spacing w:after="120"/>
      </w:pPr>
      <w:r>
        <w:rPr>
          <w:rFonts w:ascii="Calibri" w:hAnsi="Calibri" w:cs="Calibri"/>
          <w:b w:val="0"/>
          <w:sz w:val="22"/>
        </w:rPr>
        <w:t>Reviewer: KO. Date: 10/5/26.</w:t>
      </w:r>
    </w:p>
    <w:p>
      <w:pPr>
        <w:keepNext/>
        <w:pageBreakBefore/>
      </w:pPr>
      <w:r>
        <w:rPr>
          <w:rFonts w:ascii="Calibri" w:hAnsi="Calibri" w:cs="Calibri"/>
          <w:b/>
          <w:color w:val="1F3A5F"/>
          <w:sz w:val="28"/>
        </w:rPr>
        <w:t>ROUND 2 RESPONSE TO ROUND 1 REVIEW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1296"/>
            <w:shd w:val="clear" w:color="auto" w:fill="D9E2F3"/>
          </w:tcPr>
          <w:p>
            <w:pPr>
              <w:spacing w:after="20" w:before="20"/>
            </w:pPr>
            <w:r>
              <w:rPr>
                <w:rFonts w:ascii="Calibri" w:hAnsi="Calibri" w:cs="Calibri"/>
                <w:b/>
                <w:sz w:val="20"/>
              </w:rPr>
              <w:t>#</w:t>
            </w:r>
          </w:p>
        </w:tc>
        <w:tc>
          <w:tcPr>
            <w:tcW w:type="dxa" w:w="2016"/>
            <w:shd w:val="clear" w:color="auto" w:fill="D9E2F3"/>
          </w:tcPr>
          <w:p>
            <w:pPr>
              <w:spacing w:after="20" w:before="20"/>
            </w:pPr>
            <w:r>
              <w:rPr>
                <w:rFonts w:ascii="Calibri" w:hAnsi="Calibri" w:cs="Calibri"/>
                <w:b/>
                <w:sz w:val="20"/>
              </w:rPr>
              <w:t>Reviewer comment / concern</w:t>
            </w:r>
          </w:p>
        </w:tc>
        <w:tc>
          <w:tcPr>
            <w:tcW w:type="dxa" w:w="2304"/>
            <w:shd w:val="clear" w:color="auto" w:fill="D9E2F3"/>
          </w:tcPr>
          <w:p>
            <w:pPr>
              <w:spacing w:after="20" w:before="20"/>
            </w:pPr>
            <w:r>
              <w:rPr>
                <w:rFonts w:ascii="Calibri" w:hAnsi="Calibri" w:cs="Calibri"/>
                <w:b/>
                <w:sz w:val="20"/>
              </w:rPr>
              <w:t>Author response</w:t>
            </w:r>
          </w:p>
        </w:tc>
        <w:tc>
          <w:tcPr>
            <w:tcW w:type="dxa" w:w="2016"/>
            <w:shd w:val="clear" w:color="auto" w:fill="D9E2F3"/>
          </w:tcPr>
          <w:p>
            <w:pPr>
              <w:spacing w:after="20" w:before="20"/>
            </w:pPr>
            <w:r>
              <w:rPr>
                <w:rFonts w:ascii="Calibri" w:hAnsi="Calibri" w:cs="Calibri"/>
                <w:b/>
                <w:sz w:val="20"/>
              </w:rPr>
              <w:t>Revision made</w:t>
            </w:r>
          </w:p>
        </w:tc>
        <w:tc>
          <w:tcPr>
            <w:tcW w:type="dxa" w:w="2160"/>
            <w:shd w:val="clear" w:color="auto" w:fill="D9E2F3"/>
          </w:tcPr>
          <w:p>
            <w:pPr>
              <w:spacing w:after="20" w:before="20"/>
            </w:pPr>
            <w:r>
              <w:rPr>
                <w:rFonts w:ascii="Calibri" w:hAnsi="Calibri" w:cs="Calibri"/>
                <w:b/>
                <w:sz w:val="20"/>
              </w:rPr>
              <w:t>Evidence / justification</w:t>
            </w:r>
          </w:p>
        </w:tc>
      </w:tr>
      <w:tr>
        <w:trPr>
          <w:cantSplit/>
        </w:trPr>
        <w:tc>
          <w:tcPr>
            <w:tcW w:type="dxa" w:w="1296"/>
            <w:vAlign w:val="top"/>
          </w:tcPr>
          <w:p>
            <w:pPr>
              <w:spacing w:after="20" w:before="20"/>
            </w:pPr>
            <w:r>
              <w:rPr>
                <w:rFonts w:ascii="Calibri" w:hAnsi="Calibri" w:cs="Calibri"/>
                <w:b w:val="0"/>
                <w:sz w:val="20"/>
              </w:rPr>
              <w:t>VAL-801-R1</w:t>
            </w:r>
          </w:p>
        </w:tc>
        <w:tc>
          <w:tcPr>
            <w:tcW w:type="dxa" w:w="2016"/>
            <w:vAlign w:val="top"/>
          </w:tcPr>
          <w:p>
            <w:pPr>
              <w:spacing w:after="20" w:before="20"/>
            </w:pPr>
            <w:r>
              <w:rPr>
                <w:rFonts w:ascii="Calibri" w:hAnsi="Calibri" w:cs="Calibri"/>
                <w:b w:val="0"/>
                <w:sz w:val="20"/>
              </w:rPr>
              <w:t>The cause is not revealed during the hospital course.</w:t>
            </w:r>
          </w:p>
        </w:tc>
        <w:tc>
          <w:tcPr>
            <w:tcW w:type="dxa" w:w="2304"/>
            <w:vAlign w:val="top"/>
          </w:tcPr>
          <w:p>
            <w:pPr>
              <w:spacing w:after="20" w:before="20"/>
            </w:pPr>
            <w:r>
              <w:rPr>
                <w:rFonts w:ascii="Calibri" w:hAnsi="Calibri" w:cs="Calibri"/>
                <w:b w:val="0"/>
                <w:sz w:val="20"/>
              </w:rPr>
              <w:t>We agree that the chart did not give a clinically interpretable precipitant. We did not add infection, bleeding, or new examination findings, because none of those facts are in the preserved chart. The revised course states that the precipitant is not documented and reports the glucose and creatinine values that are already recorded.</w:t>
            </w:r>
          </w:p>
        </w:tc>
        <w:tc>
          <w:tcPr>
            <w:tcW w:type="dxa" w:w="2016"/>
            <w:vAlign w:val="top"/>
          </w:tcPr>
          <w:p>
            <w:pPr>
              <w:spacing w:after="20" w:before="20"/>
            </w:pPr>
            <w:r>
              <w:rPr>
                <w:rFonts w:ascii="Calibri" w:hAnsi="Calibri" w:cs="Calibri"/>
                <w:b w:val="0"/>
                <w:sz w:val="20"/>
              </w:rPr>
              <w:t>Hospital course states that no precipitant is documented and cites the existing laboratories.</w:t>
            </w:r>
          </w:p>
        </w:tc>
        <w:tc>
          <w:tcPr>
            <w:tcW w:type="dxa" w:w="2160"/>
            <w:vAlign w:val="top"/>
          </w:tcPr>
          <w:p>
            <w:pPr>
              <w:spacing w:after="20" w:before="20"/>
            </w:pPr>
            <w:r>
              <w:rPr>
                <w:rFonts w:ascii="Calibri" w:hAnsi="Calibri" w:cs="Calibri"/>
                <w:b w:val="0"/>
                <w:sz w:val="20"/>
              </w:rPr>
              <w:t>CASE_SOURCE laboratories; LITERATURE supports looking for a precipitant but does not name one for this patient.</w:t>
            </w:r>
          </w:p>
        </w:tc>
      </w:tr>
      <w:tr>
        <w:trPr>
          <w:cantSplit/>
        </w:trPr>
        <w:tc>
          <w:tcPr>
            <w:tcW w:type="dxa" w:w="1296"/>
            <w:vAlign w:val="top"/>
          </w:tcPr>
          <w:p>
            <w:pPr>
              <w:spacing w:after="20" w:before="20"/>
            </w:pPr>
            <w:r>
              <w:rPr>
                <w:rFonts w:ascii="Calibri" w:hAnsi="Calibri" w:cs="Calibri"/>
                <w:b w:val="0"/>
                <w:sz w:val="20"/>
              </w:rPr>
              <w:t>VAL-801-R2</w:t>
            </w:r>
          </w:p>
        </w:tc>
        <w:tc>
          <w:tcPr>
            <w:tcW w:type="dxa" w:w="2016"/>
            <w:vAlign w:val="top"/>
          </w:tcPr>
          <w:p>
            <w:pPr>
              <w:spacing w:after="20" w:before="20"/>
            </w:pPr>
            <w:r>
              <w:rPr>
                <w:rFonts w:ascii="Calibri" w:hAnsi="Calibri" w:cs="Calibri"/>
                <w:b w:val="0"/>
                <w:sz w:val="20"/>
              </w:rPr>
              <w:t>We just learn that the delirium improves with treatment. There are no further details on why he improved.</w:t>
            </w:r>
          </w:p>
        </w:tc>
        <w:tc>
          <w:tcPr>
            <w:tcW w:type="dxa" w:w="2304"/>
            <w:vAlign w:val="top"/>
          </w:tcPr>
          <w:p>
            <w:pPr>
              <w:spacing w:after="20" w:before="20"/>
            </w:pPr>
            <w:r>
              <w:rPr>
                <w:rFonts w:ascii="Calibri" w:hAnsi="Calibri" w:cs="Calibri"/>
                <w:b w:val="0"/>
                <w:sz w:val="20"/>
              </w:rPr>
              <w:t>We agree the original course did not explain the improvement. The preserved chart already says the symptoms are improving and records glucose falling from 163 mg/dL to 103 mg/dL with creatinine remaining 1.1 mg/dL then 1.0 mg/dL. The revision uses those recorded facts and does not invent a treatment response.</w:t>
            </w:r>
          </w:p>
        </w:tc>
        <w:tc>
          <w:tcPr>
            <w:tcW w:type="dxa" w:w="2016"/>
            <w:vAlign w:val="top"/>
          </w:tcPr>
          <w:p>
            <w:pPr>
              <w:spacing w:after="20" w:before="20"/>
            </w:pPr>
            <w:r>
              <w:rPr>
                <w:rFonts w:ascii="Calibri" w:hAnsi="Calibri" w:cs="Calibri"/>
                <w:b w:val="0"/>
                <w:sz w:val="20"/>
              </w:rPr>
              <w:t>Narrative limited to the recorded symptom course and the recorded laboratories.</w:t>
            </w:r>
          </w:p>
        </w:tc>
        <w:tc>
          <w:tcPr>
            <w:tcW w:type="dxa" w:w="2160"/>
            <w:vAlign w:val="top"/>
          </w:tcPr>
          <w:p>
            <w:pPr>
              <w:spacing w:after="20" w:before="20"/>
            </w:pPr>
            <w:r>
              <w:rPr>
                <w:rFonts w:ascii="Calibri" w:hAnsi="Calibri" w:cs="Calibri"/>
                <w:b w:val="0"/>
                <w:sz w:val="20"/>
              </w:rPr>
              <w:t>CASE_SOURCE presentation.symptom_course and CaseLab.</w:t>
            </w:r>
          </w:p>
        </w:tc>
      </w:tr>
      <w:tr>
        <w:trPr>
          <w:cantSplit/>
        </w:trPr>
        <w:tc>
          <w:tcPr>
            <w:tcW w:type="dxa" w:w="1296"/>
            <w:vAlign w:val="top"/>
          </w:tcPr>
          <w:p>
            <w:pPr>
              <w:spacing w:after="20" w:before="20"/>
            </w:pPr>
            <w:r>
              <w:rPr>
                <w:rFonts w:ascii="Calibri" w:hAnsi="Calibri" w:cs="Calibri"/>
                <w:b w:val="0"/>
                <w:sz w:val="20"/>
              </w:rPr>
              <w:t>VAL-801-R3</w:t>
            </w:r>
          </w:p>
        </w:tc>
        <w:tc>
          <w:tcPr>
            <w:tcW w:type="dxa" w:w="2016"/>
            <w:vAlign w:val="top"/>
          </w:tcPr>
          <w:p>
            <w:pPr>
              <w:spacing w:after="20" w:before="20"/>
            </w:pPr>
            <w:r>
              <w:rPr>
                <w:rFonts w:ascii="Calibri" w:hAnsi="Calibri" w:cs="Calibri"/>
                <w:b w:val="0"/>
                <w:sz w:val="20"/>
              </w:rPr>
              <w:t>It is also not clear why the ibuprofen was stopped.</w:t>
            </w:r>
          </w:p>
        </w:tc>
        <w:tc>
          <w:tcPr>
            <w:tcW w:type="dxa" w:w="2304"/>
            <w:vAlign w:val="top"/>
          </w:tcPr>
          <w:p>
            <w:pPr>
              <w:spacing w:after="20" w:before="20"/>
            </w:pPr>
            <w:r>
              <w:rPr>
                <w:rFonts w:ascii="Calibri" w:hAnsi="Calibri" w:cs="Calibri"/>
                <w:b w:val="0"/>
                <w:sz w:val="20"/>
              </w:rPr>
              <w:t>We agree. The preserved chart stops ibuprofen without a bleeding, renal, or other indication, while creatinine stays 1.1 mg/dL then 1.0 mg/dL. We removed the stop from the medication rows and changed the hidden reference from stop to continue. We did not add a gastrointestinal bleed to justify the old stop.</w:t>
            </w:r>
          </w:p>
        </w:tc>
        <w:tc>
          <w:tcPr>
            <w:tcW w:type="dxa" w:w="2016"/>
            <w:vAlign w:val="top"/>
          </w:tcPr>
          <w:p>
            <w:pPr>
              <w:spacing w:after="20" w:before="20"/>
            </w:pPr>
            <w:r>
              <w:rPr>
                <w:rFonts w:ascii="Calibri" w:hAnsi="Calibri" w:cs="Calibri"/>
                <w:b w:val="0"/>
                <w:sz w:val="20"/>
              </w:rPr>
              <w:t>Ibuprofen held reason removed; reference action changed from stop to continue.</w:t>
            </w:r>
          </w:p>
        </w:tc>
        <w:tc>
          <w:tcPr>
            <w:tcW w:type="dxa" w:w="2160"/>
            <w:vAlign w:val="top"/>
          </w:tcPr>
          <w:p>
            <w:pPr>
              <w:spacing w:after="20" w:before="20"/>
            </w:pPr>
            <w:r>
              <w:rPr>
                <w:rFonts w:ascii="Calibri" w:hAnsi="Calibri" w:cs="Calibri"/>
                <w:b w:val="0"/>
                <w:sz w:val="20"/>
              </w:rPr>
              <w:t>CASE_SOURCE creatinine and the absence of a stop indication in the chart.</w:t>
            </w:r>
          </w:p>
        </w:tc>
      </w:tr>
      <w:tr>
        <w:trPr>
          <w:cantSplit/>
        </w:trPr>
        <w:tc>
          <w:tcPr>
            <w:tcW w:type="dxa" w:w="1296"/>
            <w:vAlign w:val="top"/>
          </w:tcPr>
          <w:p>
            <w:pPr>
              <w:spacing w:after="20" w:before="20"/>
            </w:pPr>
            <w:r>
              <w:rPr>
                <w:rFonts w:ascii="Calibri" w:hAnsi="Calibri" w:cs="Calibri"/>
                <w:b w:val="0"/>
                <w:sz w:val="20"/>
              </w:rPr>
              <w:t>VAL-801-R4</w:t>
            </w:r>
          </w:p>
        </w:tc>
        <w:tc>
          <w:tcPr>
            <w:tcW w:type="dxa" w:w="2016"/>
            <w:vAlign w:val="top"/>
          </w:tcPr>
          <w:p>
            <w:pPr>
              <w:spacing w:after="20" w:before="20"/>
            </w:pPr>
            <w:r>
              <w:rPr>
                <w:rFonts w:ascii="Calibri" w:hAnsi="Calibri" w:cs="Calibri"/>
                <w:b w:val="0"/>
                <w:sz w:val="20"/>
              </w:rPr>
              <w:t>I would add that he is discovered to have an infection or GI bleed or something that would explain this better.</w:t>
            </w:r>
          </w:p>
        </w:tc>
        <w:tc>
          <w:tcPr>
            <w:tcW w:type="dxa" w:w="2304"/>
            <w:vAlign w:val="top"/>
          </w:tcPr>
          <w:p>
            <w:pPr>
              <w:spacing w:after="20" w:before="20"/>
            </w:pPr>
            <w:r>
              <w:rPr>
                <w:rFonts w:ascii="Calibri" w:hAnsi="Calibri" w:cs="Calibri"/>
                <w:b w:val="0"/>
                <w:sz w:val="20"/>
              </w:rPr>
              <w:t>We agree that a precipitant would make the case easier to follow. We did not add infection or gastrointestinal bleeding. Either addition would create a new scenario and a new medication problem that the preserved chart does not contain.</w:t>
            </w:r>
          </w:p>
        </w:tc>
        <w:tc>
          <w:tcPr>
            <w:tcW w:type="dxa" w:w="2016"/>
            <w:vAlign w:val="top"/>
          </w:tcPr>
          <w:p>
            <w:pPr>
              <w:spacing w:after="20" w:before="20"/>
            </w:pPr>
            <w:r>
              <w:rPr>
                <w:rFonts w:ascii="Calibri" w:hAnsi="Calibri" w:cs="Calibri"/>
                <w:b w:val="0"/>
                <w:sz w:val="20"/>
              </w:rPr>
              <w:t>No infection and no gastrointestinal bleed were added.</w:t>
            </w:r>
          </w:p>
        </w:tc>
        <w:tc>
          <w:tcPr>
            <w:tcW w:type="dxa" w:w="2160"/>
            <w:vAlign w:val="top"/>
          </w:tcPr>
          <w:p>
            <w:pPr>
              <w:spacing w:after="20" w:before="20"/>
            </w:pPr>
            <w:r>
              <w:rPr>
                <w:rFonts w:ascii="Calibri" w:hAnsi="Calibri" w:cs="Calibri"/>
                <w:b w:val="0"/>
                <w:sz w:val="20"/>
              </w:rPr>
              <w:t>No source field documents either diagnosis.</w:t>
            </w:r>
          </w:p>
        </w:tc>
      </w:tr>
      <w:tr>
        <w:trPr>
          <w:cantSplit/>
        </w:trPr>
        <w:tc>
          <w:tcPr>
            <w:tcW w:type="dxa" w:w="1296"/>
            <w:vAlign w:val="top"/>
          </w:tcPr>
          <w:p>
            <w:pPr>
              <w:spacing w:after="20" w:before="20"/>
            </w:pPr>
            <w:r>
              <w:rPr>
                <w:rFonts w:ascii="Calibri" w:hAnsi="Calibri" w:cs="Calibri"/>
                <w:b w:val="0"/>
                <w:sz w:val="20"/>
              </w:rPr>
              <w:t>VAL-801-R5</w:t>
            </w:r>
          </w:p>
        </w:tc>
        <w:tc>
          <w:tcPr>
            <w:tcW w:type="dxa" w:w="2016"/>
            <w:vAlign w:val="top"/>
          </w:tcPr>
          <w:p>
            <w:pPr>
              <w:spacing w:after="20" w:before="20"/>
            </w:pPr>
            <w:r>
              <w:rPr>
                <w:rFonts w:ascii="Calibri" w:hAnsi="Calibri" w:cs="Calibri"/>
                <w:b w:val="0"/>
                <w:sz w:val="20"/>
              </w:rPr>
              <w:t>Medication list should be clearer.</w:t>
            </w:r>
          </w:p>
        </w:tc>
        <w:tc>
          <w:tcPr>
            <w:tcW w:type="dxa" w:w="2304"/>
            <w:vAlign w:val="top"/>
          </w:tcPr>
          <w:p>
            <w:pPr>
              <w:spacing w:after="20" w:before="20"/>
            </w:pPr>
            <w:r>
              <w:rPr>
                <w:rFonts w:ascii="Calibri" w:hAnsi="Calibri" w:cs="Calibri"/>
                <w:b w:val="0"/>
                <w:sz w:val="20"/>
              </w:rPr>
              <w:t>We agree. Ibuprofen remains on the home and inpatient lists without a hold label, together with lisinopril, atorvastatin, and metformin. The resident chart still does not print a discharge answer list.</w:t>
            </w:r>
          </w:p>
        </w:tc>
        <w:tc>
          <w:tcPr>
            <w:tcW w:type="dxa" w:w="2016"/>
            <w:vAlign w:val="top"/>
          </w:tcPr>
          <w:p>
            <w:pPr>
              <w:spacing w:after="20" w:before="20"/>
            </w:pPr>
            <w:r>
              <w:rPr>
                <w:rFonts w:ascii="Calibri" w:hAnsi="Calibri" w:cs="Calibri"/>
                <w:b w:val="0"/>
                <w:sz w:val="20"/>
              </w:rPr>
              <w:t>Ibuprofen status no longer says held or stopped.</w:t>
            </w:r>
          </w:p>
        </w:tc>
        <w:tc>
          <w:tcPr>
            <w:tcW w:type="dxa" w:w="2160"/>
            <w:vAlign w:val="top"/>
          </w:tcPr>
          <w:p>
            <w:pPr>
              <w:spacing w:after="20" w:before="20"/>
            </w:pPr>
            <w:r>
              <w:rPr>
                <w:rFonts w:ascii="Calibri" w:hAnsi="Calibri" w:cs="Calibri"/>
                <w:b w:val="0"/>
                <w:sz w:val="20"/>
              </w:rPr>
              <w:t>CASE_SOURCE medication rows, with the unsupported hold removed.</w:t>
            </w:r>
          </w:p>
        </w:tc>
      </w:tr>
      <w:tr>
        <w:trPr>
          <w:cantSplit/>
        </w:trPr>
        <w:tc>
          <w:tcPr>
            <w:tcW w:type="dxa" w:w="1296"/>
            <w:vAlign w:val="top"/>
          </w:tcPr>
          <w:p>
            <w:pPr>
              <w:spacing w:after="20" w:before="20"/>
            </w:pPr>
            <w:r>
              <w:rPr>
                <w:rFonts w:ascii="Calibri" w:hAnsi="Calibri" w:cs="Calibri"/>
                <w:b w:val="0"/>
                <w:sz w:val="20"/>
              </w:rPr>
              <w:t>VAL-801-R6</w:t>
            </w:r>
          </w:p>
        </w:tc>
        <w:tc>
          <w:tcPr>
            <w:tcW w:type="dxa" w:w="2016"/>
            <w:vAlign w:val="top"/>
          </w:tcPr>
          <w:p>
            <w:pPr>
              <w:spacing w:after="20" w:before="20"/>
            </w:pPr>
            <w:r>
              <w:rPr>
                <w:rFonts w:ascii="Calibri" w:hAnsi="Calibri" w:cs="Calibri"/>
                <w:b w:val="0"/>
                <w:sz w:val="20"/>
              </w:rPr>
              <w:t>C3 Pass and Fail are both selected, and the C3 comment is blank.</w:t>
            </w:r>
          </w:p>
        </w:tc>
        <w:tc>
          <w:tcPr>
            <w:tcW w:type="dxa" w:w="2304"/>
            <w:vAlign w:val="top"/>
          </w:tcPr>
          <w:p>
            <w:pPr>
              <w:spacing w:after="20" w:before="20"/>
            </w:pPr>
            <w:r>
              <w:rPr>
                <w:rFonts w:ascii="Calibri" w:hAnsi="Calibri" w:cs="Calibri"/>
                <w:b w:val="0"/>
                <w:sz w:val="20"/>
              </w:rPr>
              <w:t>We reproduced both selections and did not choose which one was intended. No clinical fact was changed because of this item.</w:t>
            </w:r>
          </w:p>
        </w:tc>
        <w:tc>
          <w:tcPr>
            <w:tcW w:type="dxa" w:w="2016"/>
            <w:vAlign w:val="top"/>
          </w:tcPr>
          <w:p>
            <w:pPr>
              <w:spacing w:after="20" w:before="20"/>
            </w:pPr>
            <w:r>
              <w:rPr>
                <w:rFonts w:ascii="Calibri" w:hAnsi="Calibri" w:cs="Calibri"/>
                <w:b w:val="0"/>
                <w:sz w:val="20"/>
              </w:rPr>
              <w:t>None.</w:t>
            </w:r>
          </w:p>
        </w:tc>
        <w:tc>
          <w:tcPr>
            <w:tcW w:type="dxa" w:w="2160"/>
            <w:vAlign w:val="top"/>
          </w:tcPr>
          <w:p>
            <w:pPr>
              <w:spacing w:after="20" w:before="20"/>
            </w:pPr>
            <w:r>
              <w:rPr>
                <w:rFonts w:ascii="Calibri" w:hAnsi="Calibri" w:cs="Calibri"/>
                <w:b w:val="0"/>
                <w:sz w:val="20"/>
              </w:rPr>
              <w:t>Historical checkbox states.</w:t>
            </w:r>
          </w:p>
        </w:tc>
      </w:tr>
    </w:tbl>
    <w:p>
      <w:pPr>
        <w:spacing w:after="40"/>
      </w:pPr>
    </w:p>
    <w:p>
      <w:pPr>
        <w:pStyle w:val="Heading3"/>
      </w:pPr>
      <w:r>
        <w:rPr>
          <w:rFonts w:ascii="Calibri" w:hAnsi="Calibri"/>
          <w:color w:val="1F3A5F"/>
        </w:rPr>
        <w:t>Evidence for changes</w:t>
      </w:r>
    </w:p>
    <w:p>
      <w:pPr>
        <w:keepNext/>
        <w:pageBreakBefore/>
      </w:pPr>
      <w:r>
        <w:rPr>
          <w:rFonts w:ascii="Calibri" w:hAnsi="Calibri" w:cs="Calibri"/>
          <w:b/>
          <w:color w:val="1F3A5F"/>
          <w:sz w:val="32"/>
        </w:rPr>
        <w:t>CASE VAL-802</w:t>
      </w:r>
    </w:p>
    <w:p>
      <w:pPr>
        <w:spacing w:after="120"/>
      </w:pPr>
      <w:r>
        <w:rPr>
          <w:rFonts w:ascii="Calibri" w:hAnsi="Calibri" w:cs="Calibri"/>
          <w:b w:val="0"/>
          <w:sz w:val="22"/>
        </w:rPr>
        <w:t>Round 2 revised case, version 2</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81-year-old Female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81-year-old Female is admitted with delirium. Confusion has been present for two days and is described as improving after treatment. Recorded home medicines are lisinopril 10 MG Oral Tablet and atorvastatin 40 MG Oral Tablet. The chart does not name a precipitant. The only creatinine values are 1.3 mg/dL on admission and 1.2 mg/dL at discharge. No earlier baseline is recorded. Systolic blood pressure is 138 mmHg on admission and 124 mmHg at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81-year-old Female with delirium. Confusion for two days, described as improving after treatment. Home medicines are lisinopril and atorvastatin. No precipitant and no earlier creatinine are recorded.</w:t>
      </w:r>
    </w:p>
    <w:p>
      <w:pPr>
        <w:pStyle w:val="Heading2"/>
      </w:pPr>
      <w:r>
        <w:rPr>
          <w:rFonts w:ascii="Calibri" w:hAnsi="Calibri"/>
          <w:color w:val="1F3A5F"/>
        </w:rPr>
        <w:t>Hospital course</w:t>
      </w:r>
    </w:p>
    <w:p>
      <w:pPr>
        <w:spacing w:after="120"/>
      </w:pPr>
      <w:r>
        <w:rPr>
          <w:rFonts w:ascii="Calibri" w:hAnsi="Calibri" w:cs="Calibri"/>
          <w:b w:val="0"/>
          <w:sz w:val="22"/>
        </w:rPr>
        <w:t>No new diagnosis is recorded. Creatinine is 1.3 mg/dL then 1.2 mg/dL. Blood pressure is 138/69 mmHg then 124/68 mmHg. Atorvastatin remains on the home and inpatient medication lists. No baseline creatinine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138/69</w:t>
            </w:r>
          </w:p>
        </w:tc>
        <w:tc>
          <w:tcPr>
            <w:tcW w:type="dxa" w:w="1440"/>
            <w:vAlign w:val="top"/>
          </w:tcPr>
          <w:p>
            <w:pPr>
              <w:spacing w:after="20" w:before="20"/>
            </w:pPr>
            <w:r>
              <w:rPr>
                <w:rFonts w:ascii="Calibri" w:hAnsi="Calibri" w:cs="Calibri"/>
                <w:b w:val="0"/>
                <w:sz w:val="20"/>
              </w:rPr>
              <w:t>75</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124/68</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97.00 %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83.000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Primary care medication-list follow-up</w:t>
            </w:r>
          </w:p>
        </w:tc>
        <w:tc>
          <w:tcPr>
            <w:tcW w:type="dxa" w:w="3264"/>
            <w:vAlign w:val="top"/>
          </w:tcPr>
          <w:p>
            <w:pPr>
              <w:spacing w:after="20" w:before="20"/>
            </w:pPr>
            <w:r>
              <w:rPr>
                <w:rFonts w:ascii="Calibri" w:hAnsi="Calibri" w:cs="Calibri"/>
                <w:b w:val="0"/>
                <w:sz w:val="20"/>
              </w:rPr>
              <w:t>5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2 C1 Presentation and demographics 1"/>
                <w:tag w:val="VAL-802-c1-Presentation and demographics-1"/>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2"/>
                <w:tag w:val="VAL-802-c1-Presentation and demographics-2"/>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3"/>
                <w:tag w:val="VAL-802-c1-Presentation and demographics-3"/>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Presentation and demographics 4"/>
                <w:tag w:val="VAL-802-c1-Presentation and demographics-4"/>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1"/>
                <w:tag w:val="VAL-802-c1-Fit between presentation and diagnosis-1"/>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2"/>
                <w:tag w:val="VAL-802-c1-Fit between presentation and diagnosis-2"/>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3"/>
                <w:tag w:val="VAL-802-c1-Fit between presentation and diagnosis-3"/>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Fit between presentation and diagnosis 4"/>
                <w:tag w:val="VAL-802-c1-Fit between presentation and diagnosis-4"/>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2 C1 Vital signs 1"/>
                <w:tag w:val="VAL-802-c1-Vital signs-1"/>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2"/>
                <w:tag w:val="VAL-802-c1-Vital signs-2"/>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3"/>
                <w:tag w:val="VAL-802-c1-Vital signs-3"/>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Vital signs 4"/>
                <w:tag w:val="VAL-802-c1-Vital signs-4"/>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2 C1 Laboratory findings 1"/>
                <w:tag w:val="VAL-802-c1-Laboratory findings-1"/>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2"/>
                <w:tag w:val="VAL-802-c1-Laboratory findings-2"/>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3"/>
                <w:tag w:val="VAL-802-c1-Laboratory findings-3"/>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Laboratory findings 4"/>
                <w:tag w:val="VAL-802-c1-Laboratory findings-4"/>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2 C1 Medication regimen 1"/>
                <w:tag w:val="VAL-802-c1-Medication regimen-1"/>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2"/>
                <w:tag w:val="VAL-802-c1-Medication regimen-2"/>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3"/>
                <w:tag w:val="VAL-802-c1-Medication regimen-3"/>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Medication regimen 4"/>
                <w:tag w:val="VAL-802-c1-Medication regimen-4"/>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2 C1 Hospital course 1"/>
                <w:tag w:val="VAL-802-c1-Hospital course-1"/>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2"/>
                <w:tag w:val="VAL-802-c1-Hospital course-2"/>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3"/>
                <w:tag w:val="VAL-802-c1-Hospital course-3"/>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Hospital course 4"/>
                <w:tag w:val="VAL-802-c1-Hospital course-4"/>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2 C1 Chart consistency 1"/>
                <w:tag w:val="VAL-802-c1-Chart consistency-1"/>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2"/>
                <w:tag w:val="VAL-802-c1-Chart consistency-2"/>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3"/>
                <w:tag w:val="VAL-802-c1-Chart consistency-3"/>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Chart consistency 4"/>
                <w:tag w:val="VAL-802-c1-Chart consistency-4"/>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2 C1 Discharge context and follow-up 1"/>
                <w:tag w:val="VAL-802-c1-Discharge context and follow-up-1"/>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2"/>
                <w:tag w:val="VAL-802-c1-Discharge context and follow-up-2"/>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3"/>
                <w:tag w:val="VAL-802-c1-Discharge context and follow-up-3"/>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2 C1 Discharge context and follow-up 4"/>
                <w:tag w:val="VAL-802-c1-Discharge context and follow-up-4"/>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2 c1-overall Pass"/>
                <w:tag w:val="VAL-802-c1-overall-Pass"/>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1-overall Fail"/>
                <w:tag w:val="VAL-802-c1-overall-Fail"/>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2-c1-comment"/>
              <w:id w:val="9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2 c2 Pass"/>
                <w:tag w:val="VAL-802-c2-Pass"/>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2 Fail"/>
                <w:tag w:val="VAL-802-c2-Fail"/>
                <w:id w:val="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2-c2-comment"/>
              <w:id w:val="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is acceptable if creatinine 1.3 mg/dL is judged to be acute kidney injury. No baseline is recorded, so the reference does not require a hold.</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2 c3 Pass"/>
                <w:tag w:val="VAL-802-c3-Pass"/>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2 c3 Fail"/>
                <w:tag w:val="VAL-802-c3-Fail"/>
                <w:id w:val="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2 c4 No"/>
                <w:tag w:val="VAL-802-c4-No"/>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4 Yes"/>
                <w:tag w:val="VAL-802-c4-Yes"/>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2 c5-issue No"/>
                <w:tag w:val="VAL-802-c5-issue-No"/>
                <w:id w:val="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issue Yes"/>
                <w:tag w:val="VAL-802-c5-issue-Yes"/>
                <w:id w:val="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2 c5-leak No"/>
                <w:tag w:val="VAL-802-c5-leak-No"/>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2 c5-leak Yes"/>
                <w:tag w:val="VAL-802-c5-leak-Yes"/>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2-c5-comment"/>
              <w:id w:val="1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Easy"/>
                <w:tag w:val="VAL-802-c6-Easy"/>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2 c6 Moderate"/>
                <w:tag w:val="VAL-802-c6-Moderate"/>
                <w:id w:val="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2 c6 Hard"/>
                <w:tag w:val="VAL-802-c6-Hard"/>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2 c6 Inappropriate or outlier"/>
                <w:tag w:val="VAL-802-c6-Inappropriate or outlier"/>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2 overall Accept"/>
                <w:tag w:val="VAL-802-overall-Accept"/>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2 overall Revise"/>
                <w:tag w:val="VAL-802-overall-Revise"/>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2 overall Exclude"/>
                <w:tag w:val="VAL-802-overall-Exclude"/>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2-overall-comment"/>
              <w:id w:val="1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2-reviewer"/>
          <w:id w:val="11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2-date"/>
          <w:id w:val="11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Several issues with this – delirium cause is not revealed (delirium due to known physiologic condition doesn’t make sense), it doesn’t appear that anything happened in the hospital course, creatinine was the only lab value and changed slightly, but it was not clear what the baseline creatinine was, lots of mention of the statin and it said that she was taking the statin, but this was not continued at discharge for no obvious reason</w:t>
            </w:r>
          </w:p>
        </w:tc>
      </w:tr>
    </w:tbl>
    <w:p>
      <w:pPr>
        <w:spacing w:after="40"/>
      </w:pPr>
    </w:p>
    <w:p>
      <w:pPr>
        <w:spacing w:after="120"/>
      </w:pPr>
      <w:r>
        <w:rPr>
          <w:rFonts w:ascii="Calibri" w:hAnsi="Calibri" w:cs="Calibri"/>
          <w:b w:val="0"/>
          <w:sz w:val="22"/>
        </w:rPr>
        <w:t>C2 question: Does the clinical case actually contain the intended medication-reconciliation or transition-of-care problem described above, and does it match the intended category?</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Was the trainee supposed to continue the statin? Or recognize that it was not continued? It is unclear</w:t>
            </w:r>
          </w:p>
        </w:tc>
      </w:tr>
    </w:tbl>
    <w:p>
      <w:pPr>
        <w:spacing w:after="40"/>
      </w:pPr>
    </w:p>
    <w:p>
      <w:pPr>
        <w:spacing w:after="120"/>
      </w:pPr>
      <w:r>
        <w:rPr>
          <w:rFonts w:ascii="Calibri" w:hAnsi="Calibri" w:cs="Calibri"/>
          <w:b w:val="0"/>
          <w:sz w:val="22"/>
        </w:rPr>
        <w:t>C3 question: Could an internal-medicine resident identify and resolve the intended problem using only the clinical information provided in the patient-facing case?</w:t>
      </w: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Case lacks clinical complexity and reasoning for stopping the statin</w:t>
            </w:r>
          </w:p>
        </w:tc>
      </w:tr>
    </w:tbl>
    <w:p>
      <w:pPr>
        <w:spacing w:after="40"/>
      </w:pPr>
    </w:p>
    <w:p>
      <w:pPr>
        <w:spacing w:after="120"/>
      </w:pPr>
      <w:r>
        <w:rPr>
          <w:rFonts w:ascii="Calibri" w:hAnsi="Calibri" w:cs="Calibri"/>
          <w:b w:val="0"/>
          <w:sz w:val="22"/>
        </w:rPr>
        <w:t>C4 question: Apart from the intended assessment problem, does the case contain another clinically meaningful medication-reconciliation or transition-of-care problem that a reasonable resident could interpret as an alternative target?</w:t>
      </w:r>
    </w:p>
    <w:p>
      <w:pPr>
        <w:spacing w:after="120"/>
      </w:pPr>
      <w:r>
        <w:rPr>
          <w:rFonts w:ascii="Calibri" w:hAnsi="Calibri" w:cs="Calibri"/>
          <w:b w:val="0"/>
          <w:sz w:val="22"/>
        </w:rPr>
        <w:t>C4: Fail</w:t>
      </w:r>
    </w:p>
    <w:p>
      <w:pPr>
        <w:spacing w:after="120"/>
      </w:pPr>
      <w:r>
        <w:rPr>
          <w:rFonts w:ascii="Calibri" w:hAnsi="Calibri" w:cs="Calibri"/>
          <w:b w:val="0"/>
          <w:sz w:val="22"/>
        </w:rPr>
        <w:t>C4 issue: Creatinine elevated but patient continued on lisinopril</w:t>
      </w:r>
    </w:p>
    <w:p>
      <w:pPr>
        <w:spacing w:after="120"/>
      </w:pPr>
      <w:r>
        <w:rPr>
          <w:rFonts w:ascii="Calibri" w:hAnsi="Calibri" w:cs="Calibri"/>
          <w:b w:val="0"/>
          <w:sz w:val="22"/>
        </w:rPr>
        <w:t>C4 location: Lab data</w:t>
      </w:r>
    </w:p>
    <w:p>
      <w:pPr>
        <w:spacing w:after="120"/>
      </w:pPr>
      <w:r>
        <w:rPr>
          <w:rFonts w:ascii="Calibri" w:hAnsi="Calibri" w:cs="Calibri"/>
          <w:b w:val="0"/>
          <w:sz w:val="22"/>
        </w:rPr>
        <w:t>C4 clinical meaning: If creatinine was elevated to point of AKI the lisinopril should be stopped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As above</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This case is unclear and intended discharge medications are not stated</w:t>
            </w:r>
          </w:p>
        </w:tc>
      </w:tr>
    </w:tbl>
    <w:p>
      <w:pPr>
        <w:spacing w:after="4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Would exclude, this case would need major revisions to be compatible with the goals of this project</w:t>
            </w:r>
          </w:p>
        </w:tc>
      </w:tr>
    </w:tbl>
    <w:p>
      <w:pPr>
        <w:spacing w:after="40"/>
      </w:pPr>
    </w:p>
    <w:p>
      <w:pPr>
        <w:spacing w:after="120"/>
      </w:pPr>
      <w:r>
        <w:rPr>
          <w:rFonts w:ascii="Calibri" w:hAnsi="Calibri" w:cs="Calibri"/>
          <w:b w:val="0"/>
          <w:sz w:val="22"/>
        </w:rPr>
        <w:t>Reviewer: KO. Date: 10/5/26.</w:t>
      </w:r>
    </w:p>
    <w:p>
      <w:pPr>
        <w:keepNext/>
        <w:pageBreakBefore/>
      </w:pPr>
      <w:r>
        <w:rPr>
          <w:rFonts w:ascii="Calibri" w:hAnsi="Calibri" w:cs="Calibri"/>
          <w:b/>
          <w:color w:val="1F3A5F"/>
          <w:sz w:val="28"/>
        </w:rPr>
        <w:t>ROUND 2 RESPONSE TO ROUND 1 REVIEW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1296"/>
            <w:shd w:val="clear" w:color="auto" w:fill="D9E2F3"/>
          </w:tcPr>
          <w:p>
            <w:pPr>
              <w:spacing w:after="20" w:before="20"/>
            </w:pPr>
            <w:r>
              <w:rPr>
                <w:rFonts w:ascii="Calibri" w:hAnsi="Calibri" w:cs="Calibri"/>
                <w:b/>
                <w:sz w:val="20"/>
              </w:rPr>
              <w:t>#</w:t>
            </w:r>
          </w:p>
        </w:tc>
        <w:tc>
          <w:tcPr>
            <w:tcW w:type="dxa" w:w="2016"/>
            <w:shd w:val="clear" w:color="auto" w:fill="D9E2F3"/>
          </w:tcPr>
          <w:p>
            <w:pPr>
              <w:spacing w:after="20" w:before="20"/>
            </w:pPr>
            <w:r>
              <w:rPr>
                <w:rFonts w:ascii="Calibri" w:hAnsi="Calibri" w:cs="Calibri"/>
                <w:b/>
                <w:sz w:val="20"/>
              </w:rPr>
              <w:t>Reviewer comment / concern</w:t>
            </w:r>
          </w:p>
        </w:tc>
        <w:tc>
          <w:tcPr>
            <w:tcW w:type="dxa" w:w="2304"/>
            <w:shd w:val="clear" w:color="auto" w:fill="D9E2F3"/>
          </w:tcPr>
          <w:p>
            <w:pPr>
              <w:spacing w:after="20" w:before="20"/>
            </w:pPr>
            <w:r>
              <w:rPr>
                <w:rFonts w:ascii="Calibri" w:hAnsi="Calibri" w:cs="Calibri"/>
                <w:b/>
                <w:sz w:val="20"/>
              </w:rPr>
              <w:t>Author response</w:t>
            </w:r>
          </w:p>
        </w:tc>
        <w:tc>
          <w:tcPr>
            <w:tcW w:type="dxa" w:w="2016"/>
            <w:shd w:val="clear" w:color="auto" w:fill="D9E2F3"/>
          </w:tcPr>
          <w:p>
            <w:pPr>
              <w:spacing w:after="20" w:before="20"/>
            </w:pPr>
            <w:r>
              <w:rPr>
                <w:rFonts w:ascii="Calibri" w:hAnsi="Calibri" w:cs="Calibri"/>
                <w:b/>
                <w:sz w:val="20"/>
              </w:rPr>
              <w:t>Revision made</w:t>
            </w:r>
          </w:p>
        </w:tc>
        <w:tc>
          <w:tcPr>
            <w:tcW w:type="dxa" w:w="2160"/>
            <w:shd w:val="clear" w:color="auto" w:fill="D9E2F3"/>
          </w:tcPr>
          <w:p>
            <w:pPr>
              <w:spacing w:after="20" w:before="20"/>
            </w:pPr>
            <w:r>
              <w:rPr>
                <w:rFonts w:ascii="Calibri" w:hAnsi="Calibri" w:cs="Calibri"/>
                <w:b/>
                <w:sz w:val="20"/>
              </w:rPr>
              <w:t>Evidence / justification</w:t>
            </w:r>
          </w:p>
        </w:tc>
      </w:tr>
      <w:tr>
        <w:trPr>
          <w:cantSplit/>
        </w:trPr>
        <w:tc>
          <w:tcPr>
            <w:tcW w:type="dxa" w:w="1296"/>
            <w:vAlign w:val="top"/>
          </w:tcPr>
          <w:p>
            <w:pPr>
              <w:spacing w:after="20" w:before="20"/>
            </w:pPr>
            <w:r>
              <w:rPr>
                <w:rFonts w:ascii="Calibri" w:hAnsi="Calibri" w:cs="Calibri"/>
                <w:b w:val="0"/>
                <w:sz w:val="20"/>
              </w:rPr>
              <w:t>VAL-802-R1</w:t>
            </w:r>
          </w:p>
        </w:tc>
        <w:tc>
          <w:tcPr>
            <w:tcW w:type="dxa" w:w="2016"/>
            <w:vAlign w:val="top"/>
          </w:tcPr>
          <w:p>
            <w:pPr>
              <w:spacing w:after="20" w:before="20"/>
            </w:pPr>
            <w:r>
              <w:rPr>
                <w:rFonts w:ascii="Calibri" w:hAnsi="Calibri" w:cs="Calibri"/>
                <w:b w:val="0"/>
                <w:sz w:val="20"/>
              </w:rPr>
              <w:t>Delirium cause is not revealed (delirium due to known physiologic condition doesn’t make sense).</w:t>
            </w:r>
          </w:p>
        </w:tc>
        <w:tc>
          <w:tcPr>
            <w:tcW w:type="dxa" w:w="2304"/>
            <w:vAlign w:val="top"/>
          </w:tcPr>
          <w:p>
            <w:pPr>
              <w:spacing w:after="20" w:before="20"/>
            </w:pPr>
            <w:r>
              <w:rPr>
                <w:rFonts w:ascii="Calibri" w:hAnsi="Calibri" w:cs="Calibri"/>
                <w:b w:val="0"/>
                <w:sz w:val="20"/>
              </w:rPr>
              <w:t>We agree the label is not an explanation. The preserved chart does not contain a precipitant, and we did not invent one. The revision says that directly.</w:t>
            </w:r>
          </w:p>
        </w:tc>
        <w:tc>
          <w:tcPr>
            <w:tcW w:type="dxa" w:w="2016"/>
            <w:vAlign w:val="top"/>
          </w:tcPr>
          <w:p>
            <w:pPr>
              <w:spacing w:after="20" w:before="20"/>
            </w:pPr>
            <w:r>
              <w:rPr>
                <w:rFonts w:ascii="Calibri" w:hAnsi="Calibri" w:cs="Calibri"/>
                <w:b w:val="0"/>
                <w:sz w:val="20"/>
              </w:rPr>
              <w:t>Narrative states that no precipitant is recorded.</w:t>
            </w:r>
          </w:p>
        </w:tc>
        <w:tc>
          <w:tcPr>
            <w:tcW w:type="dxa" w:w="2160"/>
            <w:vAlign w:val="top"/>
          </w:tcPr>
          <w:p>
            <w:pPr>
              <w:spacing w:after="20" w:before="20"/>
            </w:pPr>
            <w:r>
              <w:rPr>
                <w:rFonts w:ascii="Calibri" w:hAnsi="Calibri" w:cs="Calibri"/>
                <w:b w:val="0"/>
                <w:sz w:val="20"/>
              </w:rPr>
              <w:t>CASE_SOURCE has no precipitant field; [E1] supports seeking one but not naming one.</w:t>
            </w:r>
          </w:p>
        </w:tc>
      </w:tr>
      <w:tr>
        <w:trPr>
          <w:cantSplit/>
        </w:trPr>
        <w:tc>
          <w:tcPr>
            <w:tcW w:type="dxa" w:w="1296"/>
            <w:vAlign w:val="top"/>
          </w:tcPr>
          <w:p>
            <w:pPr>
              <w:spacing w:after="20" w:before="20"/>
            </w:pPr>
            <w:r>
              <w:rPr>
                <w:rFonts w:ascii="Calibri" w:hAnsi="Calibri" w:cs="Calibri"/>
                <w:b w:val="0"/>
                <w:sz w:val="20"/>
              </w:rPr>
              <w:t>VAL-802-R2</w:t>
            </w:r>
          </w:p>
        </w:tc>
        <w:tc>
          <w:tcPr>
            <w:tcW w:type="dxa" w:w="2016"/>
            <w:vAlign w:val="top"/>
          </w:tcPr>
          <w:p>
            <w:pPr>
              <w:spacing w:after="20" w:before="20"/>
            </w:pPr>
            <w:r>
              <w:rPr>
                <w:rFonts w:ascii="Calibri" w:hAnsi="Calibri" w:cs="Calibri"/>
                <w:b w:val="0"/>
                <w:sz w:val="20"/>
              </w:rPr>
              <w:t>It doesn’t appear that anything happened in the hospital course.</w:t>
            </w:r>
          </w:p>
        </w:tc>
        <w:tc>
          <w:tcPr>
            <w:tcW w:type="dxa" w:w="2304"/>
            <w:vAlign w:val="top"/>
          </w:tcPr>
          <w:p>
            <w:pPr>
              <w:spacing w:after="20" w:before="20"/>
            </w:pPr>
            <w:r>
              <w:rPr>
                <w:rFonts w:ascii="Calibri" w:hAnsi="Calibri" w:cs="Calibri"/>
                <w:b w:val="0"/>
                <w:sz w:val="20"/>
              </w:rPr>
              <w:t>We agree. The revision describes the recorded course: confusion improving, creatinine 1.3 mg/dL then 1.2 mg/dL, and blood pressure 138/69 mmHg then 124/68 mmHg. No new event was added.</w:t>
            </w:r>
          </w:p>
        </w:tc>
        <w:tc>
          <w:tcPr>
            <w:tcW w:type="dxa" w:w="2016"/>
            <w:vAlign w:val="top"/>
          </w:tcPr>
          <w:p>
            <w:pPr>
              <w:spacing w:after="20" w:before="20"/>
            </w:pPr>
            <w:r>
              <w:rPr>
                <w:rFonts w:ascii="Calibri" w:hAnsi="Calibri" w:cs="Calibri"/>
                <w:b w:val="0"/>
                <w:sz w:val="20"/>
              </w:rPr>
              <w:t>Hospital course rewritten from existing vital signs and creatinine only.</w:t>
            </w:r>
          </w:p>
        </w:tc>
        <w:tc>
          <w:tcPr>
            <w:tcW w:type="dxa" w:w="2160"/>
            <w:vAlign w:val="top"/>
          </w:tcPr>
          <w:p>
            <w:pPr>
              <w:spacing w:after="20" w:before="20"/>
            </w:pPr>
            <w:r>
              <w:rPr>
                <w:rFonts w:ascii="Calibri" w:hAnsi="Calibri" w:cs="Calibri"/>
                <w:b w:val="0"/>
                <w:sz w:val="20"/>
              </w:rPr>
              <w:t>CASE_SOURCE CaseVital and CaseLab.</w:t>
            </w:r>
          </w:p>
        </w:tc>
      </w:tr>
      <w:tr>
        <w:trPr>
          <w:cantSplit/>
        </w:trPr>
        <w:tc>
          <w:tcPr>
            <w:tcW w:type="dxa" w:w="1296"/>
            <w:vAlign w:val="top"/>
          </w:tcPr>
          <w:p>
            <w:pPr>
              <w:spacing w:after="20" w:before="20"/>
            </w:pPr>
            <w:r>
              <w:rPr>
                <w:rFonts w:ascii="Calibri" w:hAnsi="Calibri" w:cs="Calibri"/>
                <w:b w:val="0"/>
                <w:sz w:val="20"/>
              </w:rPr>
              <w:t>VAL-802-R3</w:t>
            </w:r>
          </w:p>
        </w:tc>
        <w:tc>
          <w:tcPr>
            <w:tcW w:type="dxa" w:w="2016"/>
            <w:vAlign w:val="top"/>
          </w:tcPr>
          <w:p>
            <w:pPr>
              <w:spacing w:after="20" w:before="20"/>
            </w:pPr>
            <w:r>
              <w:rPr>
                <w:rFonts w:ascii="Calibri" w:hAnsi="Calibri" w:cs="Calibri"/>
                <w:b w:val="0"/>
                <w:sz w:val="20"/>
              </w:rPr>
              <w:t>Creatinine was the only lab value and changed slightly, but it was not clear what the baseline creatinine was.</w:t>
            </w:r>
          </w:p>
        </w:tc>
        <w:tc>
          <w:tcPr>
            <w:tcW w:type="dxa" w:w="2304"/>
            <w:vAlign w:val="top"/>
          </w:tcPr>
          <w:p>
            <w:pPr>
              <w:spacing w:after="20" w:before="20"/>
            </w:pPr>
            <w:r>
              <w:rPr>
                <w:rFonts w:ascii="Calibri" w:hAnsi="Calibri" w:cs="Calibri"/>
                <w:b w:val="0"/>
                <w:sz w:val="20"/>
              </w:rPr>
              <w:t>We agree. No earlier creatinine exists in the preserved chart, so none was added. The revision states that 1.3 mg/dL and 1.2 mg/dL are the only values.</w:t>
            </w:r>
          </w:p>
        </w:tc>
        <w:tc>
          <w:tcPr>
            <w:tcW w:type="dxa" w:w="2016"/>
            <w:vAlign w:val="top"/>
          </w:tcPr>
          <w:p>
            <w:pPr>
              <w:spacing w:after="20" w:before="20"/>
            </w:pPr>
            <w:r>
              <w:rPr>
                <w:rFonts w:ascii="Calibri" w:hAnsi="Calibri" w:cs="Calibri"/>
                <w:b w:val="0"/>
                <w:sz w:val="20"/>
              </w:rPr>
              <w:t>Narrative states that no baseline creatinine is recorded. No new laboratory was added.</w:t>
            </w:r>
          </w:p>
        </w:tc>
        <w:tc>
          <w:tcPr>
            <w:tcW w:type="dxa" w:w="2160"/>
            <w:vAlign w:val="top"/>
          </w:tcPr>
          <w:p>
            <w:pPr>
              <w:spacing w:after="20" w:before="20"/>
            </w:pPr>
            <w:r>
              <w:rPr>
                <w:rFonts w:ascii="Calibri" w:hAnsi="Calibri" w:cs="Calibri"/>
                <w:b w:val="0"/>
                <w:sz w:val="20"/>
              </w:rPr>
              <w:t>CASE_SOURCE CaseLab contains only those two creatinine rows.</w:t>
            </w:r>
          </w:p>
        </w:tc>
      </w:tr>
      <w:tr>
        <w:trPr>
          <w:cantSplit/>
        </w:trPr>
        <w:tc>
          <w:tcPr>
            <w:tcW w:type="dxa" w:w="1296"/>
            <w:vAlign w:val="top"/>
          </w:tcPr>
          <w:p>
            <w:pPr>
              <w:spacing w:after="20" w:before="20"/>
            </w:pPr>
            <w:r>
              <w:rPr>
                <w:rFonts w:ascii="Calibri" w:hAnsi="Calibri" w:cs="Calibri"/>
                <w:b w:val="0"/>
                <w:sz w:val="20"/>
              </w:rPr>
              <w:t>VAL-802-R4</w:t>
            </w:r>
          </w:p>
        </w:tc>
        <w:tc>
          <w:tcPr>
            <w:tcW w:type="dxa" w:w="2016"/>
            <w:vAlign w:val="top"/>
          </w:tcPr>
          <w:p>
            <w:pPr>
              <w:spacing w:after="20" w:before="20"/>
            </w:pPr>
            <w:r>
              <w:rPr>
                <w:rFonts w:ascii="Calibri" w:hAnsi="Calibri" w:cs="Calibri"/>
                <w:b w:val="0"/>
                <w:sz w:val="20"/>
              </w:rPr>
              <w:t>Lots of mention of the statin and it said that she was taking the statin, but this was not continued at discharge for no obvious reason. Was the trainee supposed to continue the statin?</w:t>
            </w:r>
          </w:p>
        </w:tc>
        <w:tc>
          <w:tcPr>
            <w:tcW w:type="dxa" w:w="2304"/>
            <w:vAlign w:val="top"/>
          </w:tcPr>
          <w:p>
            <w:pPr>
              <w:spacing w:after="20" w:before="20"/>
            </w:pPr>
            <w:r>
              <w:rPr>
                <w:rFonts w:ascii="Calibri" w:hAnsi="Calibri" w:cs="Calibri"/>
                <w:b w:val="0"/>
                <w:sz w:val="20"/>
              </w:rPr>
              <w:t>The omission the reviewer saw was the historical planted discrepancy. The preserved clean chart already lists atorvastatin at home and in the hospital, and the hidden reference continues it. We removed sentences that said a continued statin had been confirmed, because those sentences revealed the discharge decision. We did not remove atorvastatin from the evidence lists.</w:t>
            </w:r>
          </w:p>
        </w:tc>
        <w:tc>
          <w:tcPr>
            <w:tcW w:type="dxa" w:w="2016"/>
            <w:vAlign w:val="top"/>
          </w:tcPr>
          <w:p>
            <w:pPr>
              <w:spacing w:after="20" w:before="20"/>
            </w:pPr>
            <w:r>
              <w:rPr>
                <w:rFonts w:ascii="Calibri" w:hAnsi="Calibri" w:cs="Calibri"/>
                <w:b w:val="0"/>
                <w:sz w:val="20"/>
              </w:rPr>
              <w:t>Answer-revealing statin sentences removed. Reference remains continue atorvastatin.</w:t>
            </w:r>
          </w:p>
        </w:tc>
        <w:tc>
          <w:tcPr>
            <w:tcW w:type="dxa" w:w="2160"/>
            <w:vAlign w:val="top"/>
          </w:tcPr>
          <w:p>
            <w:pPr>
              <w:spacing w:after="20" w:before="20"/>
            </w:pPr>
            <w:r>
              <w:rPr>
                <w:rFonts w:ascii="Calibri" w:hAnsi="Calibri" w:cs="Calibri"/>
                <w:b w:val="0"/>
                <w:sz w:val="20"/>
              </w:rPr>
              <w:t>CASE_SOURCE clean medication rows and reference action continue.</w:t>
            </w:r>
          </w:p>
        </w:tc>
      </w:tr>
      <w:tr>
        <w:trPr>
          <w:cantSplit/>
        </w:trPr>
        <w:tc>
          <w:tcPr>
            <w:tcW w:type="dxa" w:w="1296"/>
            <w:vAlign w:val="top"/>
          </w:tcPr>
          <w:p>
            <w:pPr>
              <w:spacing w:after="20" w:before="20"/>
            </w:pPr>
            <w:r>
              <w:rPr>
                <w:rFonts w:ascii="Calibri" w:hAnsi="Calibri" w:cs="Calibri"/>
                <w:b w:val="0"/>
                <w:sz w:val="20"/>
              </w:rPr>
              <w:t>VAL-802-R5</w:t>
            </w:r>
          </w:p>
        </w:tc>
        <w:tc>
          <w:tcPr>
            <w:tcW w:type="dxa" w:w="2016"/>
            <w:vAlign w:val="top"/>
          </w:tcPr>
          <w:p>
            <w:pPr>
              <w:spacing w:after="20" w:before="20"/>
            </w:pPr>
            <w:r>
              <w:rPr>
                <w:rFonts w:ascii="Calibri" w:hAnsi="Calibri" w:cs="Calibri"/>
                <w:b w:val="0"/>
                <w:sz w:val="20"/>
              </w:rPr>
              <w:t>If creatinine was elevated to point of AKI the lisinopril should be stopped.</w:t>
            </w:r>
          </w:p>
        </w:tc>
        <w:tc>
          <w:tcPr>
            <w:tcW w:type="dxa" w:w="2304"/>
            <w:vAlign w:val="top"/>
          </w:tcPr>
          <w:p>
            <w:pPr>
              <w:spacing w:after="20" w:before="20"/>
            </w:pPr>
            <w:r>
              <w:rPr>
                <w:rFonts w:ascii="Calibri" w:hAnsi="Calibri" w:cs="Calibri"/>
                <w:b w:val="0"/>
                <w:sz w:val="20"/>
              </w:rPr>
              <w:t>The chart shows creatinine 1.3 mg/dL then 1.2 mg/dL and no baseline. That does not establish AKI. We left the hidden reference as continue lisinopril and recorded a hold as an acceptable alternative rather than inventing a baseline.</w:t>
            </w:r>
          </w:p>
        </w:tc>
        <w:tc>
          <w:tcPr>
            <w:tcW w:type="dxa" w:w="2016"/>
            <w:vAlign w:val="top"/>
          </w:tcPr>
          <w:p>
            <w:pPr>
              <w:spacing w:after="20" w:before="20"/>
            </w:pPr>
            <w:r>
              <w:rPr>
                <w:rFonts w:ascii="Calibri" w:hAnsi="Calibri" w:cs="Calibri"/>
                <w:b w:val="0"/>
                <w:sz w:val="20"/>
              </w:rPr>
              <w:t>Acceptable alternative added: hold lisinopril. Reference action remains continue.</w:t>
            </w:r>
          </w:p>
        </w:tc>
        <w:tc>
          <w:tcPr>
            <w:tcW w:type="dxa" w:w="2160"/>
            <w:vAlign w:val="top"/>
          </w:tcPr>
          <w:p>
            <w:pPr>
              <w:spacing w:after="20" w:before="20"/>
            </w:pPr>
            <w:r>
              <w:rPr>
                <w:rFonts w:ascii="Calibri" w:hAnsi="Calibri" w:cs="Calibri"/>
                <w:b w:val="0"/>
                <w:sz w:val="20"/>
              </w:rPr>
              <w:t>CASE_SOURCE creatinine; [E3] supports reviewing an ACE inhibitor during AKI but does not prove AKI here.</w:t>
            </w:r>
          </w:p>
        </w:tc>
      </w:tr>
    </w:tbl>
    <w:p>
      <w:pPr>
        <w:spacing w:after="40"/>
      </w:pPr>
    </w:p>
    <w:p>
      <w:pPr>
        <w:pStyle w:val="Heading3"/>
      </w:pPr>
      <w:r>
        <w:rPr>
          <w:rFonts w:ascii="Calibri" w:hAnsi="Calibri"/>
          <w:color w:val="1F3A5F"/>
        </w:rPr>
        <w:t>Evidence for changes</w:t>
      </w:r>
    </w:p>
    <w:p>
      <w:pPr>
        <w:spacing w:after="120"/>
      </w:pPr>
      <w:r>
        <w:rPr>
          <w:rFonts w:ascii="Calibri" w:hAnsi="Calibri" w:cs="Calibri"/>
          <w:b w:val="0"/>
          <w:sz w:val="22"/>
        </w:rPr>
        <w:t>[E1] Inouye SK, Westendorp RGJ, Saczynski JS. Delirium in elderly people. Lancet. 2014;383:911-922. doi:10.1016/S0140-6736(13)60688-1. Delirium assessment looks for precipitants. It does not assign this patient's precipitant.</w:t>
      </w:r>
    </w:p>
    <w:p>
      <w:pPr>
        <w:spacing w:after="120"/>
      </w:pPr>
      <w:r>
        <w:rPr>
          <w:rFonts w:ascii="Calibri" w:hAnsi="Calibri" w:cs="Calibri"/>
          <w:b w:val="0"/>
          <w:sz w:val="22"/>
        </w:rPr>
        <w:t>[E3] KDIGO Clinical Practice Guideline for Acute Kidney Injury. Kidney International Supplements. 2012;2:1-138. https://kdigo.org/guidelines/acute-kidney-injury/. ACE inhibitors are reviewed during AKI. A single creatinine without a baseline does not by itself prove AKI.</w:t>
      </w:r>
    </w:p>
    <w:p>
      <w:pPr>
        <w:keepNext/>
        <w:pageBreakBefore/>
      </w:pPr>
      <w:r>
        <w:rPr>
          <w:rFonts w:ascii="Calibri" w:hAnsi="Calibri" w:cs="Calibri"/>
          <w:b/>
          <w:color w:val="1F3A5F"/>
          <w:sz w:val="32"/>
        </w:rPr>
        <w:t>CASE VAL-803</w:t>
      </w:r>
    </w:p>
    <w:p>
      <w:pPr>
        <w:spacing w:after="120"/>
      </w:pPr>
      <w:r>
        <w:rPr>
          <w:rFonts w:ascii="Calibri" w:hAnsi="Calibri" w:cs="Calibri"/>
          <w:b w:val="0"/>
          <w:sz w:val="22"/>
        </w:rPr>
        <w:t>Round 2 revised case, version 2</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71</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Delirium due to known physiological condition</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71-year-old Male with Delirium due to known physiological condition</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71-year-old Male is admitted with Delirium due to known physiological condition. Presenting symptoms include Fatigue, Confusion, present for one week and persistent. Home medications include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Delirium due to known physiological condition. Symptoms: Fatigue, Confusion for one week (persistent). Medications continued from home: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2"/>
      </w:pPr>
      <w:r>
        <w:rPr>
          <w:rFonts w:ascii="Calibri" w:hAnsi="Calibri"/>
          <w:color w:val="1F3A5F"/>
        </w:rPr>
        <w:t>Hospital course</w:t>
      </w:r>
    </w:p>
    <w:p>
      <w:pPr>
        <w:spacing w:after="120"/>
      </w:pPr>
      <w:r>
        <w:rPr>
          <w:rFonts w:ascii="Calibri" w:hAnsi="Calibri" w:cs="Calibri"/>
          <w:b w:val="0"/>
          <w:sz w:val="22"/>
        </w:rPr>
        <w:t>The patient returned to cognitive baseline. Home services were arranged and the verified medication list was prepared for discharge. The chart does not name a precipitant for the delirium.</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Delirium due to known physiological condition</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Type 2 diabetes mellitus without complications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119/69</w:t>
            </w:r>
          </w:p>
        </w:tc>
        <w:tc>
          <w:tcPr>
            <w:tcW w:type="dxa" w:w="1440"/>
            <w:vAlign w:val="top"/>
          </w:tcPr>
          <w:p>
            <w:pPr>
              <w:spacing w:after="20" w:before="20"/>
            </w:pPr>
            <w:r>
              <w:rPr>
                <w:rFonts w:ascii="Calibri" w:hAnsi="Calibri" w:cs="Calibri"/>
                <w:b w:val="0"/>
                <w:sz w:val="20"/>
              </w:rPr>
              <w:t>91</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123/70</w:t>
            </w:r>
          </w:p>
        </w:tc>
        <w:tc>
          <w:tcPr>
            <w:tcW w:type="dxa" w:w="1440"/>
            <w:vAlign w:val="top"/>
          </w:tcPr>
          <w:p>
            <w:pPr>
              <w:spacing w:after="20" w:before="20"/>
            </w:pPr>
            <w:r>
              <w:rPr>
                <w:rFonts w:ascii="Calibri" w:hAnsi="Calibri" w:cs="Calibri"/>
                <w:b w:val="0"/>
                <w:sz w:val="20"/>
              </w:rPr>
              <w:t>67</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95.00 %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Fasting glucose [Mass/volume] in Serum or Plasma</w:t>
            </w:r>
          </w:p>
        </w:tc>
        <w:tc>
          <w:tcPr>
            <w:tcW w:type="dxa" w:w="2448"/>
            <w:vAlign w:val="top"/>
          </w:tcPr>
          <w:p>
            <w:pPr>
              <w:spacing w:after="20" w:before="20"/>
            </w:pPr>
            <w:r>
              <w:rPr>
                <w:rFonts w:ascii="Calibri" w:hAnsi="Calibri" w:cs="Calibri"/>
                <w:b w:val="0"/>
                <w:sz w:val="20"/>
              </w:rPr>
              <w:t>149.0</w:t>
            </w:r>
          </w:p>
        </w:tc>
        <w:tc>
          <w:tcPr>
            <w:tcW w:type="dxa" w:w="2448"/>
            <w:vAlign w:val="top"/>
          </w:tcPr>
          <w:p>
            <w:pPr>
              <w:spacing w:after="20" w:before="20"/>
            </w:pPr>
            <w:r>
              <w:rPr>
                <w:rFonts w:ascii="Calibri" w:hAnsi="Calibri" w:cs="Calibri"/>
                <w:b w:val="0"/>
                <w:sz w:val="20"/>
              </w:rPr>
              <w:t>129.0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1.0</w:t>
            </w:r>
          </w:p>
        </w:tc>
        <w:tc>
          <w:tcPr>
            <w:tcW w:type="dxa" w:w="2448"/>
            <w:vAlign w:val="top"/>
          </w:tcPr>
          <w:p>
            <w:pPr>
              <w:spacing w:after="20" w:before="20"/>
            </w:pPr>
            <w:r>
              <w:rPr>
                <w:rFonts w:ascii="Calibri" w:hAnsi="Calibri" w:cs="Calibri"/>
                <w:b w:val="0"/>
                <w:sz w:val="20"/>
              </w:rPr>
              <w:t>1.2</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4.4</w:t>
            </w:r>
          </w:p>
        </w:tc>
        <w:tc>
          <w:tcPr>
            <w:tcW w:type="dxa" w:w="2448"/>
            <w:vAlign w:val="top"/>
          </w:tcPr>
          <w:p>
            <w:pPr>
              <w:spacing w:after="20" w:before="20"/>
            </w:pPr>
            <w:r>
              <w:rPr>
                <w:rFonts w:ascii="Calibri" w:hAnsi="Calibri" w:cs="Calibri"/>
                <w:b w:val="0"/>
                <w:sz w:val="20"/>
              </w:rPr>
              <w:t>4.2</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97.000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hydrochlorothiazide 25 MG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metformin hydrochloride 500 MG Oral Tablet</w:t>
            </w:r>
          </w:p>
        </w:tc>
        <w:tc>
          <w:tcPr>
            <w:tcW w:type="dxa" w:w="1296"/>
            <w:vAlign w:val="top"/>
          </w:tcPr>
          <w:p>
            <w:pPr>
              <w:spacing w:after="20" w:before="20"/>
            </w:pPr>
            <w:r>
              <w:rPr>
                <w:rFonts w:ascii="Calibri" w:hAnsi="Calibri" w:cs="Calibri"/>
                <w:b w:val="0"/>
                <w:sz w:val="20"/>
              </w:rPr>
              <w:t>500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Home-health and primary care medication-supply follow-up</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3 C1 Presentation and demographics 1"/>
                <w:tag w:val="VAL-803-c1-Presentation and demographics-1"/>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2"/>
                <w:tag w:val="VAL-803-c1-Presentation and demographics-2"/>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3"/>
                <w:tag w:val="VAL-803-c1-Presentation and demographics-3"/>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Presentation and demographics 4"/>
                <w:tag w:val="VAL-803-c1-Presentation and demographics-4"/>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1"/>
                <w:tag w:val="VAL-803-c1-Fit between presentation and diagnosis-1"/>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2"/>
                <w:tag w:val="VAL-803-c1-Fit between presentation and diagnosis-2"/>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3"/>
                <w:tag w:val="VAL-803-c1-Fit between presentation and diagnosis-3"/>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Fit between presentation and diagnosis 4"/>
                <w:tag w:val="VAL-803-c1-Fit between presentation and diagnosis-4"/>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3 C1 Vital signs 1"/>
                <w:tag w:val="VAL-803-c1-Vital signs-1"/>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2"/>
                <w:tag w:val="VAL-803-c1-Vital signs-2"/>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3"/>
                <w:tag w:val="VAL-803-c1-Vital signs-3"/>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Vital signs 4"/>
                <w:tag w:val="VAL-803-c1-Vital signs-4"/>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3 C1 Laboratory findings 1"/>
                <w:tag w:val="VAL-803-c1-Laboratory findings-1"/>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2"/>
                <w:tag w:val="VAL-803-c1-Laboratory findings-2"/>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3"/>
                <w:tag w:val="VAL-803-c1-Laboratory findings-3"/>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Laboratory findings 4"/>
                <w:tag w:val="VAL-803-c1-Laboratory findings-4"/>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3 C1 Medication regimen 1"/>
                <w:tag w:val="VAL-803-c1-Medication regimen-1"/>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2"/>
                <w:tag w:val="VAL-803-c1-Medication regimen-2"/>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3"/>
                <w:tag w:val="VAL-803-c1-Medication regimen-3"/>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Medication regimen 4"/>
                <w:tag w:val="VAL-803-c1-Medication regimen-4"/>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3 C1 Hospital course 1"/>
                <w:tag w:val="VAL-803-c1-Hospital course-1"/>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2"/>
                <w:tag w:val="VAL-803-c1-Hospital course-2"/>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3"/>
                <w:tag w:val="VAL-803-c1-Hospital course-3"/>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Hospital course 4"/>
                <w:tag w:val="VAL-803-c1-Hospital course-4"/>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3 C1 Chart consistency 1"/>
                <w:tag w:val="VAL-803-c1-Chart consistency-1"/>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2"/>
                <w:tag w:val="VAL-803-c1-Chart consistency-2"/>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3"/>
                <w:tag w:val="VAL-803-c1-Chart consistency-3"/>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Chart consistency 4"/>
                <w:tag w:val="VAL-803-c1-Chart consistency-4"/>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3 C1 Discharge context and follow-up 1"/>
                <w:tag w:val="VAL-803-c1-Discharge context and follow-up-1"/>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2"/>
                <w:tag w:val="VAL-803-c1-Discharge context and follow-up-2"/>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3"/>
                <w:tag w:val="VAL-803-c1-Discharge context and follow-up-3"/>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3 C1 Discharge context and follow-up 4"/>
                <w:tag w:val="VAL-803-c1-Discharge context and follow-up-4"/>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3 c1-overall Pass"/>
                <w:tag w:val="VAL-803-c1-overall-Pass"/>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1-overall Fail"/>
                <w:tag w:val="VAL-803-c1-overall-Fail"/>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3-c1-comment"/>
              <w:id w:val="1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3 c2 Pass"/>
                <w:tag w:val="VAL-803-c2-Pass"/>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2 Fail"/>
                <w:tag w:val="VAL-803-c2-Fail"/>
                <w:id w:val="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3-c2-comment"/>
              <w:id w:val="1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hydrochlorothiazide 25 MG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metformin hydrochloride 500 MG Oral Tablet</w:t>
            </w:r>
          </w:p>
        </w:tc>
        <w:tc>
          <w:tcPr>
            <w:tcW w:type="dxa" w:w="1152"/>
            <w:vAlign w:val="top"/>
          </w:tcPr>
          <w:p>
            <w:pPr>
              <w:spacing w:after="20" w:before="20"/>
            </w:pPr>
            <w:r>
              <w:rPr>
                <w:rFonts w:ascii="Calibri" w:hAnsi="Calibri" w:cs="Calibri"/>
                <w:b w:val="0"/>
                <w:sz w:val="20"/>
              </w:rPr>
              <w:t>500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Type 2 diabetes mellitus without complications</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3 c3 Pass"/>
                <w:tag w:val="VAL-803-c3-Pass"/>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3 c3 Fail"/>
                <w:tag w:val="VAL-803-c3-Fail"/>
                <w:id w:val="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3 c4 No"/>
                <w:tag w:val="VAL-803-c4-No"/>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4 Yes"/>
                <w:tag w:val="VAL-803-c4-Yes"/>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3 c5-issue No"/>
                <w:tag w:val="VAL-803-c5-issue-No"/>
                <w:id w:val="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issue Yes"/>
                <w:tag w:val="VAL-803-c5-issue-Yes"/>
                <w:id w:val="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3 c5-leak No"/>
                <w:tag w:val="VAL-803-c5-leak-No"/>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3 c5-leak Yes"/>
                <w:tag w:val="VAL-803-c5-leak-Yes"/>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3-c5-comment"/>
              <w:id w:val="1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Easy"/>
                <w:tag w:val="VAL-803-c6-Easy"/>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3 c6 Moderate"/>
                <w:tag w:val="VAL-803-c6-Moderate"/>
                <w:id w:val="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3 c6 Hard"/>
                <w:tag w:val="VAL-803-c6-Hard"/>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3 c6 Inappropriate or outlier"/>
                <w:tag w:val="VAL-803-c6-Inappropriate or outlier"/>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3 overall Accept"/>
                <w:tag w:val="VAL-803-overall-Accept"/>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3 overall Revise"/>
                <w:tag w:val="VAL-803-overall-Revise"/>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3 overall Exclude"/>
                <w:tag w:val="VAL-803-overall-Exclude"/>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3-overall-comment"/>
              <w:id w:val="1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3-reviewer"/>
          <w:id w:val="170"/>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3-date"/>
          <w:id w:val="171"/>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Several issues – delirium diagnosis is unclear (delirium due to known physiologic condition), cause is not revealed during the hospital course. Medication list is fine but no changes that need to be made at discharge. Her creatinine changes so this might be considered clinically relevant or why the patient receives only 7 days of lisinopril.</w:t>
            </w:r>
          </w:p>
        </w:tc>
      </w:tr>
    </w:tbl>
    <w:p>
      <w:pPr>
        <w:spacing w:after="40"/>
      </w:pPr>
    </w:p>
    <w:p>
      <w:pPr>
        <w:spacing w:after="120"/>
      </w:pPr>
      <w:r>
        <w:rPr>
          <w:rFonts w:ascii="Calibri" w:hAnsi="Calibri" w:cs="Calibri"/>
          <w:b w:val="0"/>
          <w:sz w:val="22"/>
        </w:rPr>
        <w:t>C2 question: Does the clinical case actually contain the intended medication-reconciliation or transition-of-care problem described above, and does it match the intended category?</w:t>
      </w:r>
    </w:p>
    <w:p>
      <w:pPr>
        <w:spacing w:after="120"/>
      </w:pPr>
      <w:r>
        <w:rPr>
          <w:rFonts w:ascii="Calibri" w:hAnsi="Calibri" w:cs="Calibri"/>
          <w:b w:val="0"/>
          <w:sz w:val="22"/>
        </w:rPr>
        <w:t>C2: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C3 question: Could an internal-medicine resident identify and resolve the intended problem using only the clinical information provided in the patient-facing case?</w:t>
      </w:r>
    </w:p>
    <w:p>
      <w:pPr>
        <w:spacing w:after="120"/>
      </w:pPr>
      <w:r>
        <w:rPr>
          <w:rFonts w:ascii="Calibri" w:hAnsi="Calibri" w:cs="Calibri"/>
          <w:b w:val="0"/>
          <w:sz w:val="22"/>
        </w:rPr>
        <w:t>C3: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C4 question: Apart from the intended assessment problem, does the case contain another clinically meaningful medication-reconciliation or transition-of-care problem that a reasonable resident could interpret as an alternative target?</w:t>
      </w:r>
    </w:p>
    <w:p>
      <w:pPr>
        <w:spacing w:after="120"/>
      </w:pPr>
      <w:r>
        <w:rPr>
          <w:rFonts w:ascii="Calibri" w:hAnsi="Calibri" w:cs="Calibri"/>
          <w:b w:val="0"/>
          <w:sz w:val="22"/>
        </w:rPr>
        <w:t>C4: Not completed in Round 1</w:t>
      </w:r>
    </w:p>
    <w:p>
      <w:pPr>
        <w:spacing w:after="120"/>
      </w:pPr>
      <w:r>
        <w:rPr>
          <w:rFonts w:ascii="Calibri" w:hAnsi="Calibri" w:cs="Calibri"/>
          <w:b w:val="0"/>
          <w:sz w:val="22"/>
        </w:rPr>
        <w:t>C4 issue: Not completed in Round 1</w:t>
      </w:r>
    </w:p>
    <w:p>
      <w:pPr>
        <w:spacing w:after="120"/>
      </w:pPr>
      <w:r>
        <w:rPr>
          <w:rFonts w:ascii="Calibri" w:hAnsi="Calibri" w:cs="Calibri"/>
          <w:b w:val="0"/>
          <w:sz w:val="22"/>
        </w:rPr>
        <w:t>C4 location: Not completed in Round 1</w:t>
      </w:r>
    </w:p>
    <w:p>
      <w:pPr>
        <w:spacing w:after="120"/>
      </w:pPr>
      <w:r>
        <w:rPr>
          <w:rFonts w:ascii="Calibri" w:hAnsi="Calibri" w:cs="Calibri"/>
          <w:b w:val="0"/>
          <w:sz w:val="22"/>
        </w:rPr>
        <w:t>C4 clinical meaning: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C5: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Overall recommendation: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Reviewer: Not completed in Round 1. Date: Not completed in Round 1.</w:t>
      </w:r>
    </w:p>
    <w:p>
      <w:pPr>
        <w:keepNext/>
        <w:pageBreakBefore/>
      </w:pPr>
      <w:r>
        <w:rPr>
          <w:rFonts w:ascii="Calibri" w:hAnsi="Calibri" w:cs="Calibri"/>
          <w:b/>
          <w:color w:val="1F3A5F"/>
          <w:sz w:val="28"/>
        </w:rPr>
        <w:t>ROUND 2 RESPONSE TO ROUND 1 REVIEW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1296"/>
            <w:shd w:val="clear" w:color="auto" w:fill="D9E2F3"/>
          </w:tcPr>
          <w:p>
            <w:pPr>
              <w:spacing w:after="20" w:before="20"/>
            </w:pPr>
            <w:r>
              <w:rPr>
                <w:rFonts w:ascii="Calibri" w:hAnsi="Calibri" w:cs="Calibri"/>
                <w:b/>
                <w:sz w:val="20"/>
              </w:rPr>
              <w:t>#</w:t>
            </w:r>
          </w:p>
        </w:tc>
        <w:tc>
          <w:tcPr>
            <w:tcW w:type="dxa" w:w="2016"/>
            <w:shd w:val="clear" w:color="auto" w:fill="D9E2F3"/>
          </w:tcPr>
          <w:p>
            <w:pPr>
              <w:spacing w:after="20" w:before="20"/>
            </w:pPr>
            <w:r>
              <w:rPr>
                <w:rFonts w:ascii="Calibri" w:hAnsi="Calibri" w:cs="Calibri"/>
                <w:b/>
                <w:sz w:val="20"/>
              </w:rPr>
              <w:t>Reviewer comment / concern</w:t>
            </w:r>
          </w:p>
        </w:tc>
        <w:tc>
          <w:tcPr>
            <w:tcW w:type="dxa" w:w="2304"/>
            <w:shd w:val="clear" w:color="auto" w:fill="D9E2F3"/>
          </w:tcPr>
          <w:p>
            <w:pPr>
              <w:spacing w:after="20" w:before="20"/>
            </w:pPr>
            <w:r>
              <w:rPr>
                <w:rFonts w:ascii="Calibri" w:hAnsi="Calibri" w:cs="Calibri"/>
                <w:b/>
                <w:sz w:val="20"/>
              </w:rPr>
              <w:t>Author response</w:t>
            </w:r>
          </w:p>
        </w:tc>
        <w:tc>
          <w:tcPr>
            <w:tcW w:type="dxa" w:w="2016"/>
            <w:shd w:val="clear" w:color="auto" w:fill="D9E2F3"/>
          </w:tcPr>
          <w:p>
            <w:pPr>
              <w:spacing w:after="20" w:before="20"/>
            </w:pPr>
            <w:r>
              <w:rPr>
                <w:rFonts w:ascii="Calibri" w:hAnsi="Calibri" w:cs="Calibri"/>
                <w:b/>
                <w:sz w:val="20"/>
              </w:rPr>
              <w:t>Revision made</w:t>
            </w:r>
          </w:p>
        </w:tc>
        <w:tc>
          <w:tcPr>
            <w:tcW w:type="dxa" w:w="2160"/>
            <w:shd w:val="clear" w:color="auto" w:fill="D9E2F3"/>
          </w:tcPr>
          <w:p>
            <w:pPr>
              <w:spacing w:after="20" w:before="20"/>
            </w:pPr>
            <w:r>
              <w:rPr>
                <w:rFonts w:ascii="Calibri" w:hAnsi="Calibri" w:cs="Calibri"/>
                <w:b/>
                <w:sz w:val="20"/>
              </w:rPr>
              <w:t>Evidence / justification</w:t>
            </w:r>
          </w:p>
        </w:tc>
      </w:tr>
      <w:tr>
        <w:trPr>
          <w:cantSplit/>
        </w:trPr>
        <w:tc>
          <w:tcPr>
            <w:tcW w:type="dxa" w:w="1296"/>
            <w:vAlign w:val="top"/>
          </w:tcPr>
          <w:p>
            <w:pPr>
              <w:spacing w:after="20" w:before="20"/>
            </w:pPr>
            <w:r>
              <w:rPr>
                <w:rFonts w:ascii="Calibri" w:hAnsi="Calibri" w:cs="Calibri"/>
                <w:b w:val="0"/>
                <w:sz w:val="20"/>
              </w:rPr>
              <w:t>VAL-803-R1</w:t>
            </w:r>
          </w:p>
        </w:tc>
        <w:tc>
          <w:tcPr>
            <w:tcW w:type="dxa" w:w="2016"/>
            <w:vAlign w:val="top"/>
          </w:tcPr>
          <w:p>
            <w:pPr>
              <w:spacing w:after="20" w:before="20"/>
            </w:pPr>
            <w:r>
              <w:rPr>
                <w:rFonts w:ascii="Calibri" w:hAnsi="Calibri" w:cs="Calibri"/>
                <w:b w:val="0"/>
                <w:sz w:val="20"/>
              </w:rPr>
              <w:t>Delirium diagnosis is unclear and the cause is not revealed during the hospital course.</w:t>
            </w:r>
          </w:p>
        </w:tc>
        <w:tc>
          <w:tcPr>
            <w:tcW w:type="dxa" w:w="2304"/>
            <w:vAlign w:val="top"/>
          </w:tcPr>
          <w:p>
            <w:pPr>
              <w:spacing w:after="20" w:before="20"/>
            </w:pPr>
            <w:r>
              <w:rPr>
                <w:rFonts w:ascii="Calibri" w:hAnsi="Calibri" w:cs="Calibri"/>
                <w:b w:val="0"/>
                <w:sz w:val="20"/>
              </w:rPr>
              <w:t>We agree the completed C1 comment identifies a missing precipitant. C2 through the overall recommendation were not completed, and we did not infer them. We did not add a sodium series or a thiazide-toxicity story, because sodium is not in the preserved laboratories. The revision states that no precipitant is documented. The existing sentence that cognition returned to baseline is unchanged.</w:t>
            </w:r>
          </w:p>
        </w:tc>
        <w:tc>
          <w:tcPr>
            <w:tcW w:type="dxa" w:w="2016"/>
            <w:vAlign w:val="top"/>
          </w:tcPr>
          <w:p>
            <w:pPr>
              <w:spacing w:after="20" w:before="20"/>
            </w:pPr>
            <w:r>
              <w:rPr>
                <w:rFonts w:ascii="Calibri" w:hAnsi="Calibri" w:cs="Calibri"/>
                <w:b w:val="0"/>
                <w:sz w:val="20"/>
              </w:rPr>
              <w:t>One sentence added: the chart does not name a precipitant. No new laboratory.</w:t>
            </w:r>
          </w:p>
        </w:tc>
        <w:tc>
          <w:tcPr>
            <w:tcW w:type="dxa" w:w="2160"/>
            <w:vAlign w:val="top"/>
          </w:tcPr>
          <w:p>
            <w:pPr>
              <w:spacing w:after="20" w:before="20"/>
            </w:pPr>
            <w:r>
              <w:rPr>
                <w:rFonts w:ascii="Calibri" w:hAnsi="Calibri" w:cs="Calibri"/>
                <w:b w:val="0"/>
                <w:sz w:val="20"/>
              </w:rPr>
              <w:t>CASE_SOURCE CaseLab has glucose, creatinine, and potassium only.</w:t>
            </w:r>
          </w:p>
        </w:tc>
      </w:tr>
      <w:tr>
        <w:trPr>
          <w:cantSplit/>
        </w:trPr>
        <w:tc>
          <w:tcPr>
            <w:tcW w:type="dxa" w:w="1296"/>
            <w:vAlign w:val="top"/>
          </w:tcPr>
          <w:p>
            <w:pPr>
              <w:spacing w:after="20" w:before="20"/>
            </w:pPr>
            <w:r>
              <w:rPr>
                <w:rFonts w:ascii="Calibri" w:hAnsi="Calibri" w:cs="Calibri"/>
                <w:b w:val="0"/>
                <w:sz w:val="20"/>
              </w:rPr>
              <w:t>VAL-803-R2</w:t>
            </w:r>
          </w:p>
        </w:tc>
        <w:tc>
          <w:tcPr>
            <w:tcW w:type="dxa" w:w="2016"/>
            <w:vAlign w:val="top"/>
          </w:tcPr>
          <w:p>
            <w:pPr>
              <w:spacing w:after="20" w:before="20"/>
            </w:pPr>
            <w:r>
              <w:rPr>
                <w:rFonts w:ascii="Calibri" w:hAnsi="Calibri" w:cs="Calibri"/>
                <w:b w:val="0"/>
                <w:sz w:val="20"/>
              </w:rPr>
              <w:t>Her creatinine changes so this might be considered clinically relevant or why the patient receives only 7 days of lisinopril.</w:t>
            </w:r>
          </w:p>
        </w:tc>
        <w:tc>
          <w:tcPr>
            <w:tcW w:type="dxa" w:w="2304"/>
            <w:vAlign w:val="top"/>
          </w:tcPr>
          <w:p>
            <w:pPr>
              <w:spacing w:after="20" w:before="20"/>
            </w:pPr>
            <w:r>
              <w:rPr>
                <w:rFonts w:ascii="Calibri" w:hAnsi="Calibri" w:cs="Calibri"/>
                <w:b w:val="0"/>
                <w:sz w:val="20"/>
              </w:rPr>
              <w:t>The 7-day supply is the historical injected discrepancy. The preserved clean reference already records lisinopril for 30 days, with creatinine 1.0 mg/dL then 1.2 mg/dL. We did not shorten that supply and did not treat the creatinine change as a reason to stop lisinopril.</w:t>
            </w:r>
          </w:p>
        </w:tc>
        <w:tc>
          <w:tcPr>
            <w:tcW w:type="dxa" w:w="2016"/>
            <w:vAlign w:val="top"/>
          </w:tcPr>
          <w:p>
            <w:pPr>
              <w:spacing w:after="20" w:before="20"/>
            </w:pPr>
            <w:r>
              <w:rPr>
                <w:rFonts w:ascii="Calibri" w:hAnsi="Calibri" w:cs="Calibri"/>
                <w:b w:val="0"/>
                <w:sz w:val="20"/>
              </w:rPr>
              <w:t>No medication change. The v2 case keeps the clean 30-day lisinopril duration.</w:t>
            </w:r>
          </w:p>
        </w:tc>
        <w:tc>
          <w:tcPr>
            <w:tcW w:type="dxa" w:w="2160"/>
            <w:vAlign w:val="top"/>
          </w:tcPr>
          <w:p>
            <w:pPr>
              <w:spacing w:after="20" w:before="20"/>
            </w:pPr>
            <w:r>
              <w:rPr>
                <w:rFonts w:ascii="Calibri" w:hAnsi="Calibri" w:cs="Calibri"/>
                <w:b w:val="0"/>
                <w:sz w:val="20"/>
              </w:rPr>
              <w:t>CASE_SOURCE evaluator duration 30 days, not the historical 7-day injected value.</w:t>
            </w:r>
          </w:p>
        </w:tc>
      </w:tr>
    </w:tbl>
    <w:p>
      <w:pPr>
        <w:spacing w:after="40"/>
      </w:pPr>
    </w:p>
    <w:p>
      <w:pPr>
        <w:pStyle w:val="Heading3"/>
      </w:pPr>
      <w:r>
        <w:rPr>
          <w:rFonts w:ascii="Calibri" w:hAnsi="Calibri"/>
          <w:color w:val="1F3A5F"/>
        </w:rPr>
        <w:t>Evidence for changes</w:t>
      </w:r>
    </w:p>
    <w:p>
      <w:pPr>
        <w:keepNext/>
        <w:pageBreakBefore/>
      </w:pPr>
      <w:r>
        <w:rPr>
          <w:rFonts w:ascii="Calibri" w:hAnsi="Calibri" w:cs="Calibri"/>
          <w:b/>
          <w:color w:val="1F3A5F"/>
          <w:sz w:val="32"/>
        </w:rPr>
        <w:t>CASE VAL-805</w:t>
      </w:r>
    </w:p>
    <w:p>
      <w:pPr>
        <w:spacing w:after="120"/>
      </w:pPr>
      <w:r>
        <w:rPr>
          <w:rFonts w:ascii="Calibri" w:hAnsi="Calibri" w:cs="Calibri"/>
          <w:b w:val="0"/>
          <w:sz w:val="22"/>
        </w:rPr>
        <w:t>Round 2 revised case, version 2</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68</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systolic (congestive) heart failure</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68-year-old Female with Acute systolic (congestive) heart failure</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68-year-old Female is admitted with acute systolic heart failure. Dyspnea, edema, and orthopnea have been present for one week and are described as improving after treatment. Home medicines are oral furosemide 40 mg once daily, atorvastatin, and metoprolol succinate 25 mg once daily. The inpatient furosemide row is the same oral dose. Discharge weight is 78 kg and the documented dry weight is 73 kg.</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acute systolic heart failure. Symptoms are dyspnea, edema, and orthopnea for one week. Home and inpatient furosemide are both oral 40 mg once daily in the recorded medication list.</w:t>
      </w:r>
    </w:p>
    <w:p>
      <w:pPr>
        <w:pStyle w:val="Heading2"/>
      </w:pPr>
      <w:r>
        <w:rPr>
          <w:rFonts w:ascii="Calibri" w:hAnsi="Calibri"/>
          <w:color w:val="1F3A5F"/>
        </w:rPr>
        <w:t>Hospital course</w:t>
      </w:r>
    </w:p>
    <w:p>
      <w:pPr>
        <w:spacing w:after="120"/>
      </w:pPr>
      <w:r>
        <w:rPr>
          <w:rFonts w:ascii="Calibri" w:hAnsi="Calibri" w:cs="Calibri"/>
          <w:b w:val="0"/>
          <w:sz w:val="22"/>
        </w:rPr>
        <w:t>Congestion was treated with inpatient diuresis. Recorded weight is 81 kg on admission and 78 kg at discharge, with dry weight 73 kg. One intake-and-output day is recorded, hospital day 3, net -1045 mL. Inpatient furosemide is oral 40 mg once daily, the same dose and route recorded at home. Chest radiograph shows pulmonary edema without pneumonia. A cardiology consultation is recorded. No ejection fraction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systolic (congestive) heart failure</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109/82</w:t>
            </w:r>
          </w:p>
        </w:tc>
        <w:tc>
          <w:tcPr>
            <w:tcW w:type="dxa" w:w="1440"/>
            <w:vAlign w:val="top"/>
          </w:tcPr>
          <w:p>
            <w:pPr>
              <w:spacing w:after="20" w:before="20"/>
            </w:pPr>
            <w:r>
              <w:rPr>
                <w:rFonts w:ascii="Calibri" w:hAnsi="Calibri" w:cs="Calibri"/>
                <w:b w:val="0"/>
                <w:sz w:val="20"/>
              </w:rPr>
              <w:t>93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92.00 %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110/84</w:t>
            </w:r>
          </w:p>
        </w:tc>
        <w:tc>
          <w:tcPr>
            <w:tcW w:type="dxa" w:w="1440"/>
            <w:vAlign w:val="top"/>
          </w:tcPr>
          <w:p>
            <w:pPr>
              <w:spacing w:after="20" w:before="20"/>
            </w:pPr>
            <w:r>
              <w:rPr>
                <w:rFonts w:ascii="Calibri" w:hAnsi="Calibri" w:cs="Calibri"/>
                <w:b w:val="0"/>
                <w:sz w:val="20"/>
              </w:rPr>
              <w:t>69</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1.7</w:t>
            </w:r>
          </w:p>
        </w:tc>
        <w:tc>
          <w:tcPr>
            <w:tcW w:type="dxa" w:w="2448"/>
            <w:vAlign w:val="top"/>
          </w:tcPr>
          <w:p>
            <w:pPr>
              <w:spacing w:after="20" w:before="20"/>
            </w:pPr>
            <w:r>
              <w:rPr>
                <w:rFonts w:ascii="Calibri" w:hAnsi="Calibri" w:cs="Calibri"/>
                <w:b w:val="0"/>
                <w:sz w:val="20"/>
              </w:rPr>
              <w:t>0.9</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4.3</w:t>
            </w:r>
          </w:p>
        </w:tc>
        <w:tc>
          <w:tcPr>
            <w:tcW w:type="dxa" w:w="1152"/>
            <w:vAlign w:val="top"/>
          </w:tcPr>
          <w:p>
            <w:pPr>
              <w:spacing w:after="20" w:before="20"/>
            </w:pPr>
            <w:r>
              <w:rPr>
                <w:rFonts w:ascii="Calibri" w:hAnsi="Calibri" w:cs="Calibri"/>
                <w:b w:val="0"/>
                <w:sz w:val="20"/>
              </w:rPr>
              <w:t>mmol/L</w:t>
            </w:r>
          </w:p>
        </w:tc>
      </w:tr>
      <w:tr>
        <w:trPr>
          <w:cantSplit/>
        </w:trPr>
        <w:tc>
          <w:tcPr>
            <w:tcW w:type="dxa" w:w="3744"/>
            <w:vAlign w:val="top"/>
          </w:tcPr>
          <w:p>
            <w:pPr>
              <w:spacing w:after="20" w:before="20"/>
            </w:pPr>
            <w:r>
              <w:rPr>
                <w:rFonts w:ascii="Calibri" w:hAnsi="Calibri" w:cs="Calibri"/>
                <w:b w:val="0"/>
                <w:sz w:val="20"/>
              </w:rPr>
              <w:t>Natriuretic peptide B [Mass/volume] in Serum or Plasma</w:t>
            </w:r>
          </w:p>
        </w:tc>
        <w:tc>
          <w:tcPr>
            <w:tcW w:type="dxa" w:w="2448"/>
            <w:vAlign w:val="top"/>
          </w:tcPr>
          <w:p>
            <w:pPr>
              <w:spacing w:after="20" w:before="20"/>
            </w:pPr>
            <w:r>
              <w:rPr>
                <w:rFonts w:ascii="Calibri" w:hAnsi="Calibri" w:cs="Calibri"/>
                <w:b w:val="0"/>
                <w:sz w:val="20"/>
              </w:rPr>
              <w:t>1120.0</w:t>
            </w:r>
          </w:p>
        </w:tc>
        <w:tc>
          <w:tcPr>
            <w:tcW w:type="dxa" w:w="2448"/>
            <w:vAlign w:val="top"/>
          </w:tcPr>
          <w:p>
            <w:pPr>
              <w:spacing w:after="20" w:before="20"/>
            </w:pPr>
            <w:r>
              <w:rPr>
                <w:rFonts w:ascii="Calibri" w:hAnsi="Calibri" w:cs="Calibri"/>
                <w:b w:val="0"/>
                <w:sz w:val="20"/>
              </w:rPr>
              <w:t>369.0</w:t>
            </w:r>
          </w:p>
        </w:tc>
        <w:tc>
          <w:tcPr>
            <w:tcW w:type="dxa" w:w="1152"/>
            <w:vAlign w:val="top"/>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81.000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78.000</w:t>
            </w:r>
          </w:p>
        </w:tc>
        <w:tc>
          <w:tcPr>
            <w:tcW w:type="dxa" w:w="3312"/>
            <w:vAlign w:val="top"/>
          </w:tcPr>
          <w:p>
            <w:pPr>
              <w:spacing w:after="20" w:before="20"/>
            </w:pPr>
            <w:r>
              <w:rPr>
                <w:rFonts w:ascii="Calibri" w:hAnsi="Calibri" w:cs="Calibri"/>
                <w:b w:val="0"/>
                <w:sz w:val="20"/>
              </w:rPr>
              <w:t>73.000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3</w:t>
            </w:r>
          </w:p>
        </w:tc>
        <w:tc>
          <w:tcPr>
            <w:tcW w:type="dxa" w:w="2448"/>
            <w:vAlign w:val="top"/>
          </w:tcPr>
          <w:p>
            <w:pPr>
              <w:spacing w:after="20" w:before="20"/>
            </w:pPr>
            <w:r>
              <w:rPr>
                <w:rFonts w:ascii="Calibri" w:hAnsi="Calibri" w:cs="Calibri"/>
                <w:b w:val="0"/>
                <w:sz w:val="20"/>
              </w:rPr>
              <w:t>1418</w:t>
            </w:r>
          </w:p>
        </w:tc>
        <w:tc>
          <w:tcPr>
            <w:tcW w:type="dxa" w:w="2448"/>
            <w:vAlign w:val="top"/>
          </w:tcPr>
          <w:p>
            <w:pPr>
              <w:spacing w:after="20" w:before="20"/>
            </w:pPr>
            <w:r>
              <w:rPr>
                <w:rFonts w:ascii="Calibri" w:hAnsi="Calibri" w:cs="Calibri"/>
                <w:b w:val="0"/>
                <w:sz w:val="20"/>
              </w:rPr>
              <w:t>2463</w:t>
            </w:r>
          </w:p>
        </w:tc>
        <w:tc>
          <w:tcPr>
            <w:tcW w:type="dxa" w:w="2448"/>
            <w:vAlign w:val="top"/>
          </w:tcPr>
          <w:p>
            <w:pPr>
              <w:spacing w:after="20" w:before="20"/>
            </w:pPr>
            <w:r>
              <w:rPr>
                <w:rFonts w:ascii="Calibri" w:hAnsi="Calibri" w:cs="Calibri"/>
                <w:b w:val="0"/>
                <w:sz w:val="20"/>
              </w:rPr>
              <w:t>-1045</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24 HR metoprolol succinate 25 MG Extended Release Oral Tablet</w:t>
            </w:r>
          </w:p>
        </w:tc>
        <w:tc>
          <w:tcPr>
            <w:tcW w:type="dxa" w:w="1296"/>
            <w:vAlign w:val="top"/>
          </w:tcPr>
          <w:p>
            <w:pPr>
              <w:spacing w:after="20" w:before="20"/>
            </w:pPr>
            <w:r>
              <w:rPr>
                <w:rFonts w:ascii="Calibri" w:hAnsi="Calibri" w:cs="Calibri"/>
                <w:b w:val="0"/>
                <w:sz w:val="20"/>
              </w:rPr>
              <w:t>25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furosemide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Chest radiograph</w:t>
            </w:r>
          </w:p>
        </w:tc>
        <w:tc>
          <w:tcPr>
            <w:tcW w:type="dxa" w:w="3264"/>
            <w:vAlign w:val="top"/>
          </w:tcPr>
          <w:p>
            <w:pPr>
              <w:spacing w:after="20" w:before="20"/>
            </w:pPr>
            <w:r>
              <w:rPr>
                <w:rFonts w:ascii="Calibri" w:hAnsi="Calibri" w:cs="Calibri"/>
                <w:b w:val="0"/>
                <w:sz w:val="20"/>
              </w:rPr>
              <w:t>admission</w:t>
            </w:r>
          </w:p>
        </w:tc>
        <w:tc>
          <w:tcPr>
            <w:tcW w:type="dxa" w:w="3264"/>
            <w:vAlign w:val="top"/>
          </w:tcPr>
          <w:p>
            <w:pPr>
              <w:spacing w:after="20" w:before="20"/>
            </w:pPr>
            <w:r>
              <w:rPr>
                <w:rFonts w:ascii="Calibri" w:hAnsi="Calibri" w:cs="Calibri"/>
                <w:b w:val="0"/>
                <w:sz w:val="20"/>
              </w:rPr>
              <w:t>Pulmonary edema without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cardiology</w:t>
            </w:r>
          </w:p>
        </w:tc>
        <w:tc>
          <w:tcPr>
            <w:tcW w:type="dxa" w:w="3264"/>
            <w:vAlign w:val="top"/>
          </w:tcPr>
          <w:p>
            <w:pPr>
              <w:spacing w:after="20" w:before="20"/>
            </w:pPr>
            <w:r>
              <w:rPr>
                <w:rFonts w:ascii="Calibri" w:hAnsi="Calibri" w:cs="Calibri"/>
                <w:b w:val="0"/>
                <w:sz w:val="20"/>
              </w:rPr>
              <w:t>Inpatient cardiology recommendations were recorded.</w:t>
            </w:r>
          </w:p>
        </w:tc>
        <w:tc>
          <w:tcPr>
            <w:tcW w:type="dxa" w:w="3264"/>
            <w:vAlign w:val="top"/>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Heart-failure clinic after diuresis</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5 C1 Presentation and demographics 1"/>
                <w:tag w:val="VAL-805-c1-Presentation and demographics-1"/>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2"/>
                <w:tag w:val="VAL-805-c1-Presentation and demographics-2"/>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3"/>
                <w:tag w:val="VAL-805-c1-Presentation and demographics-3"/>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Presentation and demographics 4"/>
                <w:tag w:val="VAL-805-c1-Presentation and demographics-4"/>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1"/>
                <w:tag w:val="VAL-805-c1-Fit between presentation and diagnosis-1"/>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2"/>
                <w:tag w:val="VAL-805-c1-Fit between presentation and diagnosis-2"/>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3"/>
                <w:tag w:val="VAL-805-c1-Fit between presentation and diagnosis-3"/>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Fit between presentation and diagnosis 4"/>
                <w:tag w:val="VAL-805-c1-Fit between presentation and diagnosis-4"/>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5 C1 Vital signs 1"/>
                <w:tag w:val="VAL-805-c1-Vital signs-1"/>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2"/>
                <w:tag w:val="VAL-805-c1-Vital signs-2"/>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3"/>
                <w:tag w:val="VAL-805-c1-Vital signs-3"/>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Vital signs 4"/>
                <w:tag w:val="VAL-805-c1-Vital signs-4"/>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5 C1 Laboratory findings 1"/>
                <w:tag w:val="VAL-805-c1-Laboratory findings-1"/>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2"/>
                <w:tag w:val="VAL-805-c1-Laboratory findings-2"/>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3"/>
                <w:tag w:val="VAL-805-c1-Laboratory findings-3"/>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Laboratory findings 4"/>
                <w:tag w:val="VAL-805-c1-Laboratory findings-4"/>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5 C1 Medication regimen 1"/>
                <w:tag w:val="VAL-805-c1-Medication regimen-1"/>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2"/>
                <w:tag w:val="VAL-805-c1-Medication regimen-2"/>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3"/>
                <w:tag w:val="VAL-805-c1-Medication regimen-3"/>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Medication regimen 4"/>
                <w:tag w:val="VAL-805-c1-Medication regimen-4"/>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5 C1 Hospital course 1"/>
                <w:tag w:val="VAL-805-c1-Hospital course-1"/>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2"/>
                <w:tag w:val="VAL-805-c1-Hospital course-2"/>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3"/>
                <w:tag w:val="VAL-805-c1-Hospital course-3"/>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Hospital course 4"/>
                <w:tag w:val="VAL-805-c1-Hospital course-4"/>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5 C1 Chart consistency 1"/>
                <w:tag w:val="VAL-805-c1-Chart consistency-1"/>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2"/>
                <w:tag w:val="VAL-805-c1-Chart consistency-2"/>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3"/>
                <w:tag w:val="VAL-805-c1-Chart consistency-3"/>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Chart consistency 4"/>
                <w:tag w:val="VAL-805-c1-Chart consistency-4"/>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5 C1 Discharge context and follow-up 1"/>
                <w:tag w:val="VAL-805-c1-Discharge context and follow-up-1"/>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2"/>
                <w:tag w:val="VAL-805-c1-Discharge context and follow-up-2"/>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3"/>
                <w:tag w:val="VAL-805-c1-Discharge context and follow-up-3"/>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5 C1 Discharge context and follow-up 4"/>
                <w:tag w:val="VAL-805-c1-Discharge context and follow-up-4"/>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5 c1-overall Pass"/>
                <w:tag w:val="VAL-805-c1-overall-Pass"/>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1-overall Fail"/>
                <w:tag w:val="VAL-805-c1-overall-Fail"/>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5-c1-comment"/>
              <w:id w:val="2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5 c2 Pass"/>
                <w:tag w:val="VAL-805-c2-Pass"/>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2 Fail"/>
                <w:tag w:val="VAL-805-c2-Fail"/>
                <w:id w:val="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5-c2-comment"/>
              <w:id w:val="2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24 HR metoprolol succinate 25 MG Extended Release Oral Tablet</w:t>
            </w:r>
          </w:p>
        </w:tc>
        <w:tc>
          <w:tcPr>
            <w:tcW w:type="dxa" w:w="1152"/>
            <w:vAlign w:val="top"/>
          </w:tcPr>
          <w:p>
            <w:pPr>
              <w:spacing w:after="20" w:before="20"/>
            </w:pPr>
            <w:r>
              <w:rPr>
                <w:rFonts w:ascii="Calibri" w:hAnsi="Calibri" w:cs="Calibri"/>
                <w:b w:val="0"/>
                <w:sz w:val="20"/>
              </w:rPr>
              <w:t>25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furosemide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systolic (congestive) heart failure</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Additional HFrEF therapy (ACE inhibitor, ARB, SGLT2 inhibitor, or MRA)</w:t>
            </w:r>
          </w:p>
        </w:tc>
        <w:tc>
          <w:tcPr>
            <w:tcW w:type="dxa" w:w="2016"/>
            <w:vAlign w:val="top"/>
          </w:tcPr>
          <w:p>
            <w:pPr>
              <w:spacing w:after="20" w:before="20"/>
            </w:pPr>
            <w:r>
              <w:rPr>
                <w:rFonts w:ascii="Calibri" w:hAnsi="Calibri" w:cs="Calibri"/>
                <w:b w:val="0"/>
                <w:sz w:val="20"/>
              </w:rPr>
              <w:t>start</w:t>
            </w:r>
          </w:p>
        </w:tc>
        <w:tc>
          <w:tcPr>
            <w:tcW w:type="dxa" w:w="4608"/>
            <w:vAlign w:val="top"/>
          </w:tcPr>
          <w:p>
            <w:pPr>
              <w:spacing w:after="20" w:before="20"/>
            </w:pPr>
            <w:r>
              <w:rPr>
                <w:rFonts w:ascii="Calibri" w:hAnsi="Calibri" w:cs="Calibri"/>
                <w:b w:val="0"/>
                <w:sz w:val="20"/>
              </w:rPr>
              <w:t>An additional class is acceptable and is not required. No ejection fraction is recorded, and the reference does not add a drug that is absent from the chart.</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Which additional HFrEF therapies should be required versus acceptable alternatives, given ejection fraction 30 percent, discharge systolic pressure 110 mmHg, creatinine 0.9 mg/dL, and potassium 4.3 mmol/L?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05-adjudication"/>
              <w:id w:val="2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5 c3 Pass"/>
                <w:tag w:val="VAL-805-c3-Pass"/>
                <w:id w:val="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5 c3 Fail"/>
                <w:tag w:val="VAL-805-c3-Fail"/>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5 c4 No"/>
                <w:tag w:val="VAL-805-c4-No"/>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4 Yes"/>
                <w:tag w:val="VAL-805-c4-Yes"/>
                <w:id w:val="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5 c5-issue No"/>
                <w:tag w:val="VAL-805-c5-issue-No"/>
                <w:id w:val="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issue Yes"/>
                <w:tag w:val="VAL-805-c5-issue-Yes"/>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5 c5-leak No"/>
                <w:tag w:val="VAL-805-c5-leak-No"/>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5 c5-leak Yes"/>
                <w:tag w:val="VAL-805-c5-leak-Yes"/>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5-c5-comment"/>
              <w:id w:val="21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Easy"/>
                <w:tag w:val="VAL-805-c6-Easy"/>
                <w:id w:val="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5 c6 Moderate"/>
                <w:tag w:val="VAL-805-c6-Moderate"/>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5 c6 Hard"/>
                <w:tag w:val="VAL-805-c6-Hard"/>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5 c6 Inappropriate or outlier"/>
                <w:tag w:val="VAL-805-c6-Inappropriate or outlier"/>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5 overall Accept"/>
                <w:tag w:val="VAL-805-overall-Accept"/>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5 overall Revise"/>
                <w:tag w:val="VAL-805-overall-Revise"/>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5 overall Exclude"/>
                <w:tag w:val="VAL-805-overall-Exclud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5-overall-comment"/>
              <w:id w:val="2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5-reviewer"/>
          <w:id w:val="228"/>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5-date"/>
          <w:id w:val="229"/>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 — source selected more than one score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Clinical presentation was mostly clear and understandable. The vitals and lab trends make sense. The weight should be closer to dry weight at the time of discharge. The medications during hospitalization would not be the same as the home regimen - the lasix would be given IV and increased. Additionally, it would be more realistic to have several days of input and output data, as well as data on what medications the patient received during the hospitalization. It would be helpful to have either notes from cardiology or echocardiogram data and require the trainee to add additional medications to the patient’s regimen or adjust their dose of lasix.</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The discharge weight not being close to the patient’s dry weight is confusing and suggests that the patient is not in fact ready for discharge</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Pass</w:t>
      </w:r>
    </w:p>
    <w:p>
      <w:pPr>
        <w:spacing w:after="120"/>
      </w:pPr>
      <w:r>
        <w:rPr>
          <w:rFonts w:ascii="Calibri" w:hAnsi="Calibri" w:cs="Calibri"/>
          <w:b w:val="0"/>
          <w:sz w:val="22"/>
        </w:rPr>
        <w:t>C4 issue: Not completed in Round 1</w:t>
      </w:r>
    </w:p>
    <w:p>
      <w:pPr>
        <w:spacing w:after="120"/>
      </w:pPr>
      <w:r>
        <w:rPr>
          <w:rFonts w:ascii="Calibri" w:hAnsi="Calibri" w:cs="Calibri"/>
          <w:b w:val="0"/>
          <w:sz w:val="22"/>
        </w:rPr>
        <w:t>C4 location: Not completed in Round 1</w:t>
      </w:r>
    </w:p>
    <w:p>
      <w:pPr>
        <w:spacing w:after="120"/>
      </w:pPr>
      <w:r>
        <w:rPr>
          <w:rFonts w:ascii="Calibri" w:hAnsi="Calibri" w:cs="Calibri"/>
          <w:b w:val="0"/>
          <w:sz w:val="22"/>
        </w:rPr>
        <w:t>C4 clinical meaning: Not completed in Round 1</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C5: Moderate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We need to add further details to the hospital course so there is a greater understanding of what diuresis the patient was receiving during the hospitalization (should not be the same as the patient’s home regimen). The trainee should have to make decisions on additional medications that should be added to the patient’s regimen – i.e. other GDMT such as ACE/ARB, SGLT2i, MRA</w:t>
            </w:r>
          </w:p>
        </w:tc>
      </w:tr>
    </w:tbl>
    <w:p>
      <w:pPr>
        <w:spacing w:after="40"/>
      </w:pPr>
    </w:p>
    <w:p>
      <w:pPr>
        <w:spacing w:after="120"/>
      </w:pPr>
      <w:r>
        <w:rPr>
          <w:rFonts w:ascii="Calibri" w:hAnsi="Calibri" w:cs="Calibri"/>
          <w:b w:val="0"/>
          <w:sz w:val="22"/>
        </w:rPr>
        <w:t>Reviewer: KO. Date: 10/5/2026.</w:t>
      </w:r>
    </w:p>
    <w:p>
      <w:pPr>
        <w:keepNext/>
        <w:pageBreakBefore/>
      </w:pPr>
      <w:r>
        <w:rPr>
          <w:rFonts w:ascii="Calibri" w:hAnsi="Calibri" w:cs="Calibri"/>
          <w:b/>
          <w:color w:val="1F3A5F"/>
          <w:sz w:val="28"/>
        </w:rPr>
        <w:t>ROUND 2 RESPONSE TO ROUND 1 REVIEW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1296"/>
            <w:shd w:val="clear" w:color="auto" w:fill="D9E2F3"/>
          </w:tcPr>
          <w:p>
            <w:pPr>
              <w:spacing w:after="20" w:before="20"/>
            </w:pPr>
            <w:r>
              <w:rPr>
                <w:rFonts w:ascii="Calibri" w:hAnsi="Calibri" w:cs="Calibri"/>
                <w:b/>
                <w:sz w:val="20"/>
              </w:rPr>
              <w:t>#</w:t>
            </w:r>
          </w:p>
        </w:tc>
        <w:tc>
          <w:tcPr>
            <w:tcW w:type="dxa" w:w="2016"/>
            <w:shd w:val="clear" w:color="auto" w:fill="D9E2F3"/>
          </w:tcPr>
          <w:p>
            <w:pPr>
              <w:spacing w:after="20" w:before="20"/>
            </w:pPr>
            <w:r>
              <w:rPr>
                <w:rFonts w:ascii="Calibri" w:hAnsi="Calibri" w:cs="Calibri"/>
                <w:b/>
                <w:sz w:val="20"/>
              </w:rPr>
              <w:t>Reviewer comment / concern</w:t>
            </w:r>
          </w:p>
        </w:tc>
        <w:tc>
          <w:tcPr>
            <w:tcW w:type="dxa" w:w="2304"/>
            <w:shd w:val="clear" w:color="auto" w:fill="D9E2F3"/>
          </w:tcPr>
          <w:p>
            <w:pPr>
              <w:spacing w:after="20" w:before="20"/>
            </w:pPr>
            <w:r>
              <w:rPr>
                <w:rFonts w:ascii="Calibri" w:hAnsi="Calibri" w:cs="Calibri"/>
                <w:b/>
                <w:sz w:val="20"/>
              </w:rPr>
              <w:t>Author response</w:t>
            </w:r>
          </w:p>
        </w:tc>
        <w:tc>
          <w:tcPr>
            <w:tcW w:type="dxa" w:w="2016"/>
            <w:shd w:val="clear" w:color="auto" w:fill="D9E2F3"/>
          </w:tcPr>
          <w:p>
            <w:pPr>
              <w:spacing w:after="20" w:before="20"/>
            </w:pPr>
            <w:r>
              <w:rPr>
                <w:rFonts w:ascii="Calibri" w:hAnsi="Calibri" w:cs="Calibri"/>
                <w:b/>
                <w:sz w:val="20"/>
              </w:rPr>
              <w:t>Revision made</w:t>
            </w:r>
          </w:p>
        </w:tc>
        <w:tc>
          <w:tcPr>
            <w:tcW w:type="dxa" w:w="2160"/>
            <w:shd w:val="clear" w:color="auto" w:fill="D9E2F3"/>
          </w:tcPr>
          <w:p>
            <w:pPr>
              <w:spacing w:after="20" w:before="20"/>
            </w:pPr>
            <w:r>
              <w:rPr>
                <w:rFonts w:ascii="Calibri" w:hAnsi="Calibri" w:cs="Calibri"/>
                <w:b/>
                <w:sz w:val="20"/>
              </w:rPr>
              <w:t>Evidence / justification</w:t>
            </w:r>
          </w:p>
        </w:tc>
      </w:tr>
      <w:tr>
        <w:trPr>
          <w:cantSplit/>
        </w:trPr>
        <w:tc>
          <w:tcPr>
            <w:tcW w:type="dxa" w:w="1296"/>
            <w:vAlign w:val="top"/>
          </w:tcPr>
          <w:p>
            <w:pPr>
              <w:spacing w:after="20" w:before="20"/>
            </w:pPr>
            <w:r>
              <w:rPr>
                <w:rFonts w:ascii="Calibri" w:hAnsi="Calibri" w:cs="Calibri"/>
                <w:b w:val="0"/>
                <w:sz w:val="20"/>
              </w:rPr>
              <w:t>VAL-805-R1</w:t>
            </w:r>
          </w:p>
        </w:tc>
        <w:tc>
          <w:tcPr>
            <w:tcW w:type="dxa" w:w="2016"/>
            <w:vAlign w:val="top"/>
          </w:tcPr>
          <w:p>
            <w:pPr>
              <w:spacing w:after="20" w:before="20"/>
            </w:pPr>
            <w:r>
              <w:rPr>
                <w:rFonts w:ascii="Calibri" w:hAnsi="Calibri" w:cs="Calibri"/>
                <w:b w:val="0"/>
                <w:sz w:val="20"/>
              </w:rPr>
              <w:t>The weight should be closer to dry weight at the time of discharge. The discharge weight not being close to the patient’s dry weight is confusing.</w:t>
            </w:r>
          </w:p>
        </w:tc>
        <w:tc>
          <w:tcPr>
            <w:tcW w:type="dxa" w:w="2304"/>
            <w:vAlign w:val="top"/>
          </w:tcPr>
          <w:p>
            <w:pPr>
              <w:spacing w:after="20" w:before="20"/>
            </w:pPr>
            <w:r>
              <w:rPr>
                <w:rFonts w:ascii="Calibri" w:hAnsi="Calibri" w:cs="Calibri"/>
                <w:b w:val="0"/>
                <w:sz w:val="20"/>
              </w:rPr>
              <w:t>We agree the gap matters. Those weights are the preserved measurements, so we did not replace them with a new series. The revision states 81 kg on admission, 78 kg at discharge, and dry weight 73 kg, so the 5 kg gap remains visible.</w:t>
            </w:r>
          </w:p>
        </w:tc>
        <w:tc>
          <w:tcPr>
            <w:tcW w:type="dxa" w:w="2016"/>
            <w:vAlign w:val="top"/>
          </w:tcPr>
          <w:p>
            <w:pPr>
              <w:spacing w:after="20" w:before="20"/>
            </w:pPr>
            <w:r>
              <w:rPr>
                <w:rFonts w:ascii="Calibri" w:hAnsi="Calibri" w:cs="Calibri"/>
                <w:b w:val="0"/>
                <w:sz w:val="20"/>
              </w:rPr>
              <w:t>Narrative now quotes the recorded weights. Weights themselves are unchanged.</w:t>
            </w:r>
          </w:p>
        </w:tc>
        <w:tc>
          <w:tcPr>
            <w:tcW w:type="dxa" w:w="2160"/>
            <w:vAlign w:val="top"/>
          </w:tcPr>
          <w:p>
            <w:pPr>
              <w:spacing w:after="20" w:before="20"/>
            </w:pPr>
            <w:r>
              <w:rPr>
                <w:rFonts w:ascii="Calibri" w:hAnsi="Calibri" w:cs="Calibri"/>
                <w:b w:val="0"/>
                <w:sz w:val="20"/>
              </w:rPr>
              <w:t>CASE_SOURCE CaseWeight.</w:t>
            </w:r>
          </w:p>
        </w:tc>
      </w:tr>
      <w:tr>
        <w:trPr>
          <w:cantSplit/>
        </w:trPr>
        <w:tc>
          <w:tcPr>
            <w:tcW w:type="dxa" w:w="1296"/>
            <w:vAlign w:val="top"/>
          </w:tcPr>
          <w:p>
            <w:pPr>
              <w:spacing w:after="20" w:before="20"/>
            </w:pPr>
            <w:r>
              <w:rPr>
                <w:rFonts w:ascii="Calibri" w:hAnsi="Calibri" w:cs="Calibri"/>
                <w:b w:val="0"/>
                <w:sz w:val="20"/>
              </w:rPr>
              <w:t>VAL-805-R2</w:t>
            </w:r>
          </w:p>
        </w:tc>
        <w:tc>
          <w:tcPr>
            <w:tcW w:type="dxa" w:w="2016"/>
            <w:vAlign w:val="top"/>
          </w:tcPr>
          <w:p>
            <w:pPr>
              <w:spacing w:after="20" w:before="20"/>
            </w:pPr>
            <w:r>
              <w:rPr>
                <w:rFonts w:ascii="Calibri" w:hAnsi="Calibri" w:cs="Calibri"/>
                <w:b w:val="0"/>
                <w:sz w:val="20"/>
              </w:rPr>
              <w:t>The lasix would be given IV and increased.</w:t>
            </w:r>
          </w:p>
        </w:tc>
        <w:tc>
          <w:tcPr>
            <w:tcW w:type="dxa" w:w="2304"/>
            <w:vAlign w:val="top"/>
          </w:tcPr>
          <w:p>
            <w:pPr>
              <w:spacing w:after="20" w:before="20"/>
            </w:pPr>
            <w:r>
              <w:rPr>
                <w:rFonts w:ascii="Calibri" w:hAnsi="Calibri" w:cs="Calibri"/>
                <w:b w:val="0"/>
                <w:sz w:val="20"/>
              </w:rPr>
              <w:t>We agree that acute decompensated heart failure is often treated with intravenous loop diuretic. The preserved chart records oral furosemide 40 mg once daily at home and in the hospital, and the project case does not contain a different inpatient dose. We did not invent an intravenous dose or a dose increase. The reference continues the recorded oral dose. A different inpatient dose remains for clinician adjudication.</w:t>
            </w:r>
          </w:p>
        </w:tc>
        <w:tc>
          <w:tcPr>
            <w:tcW w:type="dxa" w:w="2016"/>
            <w:vAlign w:val="top"/>
          </w:tcPr>
          <w:p>
            <w:pPr>
              <w:spacing w:after="20" w:before="20"/>
            </w:pPr>
            <w:r>
              <w:rPr>
                <w:rFonts w:ascii="Calibri" w:hAnsi="Calibri" w:cs="Calibri"/>
                <w:b w:val="0"/>
                <w:sz w:val="20"/>
              </w:rPr>
              <w:t>No dose or route change. Narrative states that the recorded inpatient dose matches the home dose.</w:t>
            </w:r>
          </w:p>
        </w:tc>
        <w:tc>
          <w:tcPr>
            <w:tcW w:type="dxa" w:w="2160"/>
            <w:vAlign w:val="top"/>
          </w:tcPr>
          <w:p>
            <w:pPr>
              <w:spacing w:after="20" w:before="20"/>
            </w:pPr>
            <w:r>
              <w:rPr>
                <w:rFonts w:ascii="Calibri" w:hAnsi="Calibri" w:cs="Calibri"/>
                <w:b w:val="0"/>
                <w:sz w:val="20"/>
              </w:rPr>
              <w:t>[E2] supports intravenous loop diuretic in principle. CASE_SOURCE has only oral 40 mg once daily.</w:t>
            </w:r>
          </w:p>
        </w:tc>
      </w:tr>
      <w:tr>
        <w:trPr>
          <w:cantSplit/>
        </w:trPr>
        <w:tc>
          <w:tcPr>
            <w:tcW w:type="dxa" w:w="1296"/>
            <w:vAlign w:val="top"/>
          </w:tcPr>
          <w:p>
            <w:pPr>
              <w:spacing w:after="20" w:before="20"/>
            </w:pPr>
            <w:r>
              <w:rPr>
                <w:rFonts w:ascii="Calibri" w:hAnsi="Calibri" w:cs="Calibri"/>
                <w:b w:val="0"/>
                <w:sz w:val="20"/>
              </w:rPr>
              <w:t>VAL-805-R3</w:t>
            </w:r>
          </w:p>
        </w:tc>
        <w:tc>
          <w:tcPr>
            <w:tcW w:type="dxa" w:w="2016"/>
            <w:vAlign w:val="top"/>
          </w:tcPr>
          <w:p>
            <w:pPr>
              <w:spacing w:after="20" w:before="20"/>
            </w:pPr>
            <w:r>
              <w:rPr>
                <w:rFonts w:ascii="Calibri" w:hAnsi="Calibri" w:cs="Calibri"/>
                <w:b w:val="0"/>
                <w:sz w:val="20"/>
              </w:rPr>
              <w:t>It would be more realistic to have several days of input and output data.</w:t>
            </w:r>
          </w:p>
        </w:tc>
        <w:tc>
          <w:tcPr>
            <w:tcW w:type="dxa" w:w="2304"/>
            <w:vAlign w:val="top"/>
          </w:tcPr>
          <w:p>
            <w:pPr>
              <w:spacing w:after="20" w:before="20"/>
            </w:pPr>
            <w:r>
              <w:rPr>
                <w:rFonts w:ascii="Calibri" w:hAnsi="Calibri" w:cs="Calibri"/>
                <w:b w:val="0"/>
                <w:sz w:val="20"/>
              </w:rPr>
              <w:t>We agree the course overstated the record. Only hospital day 3 is stored, with net -1045 mL. We removed the claim of serial days and did not invent additional days.</w:t>
            </w:r>
          </w:p>
        </w:tc>
        <w:tc>
          <w:tcPr>
            <w:tcW w:type="dxa" w:w="2016"/>
            <w:vAlign w:val="top"/>
          </w:tcPr>
          <w:p>
            <w:pPr>
              <w:spacing w:after="20" w:before="20"/>
            </w:pPr>
            <w:r>
              <w:rPr>
                <w:rFonts w:ascii="Calibri" w:hAnsi="Calibri" w:cs="Calibri"/>
                <w:b w:val="0"/>
                <w:sz w:val="20"/>
              </w:rPr>
              <w:t>Narrative corrected to the single recorded intake-and-output day.</w:t>
            </w:r>
          </w:p>
        </w:tc>
        <w:tc>
          <w:tcPr>
            <w:tcW w:type="dxa" w:w="2160"/>
            <w:vAlign w:val="top"/>
          </w:tcPr>
          <w:p>
            <w:pPr>
              <w:spacing w:after="20" w:before="20"/>
            </w:pPr>
            <w:r>
              <w:rPr>
                <w:rFonts w:ascii="Calibri" w:hAnsi="Calibri" w:cs="Calibri"/>
                <w:b w:val="0"/>
                <w:sz w:val="20"/>
              </w:rPr>
              <w:t>CASE_SOURCE CaseIntakeOutput.</w:t>
            </w:r>
          </w:p>
        </w:tc>
      </w:tr>
      <w:tr>
        <w:trPr>
          <w:cantSplit/>
        </w:trPr>
        <w:tc>
          <w:tcPr>
            <w:tcW w:type="dxa" w:w="1296"/>
            <w:vAlign w:val="top"/>
          </w:tcPr>
          <w:p>
            <w:pPr>
              <w:spacing w:after="20" w:before="20"/>
            </w:pPr>
            <w:r>
              <w:rPr>
                <w:rFonts w:ascii="Calibri" w:hAnsi="Calibri" w:cs="Calibri"/>
                <w:b w:val="0"/>
                <w:sz w:val="20"/>
              </w:rPr>
              <w:t>VAL-805-R4</w:t>
            </w:r>
          </w:p>
        </w:tc>
        <w:tc>
          <w:tcPr>
            <w:tcW w:type="dxa" w:w="2016"/>
            <w:vAlign w:val="top"/>
          </w:tcPr>
          <w:p>
            <w:pPr>
              <w:spacing w:after="20" w:before="20"/>
            </w:pPr>
            <w:r>
              <w:rPr>
                <w:rFonts w:ascii="Calibri" w:hAnsi="Calibri" w:cs="Calibri"/>
                <w:b w:val="0"/>
                <w:sz w:val="20"/>
              </w:rPr>
              <w:t>It would be helpful to have cardiology notes or echocardiogram data, and the trainee should consider additional GDMT such as ACE/ARB, SGLT2i, or MRA.</w:t>
            </w:r>
          </w:p>
        </w:tc>
        <w:tc>
          <w:tcPr>
            <w:tcW w:type="dxa" w:w="2304"/>
            <w:vAlign w:val="top"/>
          </w:tcPr>
          <w:p>
            <w:pPr>
              <w:spacing w:after="20" w:before="20"/>
            </w:pPr>
            <w:r>
              <w:rPr>
                <w:rFonts w:ascii="Calibri" w:hAnsi="Calibri" w:cs="Calibri"/>
                <w:b w:val="0"/>
                <w:sz w:val="20"/>
              </w:rPr>
              <w:t>The preserved chart has a cardiology consultation and a chest radiograph showing pulmonary edema. It does not record an ejection fraction. We surfaced those existing items and did not add an ejection fraction or start a new drug class. Additional HFrEF therapy is an acceptable alternative, not a required reference medication, because the chart does not contain the measurement that would force one choice.</w:t>
            </w:r>
          </w:p>
        </w:tc>
        <w:tc>
          <w:tcPr>
            <w:tcW w:type="dxa" w:w="2016"/>
            <w:vAlign w:val="top"/>
          </w:tcPr>
          <w:p>
            <w:pPr>
              <w:spacing w:after="20" w:before="20"/>
            </w:pPr>
            <w:r>
              <w:rPr>
                <w:rFonts w:ascii="Calibri" w:hAnsi="Calibri" w:cs="Calibri"/>
                <w:b w:val="0"/>
                <w:sz w:val="20"/>
              </w:rPr>
              <w:t>Narrative cites the existing consult and radiograph. Acceptable alternative added for additional GDMT. No new drug and no ejection fraction.</w:t>
            </w:r>
          </w:p>
        </w:tc>
        <w:tc>
          <w:tcPr>
            <w:tcW w:type="dxa" w:w="2160"/>
            <w:vAlign w:val="top"/>
          </w:tcPr>
          <w:p>
            <w:pPr>
              <w:spacing w:after="20" w:before="20"/>
            </w:pPr>
            <w:r>
              <w:rPr>
                <w:rFonts w:ascii="Calibri" w:hAnsi="Calibri" w:cs="Calibri"/>
                <w:b w:val="0"/>
                <w:sz w:val="20"/>
              </w:rPr>
              <w:t>CASE_SOURCE CaseConsult and CaseImaging; [E2] describes GDMT classes but does not assign this patient's ejection fraction.</w:t>
            </w:r>
          </w:p>
        </w:tc>
      </w:tr>
      <w:tr>
        <w:trPr>
          <w:cantSplit/>
        </w:trPr>
        <w:tc>
          <w:tcPr>
            <w:tcW w:type="dxa" w:w="1296"/>
            <w:vAlign w:val="top"/>
          </w:tcPr>
          <w:p>
            <w:pPr>
              <w:spacing w:after="20" w:before="20"/>
            </w:pPr>
            <w:r>
              <w:rPr>
                <w:rFonts w:ascii="Calibri" w:hAnsi="Calibri" w:cs="Calibri"/>
                <w:b w:val="0"/>
                <w:sz w:val="20"/>
              </w:rPr>
              <w:t>VAL-805-R5</w:t>
            </w:r>
          </w:p>
        </w:tc>
        <w:tc>
          <w:tcPr>
            <w:tcW w:type="dxa" w:w="2016"/>
            <w:vAlign w:val="top"/>
          </w:tcPr>
          <w:p>
            <w:pPr>
              <w:spacing w:after="20" w:before="20"/>
            </w:pPr>
            <w:r>
              <w:rPr>
                <w:rFonts w:ascii="Calibri" w:hAnsi="Calibri" w:cs="Calibri"/>
                <w:b w:val="0"/>
                <w:sz w:val="20"/>
              </w:rPr>
              <w:t>Medication regimen was marked both 2 and 3.</w:t>
            </w:r>
          </w:p>
        </w:tc>
        <w:tc>
          <w:tcPr>
            <w:tcW w:type="dxa" w:w="2304"/>
            <w:vAlign w:val="top"/>
          </w:tcPr>
          <w:p>
            <w:pPr>
              <w:spacing w:after="20" w:before="20"/>
            </w:pPr>
            <w:r>
              <w:rPr>
                <w:rFonts w:ascii="Calibri" w:hAnsi="Calibri" w:cs="Calibri"/>
                <w:b w:val="0"/>
                <w:sz w:val="20"/>
              </w:rPr>
              <w:t>We reproduced both scores and did not collapse them to one number.</w:t>
            </w:r>
          </w:p>
        </w:tc>
        <w:tc>
          <w:tcPr>
            <w:tcW w:type="dxa" w:w="2016"/>
            <w:vAlign w:val="top"/>
          </w:tcPr>
          <w:p>
            <w:pPr>
              <w:spacing w:after="20" w:before="20"/>
            </w:pPr>
            <w:r>
              <w:rPr>
                <w:rFonts w:ascii="Calibri" w:hAnsi="Calibri" w:cs="Calibri"/>
                <w:b w:val="0"/>
                <w:sz w:val="20"/>
              </w:rPr>
              <w:t>None.</w:t>
            </w:r>
          </w:p>
        </w:tc>
        <w:tc>
          <w:tcPr>
            <w:tcW w:type="dxa" w:w="2160"/>
            <w:vAlign w:val="top"/>
          </w:tcPr>
          <w:p>
            <w:pPr>
              <w:spacing w:after="20" w:before="20"/>
            </w:pPr>
            <w:r>
              <w:rPr>
                <w:rFonts w:ascii="Calibri" w:hAnsi="Calibri" w:cs="Calibri"/>
                <w:b w:val="0"/>
                <w:sz w:val="20"/>
              </w:rPr>
              <w:t>Historical checkbox states.</w:t>
            </w:r>
          </w:p>
        </w:tc>
      </w:tr>
    </w:tbl>
    <w:p>
      <w:pPr>
        <w:spacing w:after="40"/>
      </w:pPr>
    </w:p>
    <w:p>
      <w:pPr>
        <w:pStyle w:val="Heading3"/>
      </w:pPr>
      <w:r>
        <w:rPr>
          <w:rFonts w:ascii="Calibri" w:hAnsi="Calibri"/>
          <w:color w:val="1F3A5F"/>
        </w:rPr>
        <w:t>Evidence for changes</w:t>
      </w:r>
    </w:p>
    <w:p>
      <w:pPr>
        <w:spacing w:after="120"/>
      </w:pPr>
      <w:r>
        <w:rPr>
          <w:rFonts w:ascii="Calibri" w:hAnsi="Calibri" w:cs="Calibri"/>
          <w:b w:val="0"/>
          <w:sz w:val="22"/>
        </w:rPr>
        <w:t>[E2] Heidenreich PA, et al. 2022 AHA/ACC/HFSA Guideline for the Management of Heart Failure. Circulation. 2022;145:e895-e1032. doi:10.1161/CIR.0000000000001063. Intravenous loop diuretic is usual for congestion, and HFrEF therapy includes several drug classes. The guideline does not set this patient's dose or ejection fraction.</w:t>
      </w:r>
    </w:p>
    <w:p>
      <w:pPr>
        <w:keepNext/>
        <w:pageBreakBefore/>
      </w:pPr>
      <w:r>
        <w:rPr>
          <w:rFonts w:ascii="Calibri" w:hAnsi="Calibri" w:cs="Calibri"/>
          <w:b/>
          <w:color w:val="1F3A5F"/>
          <w:sz w:val="32"/>
        </w:rPr>
        <w:t>CASE VAL-809</w:t>
      </w:r>
    </w:p>
    <w:p>
      <w:pPr>
        <w:spacing w:after="120"/>
      </w:pPr>
      <w:r>
        <w:rPr>
          <w:rFonts w:ascii="Calibri" w:hAnsi="Calibri" w:cs="Calibri"/>
          <w:b w:val="0"/>
          <w:sz w:val="22"/>
        </w:rPr>
        <w:t>Round 2 revised case, version 2</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82</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Acute and subacute infective endocarditis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82-year-old Male with Acute and subacute infective endocarditis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82-year-old Male is admitted with infective endocarditis. The recorded symptom is fatigue for one week, described as improving after treatment. Temperature is 36.80°C on admission and at discharge. Home medicines are lisinopril and atorvastatin. Ceftriaxone 2000 mg intravenously once daily was started during the admission. Transthoracic echocardiogram shows a mobile echodensity consistent with a vegetation and preserved ventricular function. Admission blood culture grew gram-positive cocci. A later culture showed no growth. Creatinine is 1.3 mg/dL on admission and 0.8 mg/dL at discharge. The chart does not record fever, a prosthetic valve, or a dental procedure.</w:t>
      </w:r>
    </w:p>
    <w:p>
      <w:pPr>
        <w:pStyle w:val="Heading3"/>
      </w:pPr>
      <w:r>
        <w:rPr>
          <w:rFonts w:ascii="Calibri" w:hAnsi="Calibri"/>
          <w:color w:val="1F3A5F"/>
        </w:rPr>
        <w:t>Admission note</w:t>
      </w:r>
    </w:p>
    <w:p>
      <w:pPr>
        <w:spacing w:after="120"/>
      </w:pPr>
      <w:r>
        <w:rPr>
          <w:rFonts w:ascii="Calibri" w:hAnsi="Calibri" w:cs="Calibri"/>
          <w:b w:val="0"/>
          <w:sz w:val="22"/>
        </w:rPr>
        <w:t>A 82-year-old Male is admitted with infective endocarditis. The recorded symptom is fatigue for one week, described as improving after treatment. Temperature is 36.80°C on admission and at discharge. Home medicines are lisinopril and atorvastatin. Ceftriaxone 2000 mg intravenously once daily was started during the admission. Transthoracic echocardiogram shows a mobile echodensity consistent with a vegetation and preserved ventricular function. Admission blood culture grew gram-positive cocci. A later culture showed no growth. Creatinine is 1.3 mg/dL on admission and 0.8 mg/dL at discharge. The chart does not record fever, a prosthetic valve, or a dental procedure.</w:t>
      </w:r>
    </w:p>
    <w:p>
      <w:pPr>
        <w:pStyle w:val="Heading2"/>
      </w:pPr>
      <w:r>
        <w:rPr>
          <w:rFonts w:ascii="Calibri" w:hAnsi="Calibri"/>
          <w:color w:val="1F3A5F"/>
        </w:rPr>
        <w:t>Hospital course</w:t>
      </w:r>
    </w:p>
    <w:p>
      <w:pPr>
        <w:spacing w:after="120"/>
      </w:pPr>
      <w:r>
        <w:rPr>
          <w:rFonts w:ascii="Calibri" w:hAnsi="Calibri" w:cs="Calibri"/>
          <w:b w:val="0"/>
          <w:sz w:val="22"/>
        </w:rPr>
        <w:t>Ceftriaxone was given intravenously during the admission. The echocardiogram and blood-culture results above are the recorded microbiologic evidence. Creatinine fell from 1.3 mg/dL to 0.8 mg/dL. Lisinopril remained on the inpatient list. No baseline creatinine before this admission is recorded.</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Acute and subacute infective endocarditis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127/86</w:t>
            </w:r>
          </w:p>
        </w:tc>
        <w:tc>
          <w:tcPr>
            <w:tcW w:type="dxa" w:w="1440"/>
            <w:vAlign w:val="top"/>
          </w:tcPr>
          <w:p>
            <w:pPr>
              <w:spacing w:after="20" w:before="20"/>
            </w:pPr>
            <w:r>
              <w:rPr>
                <w:rFonts w:ascii="Calibri" w:hAnsi="Calibri" w:cs="Calibri"/>
                <w:b w:val="0"/>
                <w:sz w:val="20"/>
              </w:rPr>
              <w:t>74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139/85</w:t>
            </w:r>
          </w:p>
        </w:tc>
        <w:tc>
          <w:tcPr>
            <w:tcW w:type="dxa" w:w="1440"/>
            <w:vAlign w:val="top"/>
          </w:tcPr>
          <w:p>
            <w:pPr>
              <w:spacing w:after="20" w:before="20"/>
            </w:pPr>
            <w:r>
              <w:rPr>
                <w:rFonts w:ascii="Calibri" w:hAnsi="Calibri" w:cs="Calibri"/>
                <w:b w:val="0"/>
                <w:sz w:val="20"/>
              </w:rPr>
              <w:t>80</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96.00 %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1.3</w:t>
            </w:r>
          </w:p>
        </w:tc>
        <w:tc>
          <w:tcPr>
            <w:tcW w:type="dxa" w:w="2448"/>
            <w:vAlign w:val="top"/>
          </w:tcPr>
          <w:p>
            <w:pPr>
              <w:spacing w:after="20" w:before="20"/>
            </w:pPr>
            <w:r>
              <w:rPr>
                <w:rFonts w:ascii="Calibri" w:hAnsi="Calibri" w:cs="Calibri"/>
                <w:b w:val="0"/>
                <w:sz w:val="20"/>
              </w:rPr>
              <w:t>0.8</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Hemoglobin [Mass/volume] in Blood by Oximetry</w:t>
            </w:r>
          </w:p>
        </w:tc>
        <w:tc>
          <w:tcPr>
            <w:tcW w:type="dxa" w:w="2448"/>
            <w:vAlign w:val="top"/>
          </w:tcPr>
          <w:p>
            <w:pPr>
              <w:spacing w:after="20" w:before="20"/>
            </w:pPr>
            <w:r>
              <w:rPr>
                <w:rFonts w:ascii="Calibri" w:hAnsi="Calibri" w:cs="Calibri"/>
                <w:b w:val="0"/>
                <w:sz w:val="20"/>
              </w:rPr>
              <w:t>13.1</w:t>
            </w:r>
          </w:p>
        </w:tc>
        <w:tc>
          <w:tcPr>
            <w:tcW w:type="dxa" w:w="2448"/>
            <w:vAlign w:val="top"/>
          </w:tcPr>
          <w:p>
            <w:pPr>
              <w:spacing w:after="20" w:before="20"/>
            </w:pPr>
            <w:r>
              <w:rPr>
                <w:rFonts w:ascii="Calibri" w:hAnsi="Calibri" w:cs="Calibri"/>
                <w:b w:val="0"/>
                <w:sz w:val="20"/>
              </w:rPr>
              <w:t>12.9</w:t>
            </w:r>
          </w:p>
        </w:tc>
        <w:tc>
          <w:tcPr>
            <w:tcW w:type="dxa" w:w="1152"/>
            <w:vAlign w:val="top"/>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70.000</w:t>
            </w:r>
          </w:p>
        </w:tc>
        <w:tc>
          <w:tcPr>
            <w:tcW w:type="dxa" w:w="3312"/>
            <w:vAlign w:val="top"/>
          </w:tcPr>
          <w:p>
            <w:pPr>
              <w:spacing w:after="20" w:before="20"/>
            </w:pPr>
            <w:r>
              <w:rPr>
                <w:rFonts w:ascii="Calibri" w:hAnsi="Calibri" w:cs="Calibri"/>
                <w:b w:val="0"/>
                <w:sz w:val="20"/>
              </w:rPr>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ceftriaxone 2000 MG Injection</w:t>
            </w:r>
          </w:p>
        </w:tc>
        <w:tc>
          <w:tcPr>
            <w:tcW w:type="dxa" w:w="1296"/>
            <w:vAlign w:val="top"/>
          </w:tcPr>
          <w:p>
            <w:pPr>
              <w:spacing w:after="20" w:before="20"/>
            </w:pPr>
            <w:r>
              <w:rPr>
                <w:rFonts w:ascii="Calibri" w:hAnsi="Calibri" w:cs="Calibri"/>
                <w:b w:val="0"/>
                <w:sz w:val="20"/>
              </w:rPr>
              <w:t>2000 MG</w:t>
            </w:r>
          </w:p>
        </w:tc>
        <w:tc>
          <w:tcPr>
            <w:tcW w:type="dxa" w:w="1152"/>
            <w:vAlign w:val="top"/>
          </w:tcPr>
          <w:p>
            <w:pPr>
              <w:spacing w:after="20" w:before="20"/>
            </w:pPr>
            <w:r>
              <w:rPr>
                <w:rFonts w:ascii="Calibri" w:hAnsi="Calibri" w:cs="Calibri"/>
                <w:b w:val="0"/>
                <w:sz w:val="20"/>
              </w:rPr>
              <w:t>intravenous</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024"/>
            <w:vAlign w:val="top"/>
          </w:tcPr>
          <w:p>
            <w:pPr>
              <w:spacing w:after="20" w:before="20"/>
            </w:pPr>
            <w:r>
              <w:rPr>
                <w:rFonts w:ascii="Calibri" w:hAnsi="Calibri" w:cs="Calibri"/>
                <w:b w:val="0"/>
                <w:sz w:val="20"/>
              </w:rPr>
              <w:t>lisinopril 10 MG Oral Tablet</w:t>
            </w:r>
          </w:p>
        </w:tc>
        <w:tc>
          <w:tcPr>
            <w:tcW w:type="dxa" w:w="1296"/>
            <w:vAlign w:val="top"/>
          </w:tcPr>
          <w:p>
            <w:pPr>
              <w:spacing w:after="20" w:before="20"/>
            </w:pPr>
            <w:r>
              <w:rPr>
                <w:rFonts w:ascii="Calibri" w:hAnsi="Calibri" w:cs="Calibri"/>
                <w:b w:val="0"/>
                <w:sz w:val="20"/>
              </w:rPr>
              <w:t>10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Study</w:t>
            </w:r>
          </w:p>
        </w:tc>
        <w:tc>
          <w:tcPr>
            <w:tcW w:type="dxa" w:w="3264"/>
            <w:shd w:val="clear" w:color="auto" w:fill="D9E2F3"/>
          </w:tcPr>
          <w:p>
            <w:pPr>
              <w:spacing w:after="20" w:before="20"/>
            </w:pPr>
            <w:r>
              <w:rPr>
                <w:rFonts w:ascii="Calibri" w:hAnsi="Calibri" w:cs="Calibri"/>
                <w:b/>
                <w:sz w:val="20"/>
              </w:rPr>
              <w:t>Time</w:t>
            </w:r>
          </w:p>
        </w:tc>
        <w:tc>
          <w:tcPr>
            <w:tcW w:type="dxa" w:w="3264"/>
            <w:shd w:val="clear" w:color="auto" w:fill="D9E2F3"/>
          </w:tcPr>
          <w:p>
            <w:pPr>
              <w:spacing w:after="20" w:before="20"/>
            </w:pPr>
            <w:r>
              <w:rPr>
                <w:rFonts w:ascii="Calibri" w:hAnsi="Calibri" w:cs="Calibri"/>
                <w:b/>
                <w:sz w:val="20"/>
              </w:rPr>
              <w:t>Finding</w:t>
            </w:r>
          </w:p>
        </w:tc>
      </w:tr>
      <w:tr>
        <w:trPr>
          <w:cantSplit/>
        </w:trPr>
        <w:tc>
          <w:tcPr>
            <w:tcW w:type="dxa" w:w="3264"/>
            <w:vAlign w:val="top"/>
          </w:tcPr>
          <w:p>
            <w:pPr>
              <w:spacing w:after="20" w:before="20"/>
            </w:pPr>
            <w:r>
              <w:rPr>
                <w:rFonts w:ascii="Calibri" w:hAnsi="Calibri" w:cs="Calibri"/>
                <w:b w:val="0"/>
                <w:sz w:val="20"/>
              </w:rPr>
              <w:t>Transthoracic echocardiogram</w:t>
            </w:r>
          </w:p>
        </w:tc>
        <w:tc>
          <w:tcPr>
            <w:tcW w:type="dxa" w:w="3264"/>
            <w:vAlign w:val="top"/>
          </w:tcPr>
          <w:p>
            <w:pPr>
              <w:spacing w:after="20" w:before="20"/>
            </w:pPr>
            <w:r>
              <w:rPr>
                <w:rFonts w:ascii="Calibri" w:hAnsi="Calibri" w:cs="Calibri"/>
                <w:b w:val="0"/>
                <w:sz w:val="20"/>
              </w:rPr>
              <w:t>inpatient</w:t>
            </w:r>
          </w:p>
        </w:tc>
        <w:tc>
          <w:tcPr>
            <w:tcW w:type="dxa" w:w="3264"/>
            <w:vAlign w:val="top"/>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Infectious-disease follow-up with parenteral-therapy laboratory monitoring</w:t>
            </w:r>
          </w:p>
        </w:tc>
        <w:tc>
          <w:tcPr>
            <w:tcW w:type="dxa" w:w="3264"/>
            <w:vAlign w:val="top"/>
          </w:tcPr>
          <w:p>
            <w:pPr>
              <w:spacing w:after="20" w:before="20"/>
            </w:pPr>
            <w:r>
              <w:rPr>
                <w:rFonts w:ascii="Calibri" w:hAnsi="Calibri" w:cs="Calibri"/>
                <w:b w:val="0"/>
                <w:sz w:val="20"/>
              </w:rPr>
              <w:t>14 days</w:t>
            </w:r>
          </w:p>
        </w:tc>
        <w:tc>
          <w:tcPr>
            <w:tcW w:type="dxa" w:w="3264"/>
            <w:vAlign w:val="top"/>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09 C1 Presentation and demographics 1"/>
                <w:tag w:val="VAL-809-c1-Presentation and demographics-1"/>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2"/>
                <w:tag w:val="VAL-809-c1-Presentation and demographics-2"/>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3"/>
                <w:tag w:val="VAL-809-c1-Presentation and demographics-3"/>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Presentation and demographics 4"/>
                <w:tag w:val="VAL-809-c1-Presentation and demographics-4"/>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1"/>
                <w:tag w:val="VAL-809-c1-Fit between presentation and diagnosis-1"/>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2"/>
                <w:tag w:val="VAL-809-c1-Fit between presentation and diagnosis-2"/>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3"/>
                <w:tag w:val="VAL-809-c1-Fit between presentation and diagnosis-3"/>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Fit between presentation and diagnosis 4"/>
                <w:tag w:val="VAL-809-c1-Fit between presentation and diagnosis-4"/>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09 C1 Vital signs 1"/>
                <w:tag w:val="VAL-809-c1-Vital signs-1"/>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2"/>
                <w:tag w:val="VAL-809-c1-Vital signs-2"/>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3"/>
                <w:tag w:val="VAL-809-c1-Vital signs-3"/>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Vital signs 4"/>
                <w:tag w:val="VAL-809-c1-Vital signs-4"/>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09 C1 Laboratory findings 1"/>
                <w:tag w:val="VAL-809-c1-Laboratory findings-1"/>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2"/>
                <w:tag w:val="VAL-809-c1-Laboratory findings-2"/>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3"/>
                <w:tag w:val="VAL-809-c1-Laboratory findings-3"/>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Laboratory findings 4"/>
                <w:tag w:val="VAL-809-c1-Laboratory findings-4"/>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09 C1 Medication regimen 1"/>
                <w:tag w:val="VAL-809-c1-Medication regimen-1"/>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2"/>
                <w:tag w:val="VAL-809-c1-Medication regimen-2"/>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3"/>
                <w:tag w:val="VAL-809-c1-Medication regimen-3"/>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Medication regimen 4"/>
                <w:tag w:val="VAL-809-c1-Medication regimen-4"/>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09 C1 Hospital course 1"/>
                <w:tag w:val="VAL-809-c1-Hospital course-1"/>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2"/>
                <w:tag w:val="VAL-809-c1-Hospital course-2"/>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3"/>
                <w:tag w:val="VAL-809-c1-Hospital course-3"/>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Hospital course 4"/>
                <w:tag w:val="VAL-809-c1-Hospital course-4"/>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09 C1 Chart consistency 1"/>
                <w:tag w:val="VAL-809-c1-Chart consistency-1"/>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2"/>
                <w:tag w:val="VAL-809-c1-Chart consistency-2"/>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3"/>
                <w:tag w:val="VAL-809-c1-Chart consistency-3"/>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Chart consistency 4"/>
                <w:tag w:val="VAL-809-c1-Chart consistency-4"/>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09 C1 Discharge context and follow-up 1"/>
                <w:tag w:val="VAL-809-c1-Discharge context and follow-up-1"/>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2"/>
                <w:tag w:val="VAL-809-c1-Discharge context and follow-up-2"/>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3"/>
                <w:tag w:val="VAL-809-c1-Discharge context and follow-up-3"/>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09 C1 Discharge context and follow-up 4"/>
                <w:tag w:val="VAL-809-c1-Discharge context and follow-up-4"/>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09 c1-overall Pass"/>
                <w:tag w:val="VAL-809-c1-overall-Pass"/>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1-overall Fail"/>
                <w:tag w:val="VAL-809-c1-overall-Fail"/>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09-c1-comment"/>
              <w:id w:val="2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09 c2 Pass"/>
                <w:tag w:val="VAL-809-c2-Pass"/>
                <w:id w:val="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2 Fail"/>
                <w:tag w:val="VAL-809-c2-Fail"/>
                <w:id w:val="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09-c2-comment"/>
              <w:id w:val="2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start</w:t>
            </w:r>
          </w:p>
        </w:tc>
        <w:tc>
          <w:tcPr>
            <w:tcW w:type="dxa" w:w="2592"/>
            <w:vAlign w:val="top"/>
          </w:tcPr>
          <w:p>
            <w:pPr>
              <w:spacing w:after="20" w:before="20"/>
            </w:pPr>
            <w:r>
              <w:rPr>
                <w:rFonts w:ascii="Calibri" w:hAnsi="Calibri" w:cs="Calibri"/>
                <w:b w:val="0"/>
                <w:sz w:val="20"/>
              </w:rPr>
              <w:t>ceftriaxone 2000 MG Injection</w:t>
            </w:r>
          </w:p>
        </w:tc>
        <w:tc>
          <w:tcPr>
            <w:tcW w:type="dxa" w:w="1152"/>
            <w:vAlign w:val="top"/>
          </w:tcPr>
          <w:p>
            <w:pPr>
              <w:spacing w:after="20" w:before="20"/>
            </w:pPr>
            <w:r>
              <w:rPr>
                <w:rFonts w:ascii="Calibri" w:hAnsi="Calibri" w:cs="Calibri"/>
                <w:b w:val="0"/>
                <w:sz w:val="20"/>
              </w:rPr>
              <w:t>2000 MG</w:t>
            </w:r>
          </w:p>
        </w:tc>
        <w:tc>
          <w:tcPr>
            <w:tcW w:type="dxa" w:w="1008"/>
            <w:vAlign w:val="top"/>
          </w:tcPr>
          <w:p>
            <w:pPr>
              <w:spacing w:after="20" w:before="20"/>
            </w:pPr>
            <w:r>
              <w:rPr>
                <w:rFonts w:ascii="Calibri" w:hAnsi="Calibri" w:cs="Calibri"/>
                <w:b w:val="0"/>
                <w:sz w:val="20"/>
              </w:rPr>
              <w:t>intravenous</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Acute and subacute infective endocarditis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lisinopril 10 MG Oral Tablet</w:t>
            </w:r>
          </w:p>
        </w:tc>
        <w:tc>
          <w:tcPr>
            <w:tcW w:type="dxa" w:w="1152"/>
            <w:vAlign w:val="top"/>
          </w:tcPr>
          <w:p>
            <w:pPr>
              <w:spacing w:after="20" w:before="20"/>
            </w:pPr>
            <w:r>
              <w:rPr>
                <w:rFonts w:ascii="Calibri" w:hAnsi="Calibri" w:cs="Calibri"/>
                <w:b w:val="0"/>
                <w:sz w:val="20"/>
              </w:rPr>
              <w:t>10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lisinopril 10 MG Oral Tablet</w:t>
            </w:r>
          </w:p>
        </w:tc>
        <w:tc>
          <w:tcPr>
            <w:tcW w:type="dxa" w:w="2016"/>
            <w:vAlign w:val="top"/>
          </w:tcPr>
          <w:p>
            <w:pPr>
              <w:spacing w:after="20" w:before="20"/>
            </w:pPr>
            <w:r>
              <w:rPr>
                <w:rFonts w:ascii="Calibri" w:hAnsi="Calibri" w:cs="Calibri"/>
                <w:b w:val="0"/>
                <w:sz w:val="20"/>
              </w:rPr>
              <w:t>hold</w:t>
            </w:r>
          </w:p>
        </w:tc>
        <w:tc>
          <w:tcPr>
            <w:tcW w:type="dxa" w:w="4608"/>
            <w:vAlign w:val="top"/>
          </w:tcPr>
          <w:p>
            <w:pPr>
              <w:spacing w:after="20" w:before="20"/>
            </w:pPr>
            <w:r>
              <w:rPr>
                <w:rFonts w:ascii="Calibri" w:hAnsi="Calibri" w:cs="Calibri"/>
                <w:b w:val="0"/>
                <w:sz w:val="20"/>
              </w:rPr>
              <w:t>Hold while creatinine is 1.3 mg/dL is acceptable if that value is judged to be acute kidney injury. No prior baseline is recorded, so the reference continues lisinopril.</w:t>
            </w:r>
          </w:p>
        </w:tc>
      </w:tr>
    </w:tbl>
    <w:p>
      <w:pPr>
        <w:spacing w:after="4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09 c3 Pass"/>
                <w:tag w:val="VAL-809-c3-Pass"/>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09 c3 Fail"/>
                <w:tag w:val="VAL-809-c3-Fail"/>
                <w:id w:val="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09 c4 No"/>
                <w:tag w:val="VAL-809-c4-No"/>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4 Yes"/>
                <w:tag w:val="VAL-809-c4-Yes"/>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09 c5-issue No"/>
                <w:tag w:val="VAL-809-c5-issue-No"/>
                <w:id w:val="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issue Yes"/>
                <w:tag w:val="VAL-809-c5-issue-Yes"/>
                <w:id w:val="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09 c5-leak No"/>
                <w:tag w:val="VAL-809-c5-leak-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09 c5-leak Yes"/>
                <w:tag w:val="VAL-809-c5-leak-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09-c5-comment"/>
              <w:id w:val="27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Easy"/>
                <w:tag w:val="VAL-809-c6-Easy"/>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09 c6 Moderate"/>
                <w:tag w:val="VAL-809-c6-Moderate"/>
                <w:id w:val="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09 c6 Hard"/>
                <w:tag w:val="VAL-809-c6-Hard"/>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09 c6 Inappropriate or outlier"/>
                <w:tag w:val="VAL-809-c6-Inappropriate or outlier"/>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09 overall Accept"/>
                <w:tag w:val="VAL-809-overall-Accept"/>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09 overall Revise"/>
                <w:tag w:val="VAL-809-overall-Revise"/>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09 overall Exclude"/>
                <w:tag w:val="VAL-809-overall-Exclude"/>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09-overall-comment"/>
              <w:id w:val="2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09-reviewer"/>
          <w:id w:val="285"/>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09-date"/>
          <w:id w:val="286"/>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Presentation – requires more details, should present with fevers, have a history of mechanical valve or poor dentition that would predispose to endocarditis</w:t>
              <w:br/>
              <w:t>Labs/meds – AKI was unexplained and lisinopril was continued despite AKI</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Lisinopril was continued despite the patient having an AKI</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Pass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Fail</w:t>
      </w:r>
    </w:p>
    <w:p>
      <w:pPr>
        <w:spacing w:after="120"/>
      </w:pPr>
      <w:r>
        <w:rPr>
          <w:rFonts w:ascii="Calibri" w:hAnsi="Calibri" w:cs="Calibri"/>
          <w:b w:val="0"/>
          <w:sz w:val="22"/>
        </w:rPr>
        <w:t>C4 issue: Lisinopril - AKI</w:t>
      </w:r>
    </w:p>
    <w:p>
      <w:pPr>
        <w:spacing w:after="120"/>
      </w:pPr>
      <w:r>
        <w:rPr>
          <w:rFonts w:ascii="Calibri" w:hAnsi="Calibri" w:cs="Calibri"/>
          <w:b w:val="0"/>
          <w:sz w:val="22"/>
        </w:rPr>
        <w:t>C4 location: Medications</w:t>
      </w:r>
    </w:p>
    <w:p>
      <w:pPr>
        <w:spacing w:after="120"/>
      </w:pPr>
      <w:r>
        <w:rPr>
          <w:rFonts w:ascii="Calibri" w:hAnsi="Calibri" w:cs="Calibri"/>
          <w:b w:val="0"/>
          <w:sz w:val="22"/>
        </w:rPr>
        <w:t>C4 clinical meaning: Should not be continued</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Error in the case as described above</w:t>
            </w:r>
          </w:p>
        </w:tc>
      </w:tr>
    </w:tbl>
    <w:p>
      <w:pPr>
        <w:spacing w:after="40"/>
      </w:pPr>
    </w:p>
    <w:p>
      <w:pPr>
        <w:spacing w:after="120"/>
      </w:pPr>
      <w:r>
        <w:rPr>
          <w:rFonts w:ascii="Calibri" w:hAnsi="Calibri" w:cs="Calibri"/>
          <w:b w:val="0"/>
          <w:sz w:val="22"/>
        </w:rPr>
        <w:t>Overall recommendation: Revise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Revise clinical scenario to add more details. Would have fevers/chills/predisposition to endocarditis. Lisinopril should be held if the patient has an AKI. Patient of this age would be very likely to have more than 2 home medications, would like to have more detail and complexity overall to this case.</w:t>
            </w:r>
          </w:p>
        </w:tc>
      </w:tr>
    </w:tbl>
    <w:p>
      <w:pPr>
        <w:spacing w:after="40"/>
      </w:pPr>
    </w:p>
    <w:p>
      <w:pPr>
        <w:spacing w:after="120"/>
      </w:pPr>
      <w:r>
        <w:rPr>
          <w:rFonts w:ascii="Calibri" w:hAnsi="Calibri" w:cs="Calibri"/>
          <w:b w:val="0"/>
          <w:sz w:val="22"/>
        </w:rPr>
        <w:t>Reviewer: KO. Date: 10/5/26.</w:t>
      </w:r>
    </w:p>
    <w:p>
      <w:pPr>
        <w:keepNext/>
        <w:pageBreakBefore/>
      </w:pPr>
      <w:r>
        <w:rPr>
          <w:rFonts w:ascii="Calibri" w:hAnsi="Calibri" w:cs="Calibri"/>
          <w:b/>
          <w:color w:val="1F3A5F"/>
          <w:sz w:val="28"/>
        </w:rPr>
        <w:t>ROUND 2 RESPONSE TO ROUND 1 REVIEW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1296"/>
            <w:shd w:val="clear" w:color="auto" w:fill="D9E2F3"/>
          </w:tcPr>
          <w:p>
            <w:pPr>
              <w:spacing w:after="20" w:before="20"/>
            </w:pPr>
            <w:r>
              <w:rPr>
                <w:rFonts w:ascii="Calibri" w:hAnsi="Calibri" w:cs="Calibri"/>
                <w:b/>
                <w:sz w:val="20"/>
              </w:rPr>
              <w:t>#</w:t>
            </w:r>
          </w:p>
        </w:tc>
        <w:tc>
          <w:tcPr>
            <w:tcW w:type="dxa" w:w="2016"/>
            <w:shd w:val="clear" w:color="auto" w:fill="D9E2F3"/>
          </w:tcPr>
          <w:p>
            <w:pPr>
              <w:spacing w:after="20" w:before="20"/>
            </w:pPr>
            <w:r>
              <w:rPr>
                <w:rFonts w:ascii="Calibri" w:hAnsi="Calibri" w:cs="Calibri"/>
                <w:b/>
                <w:sz w:val="20"/>
              </w:rPr>
              <w:t>Reviewer comment / concern</w:t>
            </w:r>
          </w:p>
        </w:tc>
        <w:tc>
          <w:tcPr>
            <w:tcW w:type="dxa" w:w="2304"/>
            <w:shd w:val="clear" w:color="auto" w:fill="D9E2F3"/>
          </w:tcPr>
          <w:p>
            <w:pPr>
              <w:spacing w:after="20" w:before="20"/>
            </w:pPr>
            <w:r>
              <w:rPr>
                <w:rFonts w:ascii="Calibri" w:hAnsi="Calibri" w:cs="Calibri"/>
                <w:b/>
                <w:sz w:val="20"/>
              </w:rPr>
              <w:t>Author response</w:t>
            </w:r>
          </w:p>
        </w:tc>
        <w:tc>
          <w:tcPr>
            <w:tcW w:type="dxa" w:w="2016"/>
            <w:shd w:val="clear" w:color="auto" w:fill="D9E2F3"/>
          </w:tcPr>
          <w:p>
            <w:pPr>
              <w:spacing w:after="20" w:before="20"/>
            </w:pPr>
            <w:r>
              <w:rPr>
                <w:rFonts w:ascii="Calibri" w:hAnsi="Calibri" w:cs="Calibri"/>
                <w:b/>
                <w:sz w:val="20"/>
              </w:rPr>
              <w:t>Revision made</w:t>
            </w:r>
          </w:p>
        </w:tc>
        <w:tc>
          <w:tcPr>
            <w:tcW w:type="dxa" w:w="2160"/>
            <w:shd w:val="clear" w:color="auto" w:fill="D9E2F3"/>
          </w:tcPr>
          <w:p>
            <w:pPr>
              <w:spacing w:after="20" w:before="20"/>
            </w:pPr>
            <w:r>
              <w:rPr>
                <w:rFonts w:ascii="Calibri" w:hAnsi="Calibri" w:cs="Calibri"/>
                <w:b/>
                <w:sz w:val="20"/>
              </w:rPr>
              <w:t>Evidence / justification</w:t>
            </w:r>
          </w:p>
        </w:tc>
      </w:tr>
      <w:tr>
        <w:trPr>
          <w:cantSplit/>
        </w:trPr>
        <w:tc>
          <w:tcPr>
            <w:tcW w:type="dxa" w:w="1296"/>
            <w:vAlign w:val="top"/>
          </w:tcPr>
          <w:p>
            <w:pPr>
              <w:spacing w:after="20" w:before="20"/>
            </w:pPr>
            <w:r>
              <w:rPr>
                <w:rFonts w:ascii="Calibri" w:hAnsi="Calibri" w:cs="Calibri"/>
                <w:b w:val="0"/>
                <w:sz w:val="20"/>
              </w:rPr>
              <w:t>VAL-809-R1</w:t>
            </w:r>
          </w:p>
        </w:tc>
        <w:tc>
          <w:tcPr>
            <w:tcW w:type="dxa" w:w="2016"/>
            <w:vAlign w:val="top"/>
          </w:tcPr>
          <w:p>
            <w:pPr>
              <w:spacing w:after="20" w:before="20"/>
            </w:pPr>
            <w:r>
              <w:rPr>
                <w:rFonts w:ascii="Calibri" w:hAnsi="Calibri" w:cs="Calibri"/>
                <w:b w:val="0"/>
                <w:sz w:val="20"/>
              </w:rPr>
              <w:t>Should present with fevers, have a history of mechanical valve or poor dentition that would predispose to endocarditis.</w:t>
            </w:r>
          </w:p>
        </w:tc>
        <w:tc>
          <w:tcPr>
            <w:tcW w:type="dxa" w:w="2304"/>
            <w:vAlign w:val="top"/>
          </w:tcPr>
          <w:p>
            <w:pPr>
              <w:spacing w:after="20" w:before="20"/>
            </w:pPr>
            <w:r>
              <w:rPr>
                <w:rFonts w:ascii="Calibri" w:hAnsi="Calibri" w:cs="Calibri"/>
                <w:b w:val="0"/>
                <w:sz w:val="20"/>
              </w:rPr>
              <w:t>We agree a predisposition is not stated. We did not add fever, a prosthetic valve, or a dental procedure. Temperature is recorded as 36.80°C, and no valve or dental history is in the chart. Changing those facts would fabricate history. The revision instead makes the existing vegetation, blood-culture result, and ceftriaxone course visible.</w:t>
            </w:r>
          </w:p>
        </w:tc>
        <w:tc>
          <w:tcPr>
            <w:tcW w:type="dxa" w:w="2016"/>
            <w:vAlign w:val="top"/>
          </w:tcPr>
          <w:p>
            <w:pPr>
              <w:spacing w:after="20" w:before="20"/>
            </w:pPr>
            <w:r>
              <w:rPr>
                <w:rFonts w:ascii="Calibri" w:hAnsi="Calibri" w:cs="Calibri"/>
                <w:b w:val="0"/>
                <w:sz w:val="20"/>
              </w:rPr>
              <w:t>No new temperature, valve, or dental history. Existing endocarditis evidence is stated in the narrative.</w:t>
            </w:r>
          </w:p>
        </w:tc>
        <w:tc>
          <w:tcPr>
            <w:tcW w:type="dxa" w:w="2160"/>
            <w:vAlign w:val="top"/>
          </w:tcPr>
          <w:p>
            <w:pPr>
              <w:spacing w:after="20" w:before="20"/>
            </w:pPr>
            <w:r>
              <w:rPr>
                <w:rFonts w:ascii="Calibri" w:hAnsi="Calibri" w:cs="Calibri"/>
                <w:b w:val="0"/>
                <w:sz w:val="20"/>
              </w:rPr>
              <w:t>CASE_SOURCE CaseVital temperature, CaseImaging vegetation, CaseMicrobiology; [E4].</w:t>
            </w:r>
          </w:p>
        </w:tc>
      </w:tr>
      <w:tr>
        <w:trPr>
          <w:cantSplit/>
        </w:trPr>
        <w:tc>
          <w:tcPr>
            <w:tcW w:type="dxa" w:w="1296"/>
            <w:vAlign w:val="top"/>
          </w:tcPr>
          <w:p>
            <w:pPr>
              <w:spacing w:after="20" w:before="20"/>
            </w:pPr>
            <w:r>
              <w:rPr>
                <w:rFonts w:ascii="Calibri" w:hAnsi="Calibri" w:cs="Calibri"/>
                <w:b w:val="0"/>
                <w:sz w:val="20"/>
              </w:rPr>
              <w:t>VAL-809-R2</w:t>
            </w:r>
          </w:p>
        </w:tc>
        <w:tc>
          <w:tcPr>
            <w:tcW w:type="dxa" w:w="2016"/>
            <w:vAlign w:val="top"/>
          </w:tcPr>
          <w:p>
            <w:pPr>
              <w:spacing w:after="20" w:before="20"/>
            </w:pPr>
            <w:r>
              <w:rPr>
                <w:rFonts w:ascii="Calibri" w:hAnsi="Calibri" w:cs="Calibri"/>
                <w:b w:val="0"/>
                <w:sz w:val="20"/>
              </w:rPr>
              <w:t>AKI was unexplained and lisinopril was continued despite AKI. Lisinopril should be held if the patient has an AKI.</w:t>
            </w:r>
          </w:p>
        </w:tc>
        <w:tc>
          <w:tcPr>
            <w:tcW w:type="dxa" w:w="2304"/>
            <w:vAlign w:val="top"/>
          </w:tcPr>
          <w:p>
            <w:pPr>
              <w:spacing w:after="20" w:before="20"/>
            </w:pPr>
            <w:r>
              <w:rPr>
                <w:rFonts w:ascii="Calibri" w:hAnsi="Calibri" w:cs="Calibri"/>
                <w:b w:val="0"/>
                <w:sz w:val="20"/>
              </w:rPr>
              <w:t>Creatinine is 1.3 mg/dL on admission and 0.8 mg/dL at discharge. No separate baseline is stored, so we did not label 1.3 mg/dL as proven AKI and did not change the reference from continue to hold. A hold while creatinine is 1.3 mg/dL is an acceptable alternative.</w:t>
            </w:r>
          </w:p>
        </w:tc>
        <w:tc>
          <w:tcPr>
            <w:tcW w:type="dxa" w:w="2016"/>
            <w:vAlign w:val="top"/>
          </w:tcPr>
          <w:p>
            <w:pPr>
              <w:spacing w:after="20" w:before="20"/>
            </w:pPr>
            <w:r>
              <w:rPr>
                <w:rFonts w:ascii="Calibri" w:hAnsi="Calibri" w:cs="Calibri"/>
                <w:b w:val="0"/>
                <w:sz w:val="20"/>
              </w:rPr>
              <w:t>Acceptable alternative added: hold lisinopril. Reference action remains continue.</w:t>
            </w:r>
          </w:p>
        </w:tc>
        <w:tc>
          <w:tcPr>
            <w:tcW w:type="dxa" w:w="2160"/>
            <w:vAlign w:val="top"/>
          </w:tcPr>
          <w:p>
            <w:pPr>
              <w:spacing w:after="20" w:before="20"/>
            </w:pPr>
            <w:r>
              <w:rPr>
                <w:rFonts w:ascii="Calibri" w:hAnsi="Calibri" w:cs="Calibri"/>
                <w:b w:val="0"/>
                <w:sz w:val="20"/>
              </w:rPr>
              <w:t>CASE_SOURCE CaseLab; [E3].</w:t>
            </w:r>
          </w:p>
        </w:tc>
      </w:tr>
      <w:tr>
        <w:trPr>
          <w:cantSplit/>
        </w:trPr>
        <w:tc>
          <w:tcPr>
            <w:tcW w:type="dxa" w:w="1296"/>
            <w:vAlign w:val="top"/>
          </w:tcPr>
          <w:p>
            <w:pPr>
              <w:spacing w:after="20" w:before="20"/>
            </w:pPr>
            <w:r>
              <w:rPr>
                <w:rFonts w:ascii="Calibri" w:hAnsi="Calibri" w:cs="Calibri"/>
                <w:b w:val="0"/>
                <w:sz w:val="20"/>
              </w:rPr>
              <w:t>VAL-809-R3</w:t>
            </w:r>
          </w:p>
        </w:tc>
        <w:tc>
          <w:tcPr>
            <w:tcW w:type="dxa" w:w="2016"/>
            <w:vAlign w:val="top"/>
          </w:tcPr>
          <w:p>
            <w:pPr>
              <w:spacing w:after="20" w:before="20"/>
            </w:pPr>
            <w:r>
              <w:rPr>
                <w:rFonts w:ascii="Calibri" w:hAnsi="Calibri" w:cs="Calibri"/>
                <w:b w:val="0"/>
                <w:sz w:val="20"/>
              </w:rPr>
              <w:t>Patient of this age would be very likely to have more than 2 home medications.</w:t>
            </w:r>
          </w:p>
        </w:tc>
        <w:tc>
          <w:tcPr>
            <w:tcW w:type="dxa" w:w="2304"/>
            <w:vAlign w:val="top"/>
          </w:tcPr>
          <w:p>
            <w:pPr>
              <w:spacing w:after="20" w:before="20"/>
            </w:pPr>
            <w:r>
              <w:rPr>
                <w:rFonts w:ascii="Calibri" w:hAnsi="Calibri" w:cs="Calibri"/>
                <w:b w:val="0"/>
                <w:sz w:val="20"/>
              </w:rPr>
              <w:t>We agree the list is short. We did not add medicines. The preserved home list contains only lisinopril and atorvastatin, and a longer list would be a new fact.</w:t>
            </w:r>
          </w:p>
        </w:tc>
        <w:tc>
          <w:tcPr>
            <w:tcW w:type="dxa" w:w="2016"/>
            <w:vAlign w:val="top"/>
          </w:tcPr>
          <w:p>
            <w:pPr>
              <w:spacing w:after="20" w:before="20"/>
            </w:pPr>
            <w:r>
              <w:rPr>
                <w:rFonts w:ascii="Calibri" w:hAnsi="Calibri" w:cs="Calibri"/>
                <w:b w:val="0"/>
                <w:sz w:val="20"/>
              </w:rPr>
              <w:t>No home medication added.</w:t>
            </w:r>
          </w:p>
        </w:tc>
        <w:tc>
          <w:tcPr>
            <w:tcW w:type="dxa" w:w="2160"/>
            <w:vAlign w:val="top"/>
          </w:tcPr>
          <w:p>
            <w:pPr>
              <w:spacing w:after="20" w:before="20"/>
            </w:pPr>
            <w:r>
              <w:rPr>
                <w:rFonts w:ascii="Calibri" w:hAnsi="Calibri" w:cs="Calibri"/>
                <w:b w:val="0"/>
                <w:sz w:val="20"/>
              </w:rPr>
              <w:t>CASE_SOURCE CaseMedication home context.</w:t>
            </w:r>
          </w:p>
        </w:tc>
      </w:tr>
    </w:tbl>
    <w:p>
      <w:pPr>
        <w:spacing w:after="40"/>
      </w:pPr>
    </w:p>
    <w:p>
      <w:pPr>
        <w:pStyle w:val="Heading3"/>
      </w:pPr>
      <w:r>
        <w:rPr>
          <w:rFonts w:ascii="Calibri" w:hAnsi="Calibri"/>
          <w:color w:val="1F3A5F"/>
        </w:rPr>
        <w:t>Evidence for changes</w:t>
      </w:r>
    </w:p>
    <w:p>
      <w:pPr>
        <w:spacing w:after="120"/>
      </w:pPr>
      <w:r>
        <w:rPr>
          <w:rFonts w:ascii="Calibri" w:hAnsi="Calibri" w:cs="Calibri"/>
          <w:b w:val="0"/>
          <w:sz w:val="22"/>
        </w:rPr>
        <w:t>[E3] KDIGO Clinical Practice Guideline for Acute Kidney Injury. Kidney International Supplements. 2012;2:1-138. https://kdigo.org/guidelines/acute-kidney-injury/. ACE inhibitors are reviewed during AKI. A single creatinine without a baseline does not by itself prove AKI.</w:t>
      </w:r>
    </w:p>
    <w:p>
      <w:pPr>
        <w:spacing w:after="120"/>
      </w:pPr>
      <w:r>
        <w:rPr>
          <w:rFonts w:ascii="Calibri" w:hAnsi="Calibri" w:cs="Calibri"/>
          <w:b w:val="0"/>
          <w:sz w:val="22"/>
        </w:rPr>
        <w:t>[E4] Baddour LM, et al. Infective Endocarditis in Adults: Diagnosis, Antimicrobial Therapy, and Management of Complications. A Scientific Statement From the American Heart Association. Circulation. 2015;132:1435-1486. doi:10.1161/CIR.0000000000000296. Predispositions include prosthetic valves and some dental settings. This chart's recorded findings are a vegetation and gram-positive cocci.</w:t>
      </w:r>
    </w:p>
    <w:p>
      <w:pPr>
        <w:keepNext/>
        <w:pageBreakBefore/>
      </w:pPr>
      <w:r>
        <w:rPr>
          <w:rFonts w:ascii="Calibri" w:hAnsi="Calibri" w:cs="Calibri"/>
          <w:b/>
          <w:color w:val="1F3A5F"/>
          <w:sz w:val="32"/>
        </w:rPr>
        <w:t>CASE VAL-813</w:t>
      </w:r>
    </w:p>
    <w:p>
      <w:pPr>
        <w:spacing w:after="120"/>
      </w:pPr>
      <w:r>
        <w:rPr>
          <w:rFonts w:ascii="Calibri" w:hAnsi="Calibri" w:cs="Calibri"/>
          <w:b w:val="0"/>
          <w:sz w:val="22"/>
        </w:rPr>
        <w:t>Round 2 revised case, version 2</w:t>
      </w:r>
    </w:p>
    <w:p>
      <w:pPr>
        <w:pStyle w:val="Heading2"/>
      </w:pPr>
      <w:r>
        <w:rPr>
          <w:rFonts w:ascii="Calibri" w:hAnsi="Calibri"/>
          <w:color w:val="1F3A5F"/>
        </w:rPr>
        <w:t>CURRENT ROUND 2 CASE</w:t>
      </w:r>
    </w:p>
    <w:p>
      <w:pPr>
        <w:pStyle w:val="Heading2"/>
      </w:pPr>
      <w:r>
        <w:rPr>
          <w:rFonts w:ascii="Calibri" w:hAnsi="Calibri"/>
          <w:color w:val="1F3A5F"/>
        </w:rPr>
        <w:t>Patient overview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3168"/>
            <w:shd w:val="clear" w:color="auto" w:fill="D9E2F3"/>
          </w:tcPr>
          <w:p>
            <w:pPr>
              <w:spacing w:after="20" w:before="20"/>
            </w:pPr>
            <w:r>
              <w:rPr>
                <w:rFonts w:ascii="Calibri" w:hAnsi="Calibri" w:cs="Calibri"/>
                <w:b/>
                <w:sz w:val="20"/>
              </w:rPr>
              <w:t>Field</w:t>
            </w:r>
          </w:p>
        </w:tc>
        <w:tc>
          <w:tcPr>
            <w:tcW w:type="dxa" w:w="6624"/>
            <w:shd w:val="clear" w:color="auto" w:fill="D9E2F3"/>
          </w:tcPr>
          <w:p>
            <w:pPr>
              <w:spacing w:after="20" w:before="20"/>
            </w:pPr>
            <w:r>
              <w:rPr>
                <w:rFonts w:ascii="Calibri" w:hAnsi="Calibri" w:cs="Calibri"/>
                <w:b/>
                <w:sz w:val="20"/>
              </w:rPr>
              <w:t>Value</w:t>
            </w:r>
          </w:p>
        </w:tc>
      </w:tr>
      <w:tr>
        <w:trPr>
          <w:cantSplit/>
        </w:trPr>
        <w:tc>
          <w:tcPr>
            <w:tcW w:type="dxa" w:w="3168"/>
            <w:vAlign w:val="top"/>
          </w:tcPr>
          <w:p>
            <w:pPr>
              <w:spacing w:after="20" w:before="20"/>
            </w:pPr>
            <w:r>
              <w:rPr>
                <w:rFonts w:ascii="Calibri" w:hAnsi="Calibri" w:cs="Calibri"/>
                <w:b w:val="0"/>
                <w:sz w:val="20"/>
              </w:rPr>
              <w:t>Age</w:t>
            </w:r>
          </w:p>
        </w:tc>
        <w:tc>
          <w:tcPr>
            <w:tcW w:type="dxa" w:w="6624"/>
            <w:vAlign w:val="top"/>
          </w:tcPr>
          <w:p>
            <w:pPr>
              <w:spacing w:after="20" w:before="20"/>
            </w:pPr>
            <w:r>
              <w:rPr>
                <w:rFonts w:ascii="Calibri" w:hAnsi="Calibri" w:cs="Calibri"/>
                <w:b w:val="0"/>
                <w:sz w:val="20"/>
              </w:rPr>
              <w:t>64</w:t>
            </w:r>
          </w:p>
        </w:tc>
      </w:tr>
      <w:tr>
        <w:trPr>
          <w:cantSplit/>
        </w:trPr>
        <w:tc>
          <w:tcPr>
            <w:tcW w:type="dxa" w:w="3168"/>
            <w:vAlign w:val="top"/>
          </w:tcPr>
          <w:p>
            <w:pPr>
              <w:spacing w:after="20" w:before="20"/>
            </w:pPr>
            <w:r>
              <w:rPr>
                <w:rFonts w:ascii="Calibri" w:hAnsi="Calibri" w:cs="Calibri"/>
                <w:b w:val="0"/>
                <w:sz w:val="20"/>
              </w:rPr>
              <w:t>Sex</w:t>
            </w:r>
          </w:p>
        </w:tc>
        <w:tc>
          <w:tcPr>
            <w:tcW w:type="dxa" w:w="6624"/>
            <w:vAlign w:val="top"/>
          </w:tcPr>
          <w:p>
            <w:pPr>
              <w:spacing w:after="20" w:before="20"/>
            </w:pPr>
            <w:r>
              <w:rPr>
                <w:rFonts w:ascii="Calibri" w:hAnsi="Calibri" w:cs="Calibri"/>
                <w:b w:val="0"/>
                <w:sz w:val="20"/>
              </w:rPr>
              <w:t>Female</w:t>
            </w:r>
          </w:p>
        </w:tc>
      </w:tr>
      <w:tr>
        <w:trPr>
          <w:cantSplit/>
        </w:trPr>
        <w:tc>
          <w:tcPr>
            <w:tcW w:type="dxa" w:w="3168"/>
            <w:vAlign w:val="top"/>
          </w:tcPr>
          <w:p>
            <w:pPr>
              <w:spacing w:after="20" w:before="20"/>
            </w:pPr>
            <w:r>
              <w:rPr>
                <w:rFonts w:ascii="Calibri" w:hAnsi="Calibri" w:cs="Calibri"/>
                <w:b w:val="0"/>
                <w:sz w:val="20"/>
              </w:rPr>
              <w:t>Admission diagnosis</w:t>
            </w:r>
          </w:p>
        </w:tc>
        <w:tc>
          <w:tcPr>
            <w:tcW w:type="dxa" w:w="6624"/>
            <w:vAlign w:val="top"/>
          </w:tcPr>
          <w:p>
            <w:pPr>
              <w:spacing w:after="20" w:before="20"/>
            </w:pPr>
            <w:r>
              <w:rPr>
                <w:rFonts w:ascii="Calibri" w:hAnsi="Calibri" w:cs="Calibri"/>
                <w:b w:val="0"/>
                <w:sz w:val="20"/>
              </w:rPr>
              <w:t>Other cytomegaloviral diseases</w:t>
            </w:r>
          </w:p>
        </w:tc>
      </w:tr>
      <w:tr>
        <w:trPr>
          <w:cantSplit/>
        </w:trPr>
        <w:tc>
          <w:tcPr>
            <w:tcW w:type="dxa" w:w="3168"/>
            <w:vAlign w:val="top"/>
          </w:tcPr>
          <w:p>
            <w:pPr>
              <w:spacing w:after="20" w:before="20"/>
            </w:pPr>
            <w:r>
              <w:rPr>
                <w:rFonts w:ascii="Calibri" w:hAnsi="Calibri" w:cs="Calibri"/>
                <w:b w:val="0"/>
                <w:sz w:val="20"/>
              </w:rPr>
              <w:t>Disposition</w:t>
            </w:r>
          </w:p>
        </w:tc>
        <w:tc>
          <w:tcPr>
            <w:tcW w:type="dxa" w:w="6624"/>
            <w:vAlign w:val="top"/>
          </w:tcPr>
          <w:p>
            <w:pPr>
              <w:spacing w:after="20" w:before="20"/>
            </w:pPr>
            <w:r>
              <w:rPr>
                <w:rFonts w:ascii="Calibri" w:hAnsi="Calibri" w:cs="Calibri"/>
                <w:b w:val="0"/>
                <w:sz w:val="20"/>
              </w:rPr>
              <w:t>home</w:t>
            </w:r>
          </w:p>
        </w:tc>
      </w:tr>
      <w:tr>
        <w:trPr>
          <w:cantSplit/>
        </w:trPr>
        <w:tc>
          <w:tcPr>
            <w:tcW w:type="dxa" w:w="3168"/>
            <w:vAlign w:val="top"/>
          </w:tcPr>
          <w:p>
            <w:pPr>
              <w:spacing w:after="20" w:before="20"/>
            </w:pPr>
            <w:r>
              <w:rPr>
                <w:rFonts w:ascii="Calibri" w:hAnsi="Calibri" w:cs="Calibri"/>
                <w:b w:val="0"/>
                <w:sz w:val="20"/>
              </w:rPr>
              <w:t>One-liner</w:t>
            </w:r>
          </w:p>
        </w:tc>
        <w:tc>
          <w:tcPr>
            <w:tcW w:type="dxa" w:w="6624"/>
            <w:vAlign w:val="top"/>
          </w:tcPr>
          <w:p>
            <w:pPr>
              <w:spacing w:after="20" w:before="20"/>
            </w:pPr>
            <w:r>
              <w:rPr>
                <w:rFonts w:ascii="Calibri" w:hAnsi="Calibri" w:cs="Calibri"/>
                <w:b w:val="0"/>
                <w:sz w:val="20"/>
              </w:rPr>
              <w:t>64-year-old Female with Other cytomegaloviral diseases</w:t>
            </w:r>
          </w:p>
        </w:tc>
      </w:tr>
    </w:tbl>
    <w:p>
      <w:pPr>
        <w:spacing w:after="40"/>
      </w:pPr>
    </w:p>
    <w:p>
      <w:pPr>
        <w:pStyle w:val="Heading2"/>
      </w:pPr>
      <w:r>
        <w:rPr>
          <w:rFonts w:ascii="Calibri" w:hAnsi="Calibri"/>
          <w:color w:val="1F3A5F"/>
        </w:rPr>
        <w:t>Presentation</w:t>
      </w:r>
    </w:p>
    <w:p>
      <w:pPr>
        <w:spacing w:after="120"/>
      </w:pPr>
      <w:r>
        <w:rPr>
          <w:rFonts w:ascii="Calibri" w:hAnsi="Calibri" w:cs="Calibri"/>
          <w:b w:val="0"/>
          <w:sz w:val="22"/>
        </w:rPr>
        <w:t>A 64-year-old Female with a kidney transplant is admitted with diarrhea for several days, described as improving. Before this admission she was taking valganciclovir 900 mg orally twice daily, tacrolimus 1 mg every 12 hours, amlodipine, and atorvastatin. The chart does not show valganciclovir being started for a first diagnosis during this stay. Potassium is 4.7 mmol/L on admission and 3.9 mmol/L at discharge, and no cause for that change is recorded. Creatinine is 1.2 mg/dL then 1.0 mg/dL.</w:t>
      </w:r>
    </w:p>
    <w:p>
      <w:pPr>
        <w:pStyle w:val="Heading3"/>
      </w:pPr>
      <w:r>
        <w:rPr>
          <w:rFonts w:ascii="Calibri" w:hAnsi="Calibri"/>
          <w:color w:val="1F3A5F"/>
        </w:rPr>
        <w:t>Admission note</w:t>
      </w:r>
    </w:p>
    <w:p>
      <w:pPr>
        <w:spacing w:after="120"/>
      </w:pPr>
      <w:r>
        <w:rPr>
          <w:rFonts w:ascii="Calibri" w:hAnsi="Calibri" w:cs="Calibri"/>
          <w:b w:val="0"/>
          <w:sz w:val="22"/>
        </w:rPr>
        <w:t>A 64-year-old Female with a kidney transplant is admitted with diarrhea for several days, described as improving. Before this admission she was taking valganciclovir 900 mg orally twice daily, tacrolimus 1 mg every 12 hours, amlodipine, and atorvastatin. The chart does not show valganciclovir being started for a first diagnosis during this stay. Potassium is 4.7 mmol/L on admission and 3.9 mmol/L at discharge, and no cause for that change is recorded. Creatinine is 1.2 mg/dL then 1.0 mg/dL.</w:t>
      </w:r>
    </w:p>
    <w:p>
      <w:pPr>
        <w:pStyle w:val="Heading2"/>
      </w:pPr>
      <w:r>
        <w:rPr>
          <w:rFonts w:ascii="Calibri" w:hAnsi="Calibri"/>
          <w:color w:val="1F3A5F"/>
        </w:rPr>
        <w:t>Hospital course</w:t>
      </w:r>
    </w:p>
    <w:p>
      <w:pPr>
        <w:spacing w:after="120"/>
      </w:pPr>
      <w:r>
        <w:rPr>
          <w:rFonts w:ascii="Calibri" w:hAnsi="Calibri" w:cs="Calibri"/>
          <w:b w:val="0"/>
          <w:sz w:val="22"/>
        </w:rPr>
        <w:t>Diarrhea is described as improving. Valganciclovir was already a home medicine. Potassium changed from 4.7 mmol/L to 3.9 mmol/L without a recorded cause. Creatinine is 1.2 mg/dL then 1.0 mg/dL.</w:t>
      </w:r>
    </w:p>
    <w:p>
      <w:pPr>
        <w:pStyle w:val="Heading2"/>
      </w:pPr>
      <w:r>
        <w:rPr>
          <w:rFonts w:ascii="Calibri" w:hAnsi="Calibri"/>
          <w:color w:val="1F3A5F"/>
        </w:rPr>
        <w:t>Diagnoses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4896"/>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4896"/>
            <w:vAlign w:val="top"/>
          </w:tcPr>
          <w:p>
            <w:pPr>
              <w:spacing w:after="20" w:before="20"/>
            </w:pPr>
            <w:r>
              <w:rPr>
                <w:rFonts w:ascii="Calibri" w:hAnsi="Calibri" w:cs="Calibri"/>
                <w:b w:val="0"/>
                <w:sz w:val="20"/>
              </w:rPr>
              <w:t>Other cytomegaloviral diseases</w:t>
            </w:r>
          </w:p>
        </w:tc>
        <w:tc>
          <w:tcPr>
            <w:tcW w:type="dxa" w:w="2448"/>
            <w:vAlign w:val="top"/>
          </w:tcPr>
          <w:p>
            <w:pPr>
              <w:spacing w:after="20" w:before="20"/>
            </w:pPr>
            <w:r>
              <w:rPr>
                <w:rFonts w:ascii="Calibri" w:hAnsi="Calibri" w:cs="Calibri"/>
                <w:b w:val="0"/>
                <w:sz w:val="20"/>
              </w:rPr>
              <w:t>admission</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Kidney transplant status</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Essential (primary) hypertension</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r>
        <w:trPr>
          <w:cantSplit/>
        </w:trPr>
        <w:tc>
          <w:tcPr>
            <w:tcW w:type="dxa" w:w="4896"/>
            <w:vAlign w:val="top"/>
          </w:tcPr>
          <w:p>
            <w:pPr>
              <w:spacing w:after="20" w:before="20"/>
            </w:pPr>
            <w:r>
              <w:rPr>
                <w:rFonts w:ascii="Calibri" w:hAnsi="Calibri" w:cs="Calibri"/>
                <w:b w:val="0"/>
                <w:sz w:val="20"/>
              </w:rPr>
              <w:t>Mixed hyperlipidemia</w:t>
            </w:r>
          </w:p>
        </w:tc>
        <w:tc>
          <w:tcPr>
            <w:tcW w:type="dxa" w:w="2448"/>
            <w:vAlign w:val="top"/>
          </w:tcPr>
          <w:p>
            <w:pPr>
              <w:spacing w:after="20" w:before="20"/>
            </w:pPr>
            <w:r>
              <w:rPr>
                <w:rFonts w:ascii="Calibri" w:hAnsi="Calibri" w:cs="Calibri"/>
                <w:b w:val="0"/>
                <w:sz w:val="20"/>
              </w:rPr>
              <w:t>past history</w:t>
            </w:r>
          </w:p>
        </w:tc>
        <w:tc>
          <w:tcPr>
            <w:tcW w:type="dxa" w:w="2448"/>
            <w:vAlign w:val="top"/>
          </w:tcPr>
          <w:p>
            <w:pPr>
              <w:spacing w:after="20" w:before="20"/>
            </w:pPr>
            <w:r>
              <w:rPr>
                <w:rFonts w:ascii="Calibri" w:hAnsi="Calibri" w:cs="Calibri"/>
                <w:b w:val="0"/>
                <w:sz w:val="20"/>
              </w:rPr>
              <w:t>active</w:t>
            </w:r>
          </w:p>
        </w:tc>
      </w:tr>
    </w:tbl>
    <w:p>
      <w:pPr>
        <w:spacing w:after="40"/>
      </w:pPr>
    </w:p>
    <w:p>
      <w:pPr>
        <w:pStyle w:val="Heading2"/>
      </w:pPr>
      <w:r>
        <w:rPr>
          <w:rFonts w:ascii="Calibri" w:hAnsi="Calibri"/>
          <w:color w:val="1F3A5F"/>
        </w:rPr>
        <w:t>Vital signs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2304"/>
            <w:shd w:val="clear" w:color="auto" w:fill="D9E2F3"/>
          </w:tcPr>
          <w:p>
            <w:pPr>
              <w:spacing w:after="20" w:before="20"/>
            </w:pPr>
            <w:r>
              <w:rPr>
                <w:rFonts w:ascii="Calibri" w:hAnsi="Calibri" w:cs="Calibri"/>
                <w:b/>
                <w:sz w:val="20"/>
              </w:rPr>
              <w:t>Time</w:t>
            </w:r>
          </w:p>
        </w:tc>
        <w:tc>
          <w:tcPr>
            <w:tcW w:type="dxa" w:w="2016"/>
            <w:shd w:val="clear" w:color="auto" w:fill="D9E2F3"/>
          </w:tcPr>
          <w:p>
            <w:pPr>
              <w:spacing w:after="20" w:before="20"/>
            </w:pPr>
            <w:r>
              <w:rPr>
                <w:rFonts w:ascii="Calibri" w:hAnsi="Calibri" w:cs="Calibri"/>
                <w:b/>
                <w:sz w:val="20"/>
              </w:rPr>
              <w:t>BP</w:t>
            </w:r>
          </w:p>
        </w:tc>
        <w:tc>
          <w:tcPr>
            <w:tcW w:type="dxa" w:w="1440"/>
            <w:shd w:val="clear" w:color="auto" w:fill="D9E2F3"/>
          </w:tcPr>
          <w:p>
            <w:pPr>
              <w:spacing w:after="20" w:before="20"/>
            </w:pPr>
            <w:r>
              <w:rPr>
                <w:rFonts w:ascii="Calibri" w:hAnsi="Calibri" w:cs="Calibri"/>
                <w:b/>
                <w:sz w:val="20"/>
              </w:rPr>
              <w:t>HR</w:t>
            </w:r>
          </w:p>
        </w:tc>
        <w:tc>
          <w:tcPr>
            <w:tcW w:type="dxa" w:w="2016"/>
            <w:shd w:val="clear" w:color="auto" w:fill="D9E2F3"/>
          </w:tcPr>
          <w:p>
            <w:pPr>
              <w:spacing w:after="20" w:before="20"/>
            </w:pPr>
            <w:r>
              <w:rPr>
                <w:rFonts w:ascii="Calibri" w:hAnsi="Calibri" w:cs="Calibri"/>
                <w:b/>
                <w:sz w:val="20"/>
              </w:rPr>
              <w:t>Temp</w:t>
            </w:r>
          </w:p>
        </w:tc>
        <w:tc>
          <w:tcPr>
            <w:tcW w:type="dxa" w:w="2016"/>
            <w:shd w:val="clear" w:color="auto" w:fill="D9E2F3"/>
          </w:tcPr>
          <w:p>
            <w:pPr>
              <w:spacing w:after="20" w:before="20"/>
            </w:pPr>
            <w:r>
              <w:rPr>
                <w:rFonts w:ascii="Calibri" w:hAnsi="Calibri" w:cs="Calibri"/>
                <w:b/>
                <w:sz w:val="20"/>
              </w:rPr>
              <w:t>SpO2</w:t>
            </w:r>
          </w:p>
        </w:tc>
      </w:tr>
      <w:tr>
        <w:trPr>
          <w:cantSplit/>
        </w:trPr>
        <w:tc>
          <w:tcPr>
            <w:tcW w:type="dxa" w:w="2304"/>
            <w:vAlign w:val="top"/>
          </w:tcPr>
          <w:p>
            <w:pPr>
              <w:spacing w:after="20" w:before="20"/>
            </w:pPr>
            <w:r>
              <w:rPr>
                <w:rFonts w:ascii="Calibri" w:hAnsi="Calibri" w:cs="Calibri"/>
                <w:b w:val="0"/>
                <w:sz w:val="20"/>
              </w:rPr>
              <w:t>admission</w:t>
            </w:r>
          </w:p>
        </w:tc>
        <w:tc>
          <w:tcPr>
            <w:tcW w:type="dxa" w:w="2016"/>
            <w:vAlign w:val="top"/>
          </w:tcPr>
          <w:p>
            <w:pPr>
              <w:spacing w:after="20" w:before="20"/>
            </w:pPr>
            <w:r>
              <w:rPr>
                <w:rFonts w:ascii="Calibri" w:hAnsi="Calibri" w:cs="Calibri"/>
                <w:b w:val="0"/>
                <w:sz w:val="20"/>
              </w:rPr>
              <w:t>147/80</w:t>
            </w:r>
          </w:p>
        </w:tc>
        <w:tc>
          <w:tcPr>
            <w:tcW w:type="dxa" w:w="1440"/>
            <w:vAlign w:val="top"/>
          </w:tcPr>
          <w:p>
            <w:pPr>
              <w:spacing w:after="20" w:before="20"/>
            </w:pPr>
            <w:r>
              <w:rPr>
                <w:rFonts w:ascii="Calibri" w:hAnsi="Calibri" w:cs="Calibri"/>
                <w:b w:val="0"/>
                <w:sz w:val="20"/>
              </w:rPr>
              <w:t>73</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r>
        <w:trPr>
          <w:cantSplit/>
        </w:trPr>
        <w:tc>
          <w:tcPr>
            <w:tcW w:type="dxa" w:w="2304"/>
            <w:vAlign w:val="top"/>
          </w:tcPr>
          <w:p>
            <w:pPr>
              <w:spacing w:after="20" w:before="20"/>
            </w:pPr>
            <w:r>
              <w:rPr>
                <w:rFonts w:ascii="Calibri" w:hAnsi="Calibri" w:cs="Calibri"/>
                <w:b w:val="0"/>
                <w:sz w:val="20"/>
              </w:rPr>
              <w:t>discharge</w:t>
            </w:r>
          </w:p>
        </w:tc>
        <w:tc>
          <w:tcPr>
            <w:tcW w:type="dxa" w:w="2016"/>
            <w:vAlign w:val="top"/>
          </w:tcPr>
          <w:p>
            <w:pPr>
              <w:spacing w:after="20" w:before="20"/>
            </w:pPr>
            <w:r>
              <w:rPr>
                <w:rFonts w:ascii="Calibri" w:hAnsi="Calibri" w:cs="Calibri"/>
                <w:b w:val="0"/>
                <w:sz w:val="20"/>
              </w:rPr>
              <w:t>134/80</w:t>
            </w:r>
          </w:p>
        </w:tc>
        <w:tc>
          <w:tcPr>
            <w:tcW w:type="dxa" w:w="1440"/>
            <w:vAlign w:val="top"/>
          </w:tcPr>
          <w:p>
            <w:pPr>
              <w:spacing w:after="20" w:before="20"/>
            </w:pPr>
            <w:r>
              <w:rPr>
                <w:rFonts w:ascii="Calibri" w:hAnsi="Calibri" w:cs="Calibri"/>
                <w:b w:val="0"/>
                <w:sz w:val="20"/>
              </w:rPr>
              <w:t>84</w:t>
            </w:r>
          </w:p>
        </w:tc>
        <w:tc>
          <w:tcPr>
            <w:tcW w:type="dxa" w:w="2016"/>
            <w:vAlign w:val="top"/>
          </w:tcPr>
          <w:p>
            <w:pPr>
              <w:spacing w:after="20" w:before="20"/>
            </w:pPr>
            <w:r>
              <w:rPr>
                <w:rFonts w:ascii="Calibri" w:hAnsi="Calibri" w:cs="Calibri"/>
                <w:b w:val="0"/>
                <w:sz w:val="20"/>
              </w:rPr>
              <w:t>36.80 °C</w:t>
            </w:r>
          </w:p>
        </w:tc>
        <w:tc>
          <w:tcPr>
            <w:tcW w:type="dxa" w:w="2016"/>
            <w:vAlign w:val="top"/>
          </w:tcPr>
          <w:p>
            <w:pPr>
              <w:spacing w:after="20" w:before="20"/>
            </w:pPr>
            <w:r>
              <w:rPr>
                <w:rFonts w:ascii="Calibri" w:hAnsi="Calibri" w:cs="Calibri"/>
                <w:b w:val="0"/>
                <w:sz w:val="20"/>
              </w:rPr>
              <w:t>98.00 %</w:t>
            </w:r>
          </w:p>
        </w:tc>
      </w:tr>
    </w:tbl>
    <w:p>
      <w:pPr>
        <w:spacing w:after="40"/>
      </w:pPr>
    </w:p>
    <w:p>
      <w:pPr>
        <w:pStyle w:val="Heading2"/>
      </w:pPr>
      <w:r>
        <w:rPr>
          <w:rFonts w:ascii="Calibri" w:hAnsi="Calibri"/>
          <w:color w:val="1F3A5F"/>
        </w:rPr>
        <w:t>Laboratory findings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3744"/>
            <w:shd w:val="clear" w:color="auto" w:fill="D9E2F3"/>
          </w:tcPr>
          <w:p>
            <w:pPr>
              <w:spacing w:after="20" w:before="20"/>
            </w:pPr>
            <w:r>
              <w:rPr>
                <w:rFonts w:ascii="Calibri" w:hAnsi="Calibri" w:cs="Calibri"/>
                <w:b/>
                <w:sz w:val="20"/>
              </w:rPr>
              <w:t>Test</w:t>
            </w:r>
          </w:p>
        </w:tc>
        <w:tc>
          <w:tcPr>
            <w:tcW w:type="dxa" w:w="2448"/>
            <w:shd w:val="clear" w:color="auto" w:fill="D9E2F3"/>
          </w:tcPr>
          <w:p>
            <w:pPr>
              <w:spacing w:after="20" w:before="20"/>
            </w:pPr>
            <w:r>
              <w:rPr>
                <w:rFonts w:ascii="Calibri" w:hAnsi="Calibri" w:cs="Calibri"/>
                <w:b/>
                <w:sz w:val="20"/>
              </w:rPr>
              <w:t>admission</w:t>
            </w:r>
          </w:p>
        </w:tc>
        <w:tc>
          <w:tcPr>
            <w:tcW w:type="dxa" w:w="2448"/>
            <w:shd w:val="clear" w:color="auto" w:fill="D9E2F3"/>
          </w:tcPr>
          <w:p>
            <w:pPr>
              <w:spacing w:after="20" w:before="20"/>
            </w:pPr>
            <w:r>
              <w:rPr>
                <w:rFonts w:ascii="Calibri" w:hAnsi="Calibri" w:cs="Calibri"/>
                <w:b/>
                <w:sz w:val="20"/>
              </w:rPr>
              <w:t>discharge</w:t>
            </w:r>
          </w:p>
        </w:tc>
        <w:tc>
          <w:tcPr>
            <w:tcW w:type="dxa" w:w="1152"/>
            <w:shd w:val="clear" w:color="auto" w:fill="D9E2F3"/>
          </w:tcPr>
          <w:p>
            <w:pPr>
              <w:spacing w:after="20" w:before="20"/>
            </w:pPr>
            <w:r>
              <w:rPr>
                <w:rFonts w:ascii="Calibri" w:hAnsi="Calibri" w:cs="Calibri"/>
                <w:b/>
                <w:sz w:val="20"/>
              </w:rPr>
              <w:t>Unit</w:t>
            </w:r>
          </w:p>
        </w:tc>
      </w:tr>
      <w:tr>
        <w:trPr>
          <w:cantSplit/>
        </w:trPr>
        <w:tc>
          <w:tcPr>
            <w:tcW w:type="dxa" w:w="3744"/>
            <w:vAlign w:val="top"/>
          </w:tcPr>
          <w:p>
            <w:pPr>
              <w:spacing w:after="20" w:before="20"/>
            </w:pPr>
            <w:r>
              <w:rPr>
                <w:rFonts w:ascii="Calibri" w:hAnsi="Calibri" w:cs="Calibri"/>
                <w:b w:val="0"/>
                <w:sz w:val="20"/>
              </w:rPr>
              <w:t>Creatinine [Mass/volume] in Serum or Plasma</w:t>
            </w:r>
          </w:p>
        </w:tc>
        <w:tc>
          <w:tcPr>
            <w:tcW w:type="dxa" w:w="2448"/>
            <w:vAlign w:val="top"/>
          </w:tcPr>
          <w:p>
            <w:pPr>
              <w:spacing w:after="20" w:before="20"/>
            </w:pPr>
            <w:r>
              <w:rPr>
                <w:rFonts w:ascii="Calibri" w:hAnsi="Calibri" w:cs="Calibri"/>
                <w:b w:val="0"/>
                <w:sz w:val="20"/>
              </w:rPr>
              <w:t>1.2</w:t>
            </w:r>
          </w:p>
        </w:tc>
        <w:tc>
          <w:tcPr>
            <w:tcW w:type="dxa" w:w="2448"/>
            <w:vAlign w:val="top"/>
          </w:tcPr>
          <w:p>
            <w:pPr>
              <w:spacing w:after="20" w:before="20"/>
            </w:pPr>
            <w:r>
              <w:rPr>
                <w:rFonts w:ascii="Calibri" w:hAnsi="Calibri" w:cs="Calibri"/>
                <w:b w:val="0"/>
                <w:sz w:val="20"/>
              </w:rPr>
              <w:t>1.0</w:t>
            </w:r>
          </w:p>
        </w:tc>
        <w:tc>
          <w:tcPr>
            <w:tcW w:type="dxa" w:w="1152"/>
            <w:vAlign w:val="top"/>
          </w:tcPr>
          <w:p>
            <w:pPr>
              <w:spacing w:after="20" w:before="20"/>
            </w:pPr>
            <w:r>
              <w:rPr>
                <w:rFonts w:ascii="Calibri" w:hAnsi="Calibri" w:cs="Calibri"/>
                <w:b w:val="0"/>
                <w:sz w:val="20"/>
              </w:rPr>
              <w:t>mg/dL</w:t>
            </w:r>
          </w:p>
        </w:tc>
      </w:tr>
      <w:tr>
        <w:trPr>
          <w:cantSplit/>
        </w:trPr>
        <w:tc>
          <w:tcPr>
            <w:tcW w:type="dxa" w:w="3744"/>
            <w:vAlign w:val="top"/>
          </w:tcPr>
          <w:p>
            <w:pPr>
              <w:spacing w:after="20" w:before="20"/>
            </w:pPr>
            <w:r>
              <w:rPr>
                <w:rFonts w:ascii="Calibri" w:hAnsi="Calibri" w:cs="Calibri"/>
                <w:b w:val="0"/>
                <w:sz w:val="20"/>
              </w:rPr>
              <w:t>Potassium [Moles/volume] in Serum or Plasma</w:t>
            </w:r>
          </w:p>
        </w:tc>
        <w:tc>
          <w:tcPr>
            <w:tcW w:type="dxa" w:w="2448"/>
            <w:vAlign w:val="top"/>
          </w:tcPr>
          <w:p>
            <w:pPr>
              <w:spacing w:after="20" w:before="20"/>
            </w:pPr>
            <w:r>
              <w:rPr>
                <w:rFonts w:ascii="Calibri" w:hAnsi="Calibri" w:cs="Calibri"/>
                <w:b w:val="0"/>
                <w:sz w:val="20"/>
              </w:rPr>
              <w:t>4.7</w:t>
            </w:r>
          </w:p>
        </w:tc>
        <w:tc>
          <w:tcPr>
            <w:tcW w:type="dxa" w:w="2448"/>
            <w:vAlign w:val="top"/>
          </w:tcPr>
          <w:p>
            <w:pPr>
              <w:spacing w:after="20" w:before="20"/>
            </w:pPr>
            <w:r>
              <w:rPr>
                <w:rFonts w:ascii="Calibri" w:hAnsi="Calibri" w:cs="Calibri"/>
                <w:b w:val="0"/>
                <w:sz w:val="20"/>
              </w:rPr>
              <w:t>3.9</w:t>
            </w:r>
          </w:p>
        </w:tc>
        <w:tc>
          <w:tcPr>
            <w:tcW w:type="dxa" w:w="1152"/>
            <w:vAlign w:val="top"/>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Time</w:t>
            </w:r>
          </w:p>
        </w:tc>
        <w:tc>
          <w:tcPr>
            <w:tcW w:type="dxa" w:w="3312"/>
            <w:shd w:val="clear" w:color="auto" w:fill="D9E2F3"/>
          </w:tcPr>
          <w:p>
            <w:pPr>
              <w:spacing w:after="20" w:before="20"/>
            </w:pPr>
            <w:r>
              <w:rPr>
                <w:rFonts w:ascii="Calibri" w:hAnsi="Calibri" w:cs="Calibri"/>
                <w:b/>
                <w:sz w:val="20"/>
              </w:rPr>
              <w:t>Weight (kg)</w:t>
            </w:r>
          </w:p>
        </w:tc>
        <w:tc>
          <w:tcPr>
            <w:tcW w:type="dxa" w:w="3312"/>
            <w:shd w:val="clear" w:color="auto" w:fill="D9E2F3"/>
          </w:tcPr>
          <w:p>
            <w:pPr>
              <w:spacing w:after="20" w:before="20"/>
            </w:pPr>
            <w:r>
              <w:rPr>
                <w:rFonts w:ascii="Calibri" w:hAnsi="Calibri" w:cs="Calibri"/>
                <w:b/>
                <w:sz w:val="20"/>
              </w:rPr>
              <w:t>Dry weight (kg)</w:t>
            </w:r>
          </w:p>
        </w:tc>
      </w:tr>
      <w:tr>
        <w:trPr>
          <w:cantSplit/>
        </w:trPr>
        <w:tc>
          <w:tcPr>
            <w:tcW w:type="dxa" w:w="3168"/>
            <w:vAlign w:val="top"/>
          </w:tcPr>
          <w:p>
            <w:pPr>
              <w:spacing w:after="20" w:before="20"/>
            </w:pPr>
            <w:r>
              <w:rPr>
                <w:rFonts w:ascii="Calibri" w:hAnsi="Calibri" w:cs="Calibri"/>
                <w:b w:val="0"/>
                <w:sz w:val="20"/>
              </w:rPr>
              <w:t>admission</w:t>
            </w:r>
          </w:p>
        </w:tc>
        <w:tc>
          <w:tcPr>
            <w:tcW w:type="dxa" w:w="3312"/>
            <w:vAlign w:val="top"/>
          </w:tcPr>
          <w:p>
            <w:pPr>
              <w:spacing w:after="20" w:before="20"/>
            </w:pPr>
            <w:r>
              <w:rPr>
                <w:rFonts w:ascii="Calibri" w:hAnsi="Calibri" w:cs="Calibri"/>
                <w:b w:val="0"/>
                <w:sz w:val="20"/>
              </w:rPr>
              <w:t>68.000</w:t>
            </w:r>
          </w:p>
        </w:tc>
        <w:tc>
          <w:tcPr>
            <w:tcW w:type="dxa" w:w="3312"/>
            <w:vAlign w:val="top"/>
          </w:tcPr>
          <w:p>
            <w:pPr>
              <w:spacing w:after="20" w:before="20"/>
            </w:pPr>
            <w:r>
              <w:rPr>
                <w:rFonts w:ascii="Calibri" w:hAnsi="Calibri" w:cs="Calibri"/>
                <w:b w:val="0"/>
                <w:sz w:val="20"/>
              </w:rPr>
            </w:r>
          </w:p>
        </w:tc>
      </w:tr>
      <w:tr>
        <w:trPr>
          <w:cantSplit/>
        </w:trPr>
        <w:tc>
          <w:tcPr>
            <w:tcW w:type="dxa" w:w="3168"/>
            <w:vAlign w:val="top"/>
          </w:tcPr>
          <w:p>
            <w:pPr>
              <w:spacing w:after="20" w:before="20"/>
            </w:pPr>
            <w:r>
              <w:rPr>
                <w:rFonts w:ascii="Calibri" w:hAnsi="Calibri" w:cs="Calibri"/>
                <w:b w:val="0"/>
                <w:sz w:val="20"/>
              </w:rPr>
              <w:t>discharge</w:t>
            </w:r>
          </w:p>
        </w:tc>
        <w:tc>
          <w:tcPr>
            <w:tcW w:type="dxa" w:w="3312"/>
            <w:vAlign w:val="top"/>
          </w:tcPr>
          <w:p>
            <w:pPr>
              <w:spacing w:after="20" w:before="20"/>
            </w:pPr>
            <w:r>
              <w:rPr>
                <w:rFonts w:ascii="Calibri" w:hAnsi="Calibri" w:cs="Calibri"/>
                <w:b w:val="0"/>
                <w:sz w:val="20"/>
              </w:rPr>
              <w:t>66.000</w:t>
            </w:r>
          </w:p>
        </w:tc>
        <w:tc>
          <w:tcPr>
            <w:tcW w:type="dxa" w:w="3312"/>
            <w:vAlign w:val="top"/>
          </w:tcPr>
          <w:p>
            <w:pPr>
              <w:spacing w:after="20" w:before="20"/>
            </w:pPr>
            <w:r>
              <w:rPr>
                <w:rFonts w:ascii="Calibri" w:hAnsi="Calibri" w:cs="Calibri"/>
                <w:b w:val="0"/>
                <w:sz w:val="20"/>
              </w:rPr>
              <w:t>63.000</w:t>
            </w:r>
          </w:p>
        </w:tc>
      </w:tr>
    </w:tbl>
    <w:p>
      <w:pPr>
        <w:spacing w:after="40"/>
      </w:pP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blHeader/>
        </w:trPr>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vAlign w:val="top"/>
          </w:tcPr>
          <w:p>
            <w:pPr>
              <w:spacing w:after="20" w:before="20"/>
            </w:pPr>
            <w:r>
              <w:rPr>
                <w:rFonts w:ascii="Calibri" w:hAnsi="Calibri" w:cs="Calibri"/>
                <w:b w:val="0"/>
                <w:sz w:val="20"/>
              </w:rPr>
              <w:t>hospital day 5</w:t>
            </w:r>
          </w:p>
        </w:tc>
        <w:tc>
          <w:tcPr>
            <w:tcW w:type="dxa" w:w="2448"/>
            <w:vAlign w:val="top"/>
          </w:tcPr>
          <w:p>
            <w:pPr>
              <w:spacing w:after="20" w:before="20"/>
            </w:pPr>
            <w:r>
              <w:rPr>
                <w:rFonts w:ascii="Calibri" w:hAnsi="Calibri" w:cs="Calibri"/>
                <w:b w:val="0"/>
                <w:sz w:val="20"/>
              </w:rPr>
              <w:t>1655</w:t>
            </w:r>
          </w:p>
        </w:tc>
        <w:tc>
          <w:tcPr>
            <w:tcW w:type="dxa" w:w="2448"/>
            <w:vAlign w:val="top"/>
          </w:tcPr>
          <w:p>
            <w:pPr>
              <w:spacing w:after="20" w:before="20"/>
            </w:pPr>
            <w:r>
              <w:rPr>
                <w:rFonts w:ascii="Calibri" w:hAnsi="Calibri" w:cs="Calibri"/>
                <w:b w:val="0"/>
                <w:sz w:val="20"/>
              </w:rPr>
              <w:t>1812</w:t>
            </w:r>
          </w:p>
        </w:tc>
        <w:tc>
          <w:tcPr>
            <w:tcW w:type="dxa" w:w="2448"/>
            <w:vAlign w:val="top"/>
          </w:tcPr>
          <w:p>
            <w:pPr>
              <w:spacing w:after="20" w:before="20"/>
            </w:pPr>
            <w:r>
              <w:rPr>
                <w:rFonts w:ascii="Calibri" w:hAnsi="Calibri" w:cs="Calibri"/>
                <w:b w:val="0"/>
                <w:sz w:val="20"/>
              </w:rPr>
              <w:t>-157</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Inpatient medications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3024"/>
            <w:shd w:val="clear" w:color="auto" w:fill="D9E2F3"/>
          </w:tcPr>
          <w:p>
            <w:pPr>
              <w:spacing w:after="20" w:before="20"/>
            </w:pPr>
            <w:r>
              <w:rPr>
                <w:rFonts w:ascii="Calibri" w:hAnsi="Calibri" w:cs="Calibri"/>
                <w:b/>
                <w:sz w:val="20"/>
              </w:rPr>
              <w:t>Medication</w:t>
            </w:r>
          </w:p>
        </w:tc>
        <w:tc>
          <w:tcPr>
            <w:tcW w:type="dxa" w:w="1296"/>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84"/>
            <w:shd w:val="clear" w:color="auto" w:fill="D9E2F3"/>
          </w:tcPr>
          <w:p>
            <w:pPr>
              <w:spacing w:after="20" w:before="20"/>
            </w:pPr>
            <w:r>
              <w:rPr>
                <w:rFonts w:ascii="Calibri" w:hAnsi="Calibri" w:cs="Calibri"/>
                <w:b/>
                <w:sz w:val="20"/>
              </w:rPr>
              <w:t>Frequency</w:t>
            </w:r>
          </w:p>
        </w:tc>
        <w:tc>
          <w:tcPr>
            <w:tcW w:type="dxa" w:w="2736"/>
            <w:shd w:val="clear" w:color="auto" w:fill="D9E2F3"/>
          </w:tcPr>
          <w:p>
            <w:pPr>
              <w:spacing w:after="20" w:before="20"/>
            </w:pPr>
            <w:r>
              <w:rPr>
                <w:rFonts w:ascii="Calibri" w:hAnsi="Calibri" w:cs="Calibri"/>
                <w:b/>
                <w:sz w:val="20"/>
              </w:rPr>
              <w:t>Indication</w:t>
            </w:r>
          </w:p>
        </w:tc>
      </w:tr>
      <w:tr>
        <w:trPr>
          <w:cantSplit/>
        </w:trPr>
        <w:tc>
          <w:tcPr>
            <w:tcW w:type="dxa" w:w="3024"/>
            <w:vAlign w:val="top"/>
          </w:tcPr>
          <w:p>
            <w:pPr>
              <w:spacing w:after="20" w:before="20"/>
            </w:pPr>
            <w:r>
              <w:rPr>
                <w:rFonts w:ascii="Calibri" w:hAnsi="Calibri" w:cs="Calibri"/>
                <w:b w:val="0"/>
                <w:sz w:val="20"/>
              </w:rPr>
              <w:t>BX Rating tacrolimus 1 MG Oral Capsule</w:t>
            </w:r>
          </w:p>
        </w:tc>
        <w:tc>
          <w:tcPr>
            <w:tcW w:type="dxa" w:w="1296"/>
            <w:vAlign w:val="top"/>
          </w:tcPr>
          <w:p>
            <w:pPr>
              <w:spacing w:after="20" w:before="20"/>
            </w:pPr>
            <w:r>
              <w:rPr>
                <w:rFonts w:ascii="Calibri" w:hAnsi="Calibri" w:cs="Calibri"/>
                <w:b w:val="0"/>
                <w:sz w:val="20"/>
              </w:rPr>
              <w:t>1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every 12 hours</w:t>
            </w:r>
          </w:p>
        </w:tc>
        <w:tc>
          <w:tcPr>
            <w:tcW w:type="dxa" w:w="2736"/>
            <w:vAlign w:val="top"/>
          </w:tcPr>
          <w:p>
            <w:pPr>
              <w:spacing w:after="20" w:before="20"/>
            </w:pPr>
            <w:r>
              <w:rPr>
                <w:rFonts w:ascii="Calibri" w:hAnsi="Calibri" w:cs="Calibri"/>
                <w:b w:val="0"/>
                <w:sz w:val="20"/>
              </w:rPr>
              <w:t>Indication: Kidney transplant status</w:t>
            </w:r>
          </w:p>
        </w:tc>
      </w:tr>
      <w:tr>
        <w:trPr>
          <w:cantSplit/>
        </w:trPr>
        <w:tc>
          <w:tcPr>
            <w:tcW w:type="dxa" w:w="3024"/>
            <w:vAlign w:val="top"/>
          </w:tcPr>
          <w:p>
            <w:pPr>
              <w:spacing w:after="20" w:before="20"/>
            </w:pPr>
            <w:r>
              <w:rPr>
                <w:rFonts w:ascii="Calibri" w:hAnsi="Calibri" w:cs="Calibri"/>
                <w:b w:val="0"/>
                <w:sz w:val="20"/>
              </w:rPr>
              <w:t>amlodipine 5 MG Oral Tablet</w:t>
            </w:r>
          </w:p>
        </w:tc>
        <w:tc>
          <w:tcPr>
            <w:tcW w:type="dxa" w:w="1296"/>
            <w:vAlign w:val="top"/>
          </w:tcPr>
          <w:p>
            <w:pPr>
              <w:spacing w:after="20" w:before="20"/>
            </w:pPr>
            <w:r>
              <w:rPr>
                <w:rFonts w:ascii="Calibri" w:hAnsi="Calibri" w:cs="Calibri"/>
                <w:b w:val="0"/>
                <w:sz w:val="20"/>
              </w:rPr>
              <w:t>5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Essential (primary) hypertension</w:t>
            </w:r>
          </w:p>
        </w:tc>
      </w:tr>
      <w:tr>
        <w:trPr>
          <w:cantSplit/>
        </w:trPr>
        <w:tc>
          <w:tcPr>
            <w:tcW w:type="dxa" w:w="3024"/>
            <w:vAlign w:val="top"/>
          </w:tcPr>
          <w:p>
            <w:pPr>
              <w:spacing w:after="20" w:before="20"/>
            </w:pPr>
            <w:r>
              <w:rPr>
                <w:rFonts w:ascii="Calibri" w:hAnsi="Calibri" w:cs="Calibri"/>
                <w:b w:val="0"/>
                <w:sz w:val="20"/>
              </w:rPr>
              <w:t>atorvastatin 40 MG Oral Tablet</w:t>
            </w:r>
          </w:p>
        </w:tc>
        <w:tc>
          <w:tcPr>
            <w:tcW w:type="dxa" w:w="1296"/>
            <w:vAlign w:val="top"/>
          </w:tcPr>
          <w:p>
            <w:pPr>
              <w:spacing w:after="20" w:before="20"/>
            </w:pPr>
            <w:r>
              <w:rPr>
                <w:rFonts w:ascii="Calibri" w:hAnsi="Calibri" w:cs="Calibri"/>
                <w:b w:val="0"/>
                <w:sz w:val="20"/>
              </w:rPr>
              <w:t>40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once daily</w:t>
            </w:r>
          </w:p>
        </w:tc>
        <w:tc>
          <w:tcPr>
            <w:tcW w:type="dxa" w:w="2736"/>
            <w:vAlign w:val="top"/>
          </w:tcPr>
          <w:p>
            <w:pPr>
              <w:spacing w:after="20" w:before="20"/>
            </w:pPr>
            <w:r>
              <w:rPr>
                <w:rFonts w:ascii="Calibri" w:hAnsi="Calibri" w:cs="Calibri"/>
                <w:b w:val="0"/>
                <w:sz w:val="20"/>
              </w:rPr>
              <w:t>Indication: Mixed hyperlipidemia</w:t>
            </w:r>
          </w:p>
        </w:tc>
      </w:tr>
      <w:tr>
        <w:trPr>
          <w:cantSplit/>
        </w:trPr>
        <w:tc>
          <w:tcPr>
            <w:tcW w:type="dxa" w:w="3024"/>
            <w:vAlign w:val="top"/>
          </w:tcPr>
          <w:p>
            <w:pPr>
              <w:spacing w:after="20" w:before="20"/>
            </w:pPr>
            <w:r>
              <w:rPr>
                <w:rFonts w:ascii="Calibri" w:hAnsi="Calibri" w:cs="Calibri"/>
                <w:b w:val="0"/>
                <w:sz w:val="20"/>
              </w:rPr>
              <w:t>valganciclovir 450 MG Oral Tablet</w:t>
            </w:r>
          </w:p>
        </w:tc>
        <w:tc>
          <w:tcPr>
            <w:tcW w:type="dxa" w:w="1296"/>
            <w:vAlign w:val="top"/>
          </w:tcPr>
          <w:p>
            <w:pPr>
              <w:spacing w:after="20" w:before="20"/>
            </w:pPr>
            <w:r>
              <w:rPr>
                <w:rFonts w:ascii="Calibri" w:hAnsi="Calibri" w:cs="Calibri"/>
                <w:b w:val="0"/>
                <w:sz w:val="20"/>
              </w:rPr>
              <w:t>900 MG</w:t>
            </w:r>
          </w:p>
        </w:tc>
        <w:tc>
          <w:tcPr>
            <w:tcW w:type="dxa" w:w="1152"/>
            <w:vAlign w:val="top"/>
          </w:tcPr>
          <w:p>
            <w:pPr>
              <w:spacing w:after="20" w:before="20"/>
            </w:pPr>
            <w:r>
              <w:rPr>
                <w:rFonts w:ascii="Calibri" w:hAnsi="Calibri" w:cs="Calibri"/>
                <w:b w:val="0"/>
                <w:sz w:val="20"/>
              </w:rPr>
              <w:t>oral</w:t>
            </w:r>
          </w:p>
        </w:tc>
        <w:tc>
          <w:tcPr>
            <w:tcW w:type="dxa" w:w="1584"/>
            <w:vAlign w:val="top"/>
          </w:tcPr>
          <w:p>
            <w:pPr>
              <w:spacing w:after="20" w:before="20"/>
            </w:pPr>
            <w:r>
              <w:rPr>
                <w:rFonts w:ascii="Calibri" w:hAnsi="Calibri" w:cs="Calibri"/>
                <w:b w:val="0"/>
                <w:sz w:val="20"/>
              </w:rPr>
              <w:t>twice daily</w:t>
            </w:r>
          </w:p>
        </w:tc>
        <w:tc>
          <w:tcPr>
            <w:tcW w:type="dxa" w:w="2736"/>
            <w:vAlign w:val="top"/>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blHeader/>
        </w:trPr>
        <w:tc>
          <w:tcPr>
            <w:tcW w:type="dxa" w:w="4896"/>
            <w:shd w:val="clear" w:color="auto" w:fill="D9E2F3"/>
          </w:tcPr>
          <w:p>
            <w:pPr>
              <w:spacing w:after="20" w:before="20"/>
            </w:pPr>
            <w:r>
              <w:rPr>
                <w:rFonts w:ascii="Calibri" w:hAnsi="Calibri" w:cs="Calibri"/>
                <w:b/>
                <w:sz w:val="20"/>
              </w:rPr>
              <w:t>Procedure</w:t>
            </w:r>
          </w:p>
        </w:tc>
        <w:tc>
          <w:tcPr>
            <w:tcW w:type="dxa" w:w="4896"/>
            <w:shd w:val="clear" w:color="auto" w:fill="D9E2F3"/>
          </w:tcPr>
          <w:p>
            <w:pPr>
              <w:spacing w:after="20" w:before="20"/>
            </w:pPr>
            <w:r>
              <w:rPr>
                <w:rFonts w:ascii="Calibri" w:hAnsi="Calibri" w:cs="Calibri"/>
                <w:b/>
                <w:sz w:val="20"/>
              </w:rPr>
              <w:t>Findings</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detected and supported antiviral treatment.</w:t>
            </w:r>
          </w:p>
        </w:tc>
      </w:tr>
      <w:tr>
        <w:trPr>
          <w:cantSplit/>
        </w:trPr>
        <w:tc>
          <w:tcPr>
            <w:tcW w:type="dxa" w:w="4896"/>
            <w:vAlign w:val="top"/>
          </w:tcPr>
          <w:p>
            <w:pPr>
              <w:spacing w:after="20" w:before="20"/>
            </w:pPr>
            <w:r>
              <w:rPr>
                <w:rFonts w:ascii="Calibri" w:hAnsi="Calibri" w:cs="Calibri"/>
                <w:b w:val="0"/>
                <w:sz w:val="20"/>
              </w:rPr>
              <w:t>CMV viral-load review</w:t>
            </w:r>
          </w:p>
        </w:tc>
        <w:tc>
          <w:tcPr>
            <w:tcW w:type="dxa" w:w="4896"/>
            <w:vAlign w:val="top"/>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Service</w:t>
            </w:r>
          </w:p>
        </w:tc>
        <w:tc>
          <w:tcPr>
            <w:tcW w:type="dxa" w:w="3264"/>
            <w:shd w:val="clear" w:color="auto" w:fill="D9E2F3"/>
          </w:tcPr>
          <w:p>
            <w:pPr>
              <w:spacing w:after="20" w:before="20"/>
            </w:pPr>
            <w:r>
              <w:rPr>
                <w:rFonts w:ascii="Calibri" w:hAnsi="Calibri" w:cs="Calibri"/>
                <w:b/>
                <w:sz w:val="20"/>
              </w:rPr>
              <w:t>Assessment</w:t>
            </w:r>
          </w:p>
        </w:tc>
        <w:tc>
          <w:tcPr>
            <w:tcW w:type="dxa" w:w="3264"/>
            <w:shd w:val="clear" w:color="auto" w:fill="D9E2F3"/>
          </w:tcPr>
          <w:p>
            <w:pPr>
              <w:spacing w:after="20" w:before="20"/>
            </w:pPr>
            <w:r>
              <w:rPr>
                <w:rFonts w:ascii="Calibri" w:hAnsi="Calibri" w:cs="Calibri"/>
                <w:b/>
                <w:sz w:val="20"/>
              </w:rPr>
              <w:t>Recommendation</w:t>
            </w:r>
          </w:p>
        </w:tc>
      </w:tr>
      <w:tr>
        <w:trPr>
          <w:cantSplit/>
        </w:trPr>
        <w:tc>
          <w:tcPr>
            <w:tcW w:type="dxa" w:w="3264"/>
            <w:vAlign w:val="top"/>
          </w:tcPr>
          <w:p>
            <w:pPr>
              <w:spacing w:after="20" w:before="20"/>
            </w:pPr>
            <w:r>
              <w:rPr>
                <w:rFonts w:ascii="Calibri" w:hAnsi="Calibri" w:cs="Calibri"/>
                <w:b w:val="0"/>
                <w:sz w:val="20"/>
              </w:rPr>
              <w:t>transplant</w:t>
            </w:r>
          </w:p>
        </w:tc>
        <w:tc>
          <w:tcPr>
            <w:tcW w:type="dxa" w:w="3264"/>
            <w:vAlign w:val="top"/>
          </w:tcPr>
          <w:p>
            <w:pPr>
              <w:spacing w:after="20" w:before="20"/>
            </w:pPr>
            <w:r>
              <w:rPr>
                <w:rFonts w:ascii="Calibri" w:hAnsi="Calibri" w:cs="Calibri"/>
                <w:b w:val="0"/>
                <w:sz w:val="20"/>
              </w:rPr>
              <w:t>Transplant-service recommendations were recorded.</w:t>
            </w:r>
          </w:p>
        </w:tc>
        <w:tc>
          <w:tcPr>
            <w:tcW w:type="dxa" w:w="3264"/>
            <w:vAlign w:val="top"/>
          </w:tcPr>
          <w:p>
            <w:pPr>
              <w:spacing w:after="20" w:before="20"/>
            </w:pPr>
            <w:r>
              <w:rPr>
                <w:rFonts w:ascii="Calibri" w:hAnsi="Calibri" w:cs="Calibri"/>
                <w:b w:val="0"/>
                <w:sz w:val="20"/>
              </w:rPr>
              <w:t>Continue immunosuppression with infection-related adjustments as documented.</w:t>
            </w:r>
          </w:p>
        </w:tc>
      </w:tr>
      <w:tr>
        <w:trPr>
          <w:cantSplit/>
        </w:trPr>
        <w:tc>
          <w:tcPr>
            <w:tcW w:type="dxa" w:w="3264"/>
            <w:vAlign w:val="top"/>
          </w:tcPr>
          <w:p>
            <w:pPr>
              <w:spacing w:after="20" w:before="20"/>
            </w:pPr>
            <w:r>
              <w:rPr>
                <w:rFonts w:ascii="Calibri" w:hAnsi="Calibri" w:cs="Calibri"/>
                <w:b w:val="0"/>
                <w:sz w:val="20"/>
              </w:rPr>
              <w:t>infectious disease</w:t>
            </w:r>
          </w:p>
        </w:tc>
        <w:tc>
          <w:tcPr>
            <w:tcW w:type="dxa" w:w="3264"/>
            <w:vAlign w:val="top"/>
          </w:tcPr>
          <w:p>
            <w:pPr>
              <w:spacing w:after="20" w:before="20"/>
            </w:pPr>
            <w:r>
              <w:rPr>
                <w:rFonts w:ascii="Calibri" w:hAnsi="Calibri" w:cs="Calibri"/>
                <w:b w:val="0"/>
                <w:sz w:val="20"/>
              </w:rPr>
              <w:t>Infectious-disease recommendations were recorded.</w:t>
            </w:r>
          </w:p>
        </w:tc>
        <w:tc>
          <w:tcPr>
            <w:tcW w:type="dxa" w:w="3264"/>
            <w:vAlign w:val="top"/>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vAlign w:val="top"/>
          </w:tcPr>
          <w:p>
            <w:pPr>
              <w:spacing w:after="20" w:before="20"/>
            </w:pPr>
            <w:r>
              <w:rPr>
                <w:rFonts w:ascii="Calibri" w:hAnsi="Calibri" w:cs="Calibri"/>
                <w:b w:val="0"/>
                <w:sz w:val="20"/>
              </w:rPr>
              <w:t>Transplant clinic follow-up after antiviral conversion</w:t>
            </w:r>
          </w:p>
        </w:tc>
        <w:tc>
          <w:tcPr>
            <w:tcW w:type="dxa" w:w="3264"/>
            <w:vAlign w:val="top"/>
          </w:tcPr>
          <w:p>
            <w:pPr>
              <w:spacing w:after="20" w:before="20"/>
            </w:pPr>
            <w:r>
              <w:rPr>
                <w:rFonts w:ascii="Calibri" w:hAnsi="Calibri" w:cs="Calibri"/>
                <w:b w:val="0"/>
                <w:sz w:val="20"/>
              </w:rPr>
              <w:t>7 days</w:t>
            </w:r>
          </w:p>
        </w:tc>
        <w:tc>
          <w:tcPr>
            <w:tcW w:type="dxa" w:w="3264"/>
            <w:vAlign w:val="top"/>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C1 — Clinical plausibility</w:t>
      </w:r>
    </w:p>
    <w:p>
      <w:pPr>
        <w:spacing w:after="120"/>
      </w:pPr>
      <w:r>
        <w:rPr>
          <w:rFonts w:ascii="Calibri" w:hAnsi="Calibri" w:cs="Calibri"/>
          <w:b w:val="0"/>
          <w:sz w:val="22"/>
        </w:rPr>
        <w:t>1 = implausible. 2 = substantial revision required. 3 = plausible with minor concern. 4 = fully plausible.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tcPr>
          <w:p>
            <w:pPr>
              <w:spacing w:after="20" w:before="20"/>
            </w:pPr>
            <w:r>
              <w:rPr>
                <w:rFonts w:ascii="Calibri" w:hAnsi="Calibri" w:cs="Calibri"/>
                <w:b w:val="0"/>
                <w:sz w:val="20"/>
              </w:rPr>
              <w:t>Presentation and demographics</w:t>
            </w:r>
          </w:p>
        </w:tc>
        <w:tc>
          <w:tcPr>
            <w:tcW w:type="dxa" w:w="1152"/>
            <w:vAlign w:val="center"/>
          </w:tcPr>
          <w:p>
            <w:pPr>
              <w:jc w:val="center"/>
            </w:pPr>
            <w:r/>
            <w:sdt>
              <w:sdtPr>
                <w:rPr>
                  <w:rFonts w:ascii="MS Gothic" w:hAnsi="MS Gothic" w:cs="MS Gothic" w:eastAsia="MS Gothic" w:hint="eastAsia"/>
                  <w:sz w:val="28"/>
                  <w:szCs w:val="28"/>
                </w:rPr>
                <w:alias w:val="VAL-813 C1 Presentation and demographics 1"/>
                <w:tag w:val="VAL-813-c1-Presentation and demographic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2"/>
                <w:tag w:val="VAL-813-c1-Presentation and demographic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3"/>
                <w:tag w:val="VAL-813-c1-Presentation and demographic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Presentation and demographics 4"/>
                <w:tag w:val="VAL-813-c1-Presentation and demographic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Fit between presentation and diagnosis</w:t>
            </w:r>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1"/>
                <w:tag w:val="VAL-813-c1-Fit between presentation and diagnosis-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2"/>
                <w:tag w:val="VAL-813-c1-Fit between presentation and diagnosis-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3"/>
                <w:tag w:val="VAL-813-c1-Fit between presentation and diagnosis-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Fit between presentation and diagnosis 4"/>
                <w:tag w:val="VAL-813-c1-Fit between presentation and diagnosis-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Vital signs</w:t>
            </w:r>
          </w:p>
        </w:tc>
        <w:tc>
          <w:tcPr>
            <w:tcW w:type="dxa" w:w="1152"/>
            <w:vAlign w:val="center"/>
          </w:tcPr>
          <w:p>
            <w:pPr>
              <w:jc w:val="center"/>
            </w:pPr>
            <w:r/>
            <w:sdt>
              <w:sdtPr>
                <w:rPr>
                  <w:rFonts w:ascii="MS Gothic" w:hAnsi="MS Gothic" w:cs="MS Gothic" w:eastAsia="MS Gothic" w:hint="eastAsia"/>
                  <w:sz w:val="28"/>
                  <w:szCs w:val="28"/>
                </w:rPr>
                <w:alias w:val="VAL-813 C1 Vital signs 1"/>
                <w:tag w:val="VAL-813-c1-Vital signs-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2"/>
                <w:tag w:val="VAL-813-c1-Vital signs-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3"/>
                <w:tag w:val="VAL-813-c1-Vital signs-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Vital signs 4"/>
                <w:tag w:val="VAL-813-c1-Vital signs-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Laboratory findings</w:t>
            </w:r>
          </w:p>
        </w:tc>
        <w:tc>
          <w:tcPr>
            <w:tcW w:type="dxa" w:w="1152"/>
            <w:vAlign w:val="center"/>
          </w:tcPr>
          <w:p>
            <w:pPr>
              <w:jc w:val="center"/>
            </w:pPr>
            <w:r/>
            <w:sdt>
              <w:sdtPr>
                <w:rPr>
                  <w:rFonts w:ascii="MS Gothic" w:hAnsi="MS Gothic" w:cs="MS Gothic" w:eastAsia="MS Gothic" w:hint="eastAsia"/>
                  <w:sz w:val="28"/>
                  <w:szCs w:val="28"/>
                </w:rPr>
                <w:alias w:val="VAL-813 C1 Laboratory findings 1"/>
                <w:tag w:val="VAL-813-c1-Laboratory findings-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2"/>
                <w:tag w:val="VAL-813-c1-Laboratory findings-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3"/>
                <w:tag w:val="VAL-813-c1-Laboratory findings-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Laboratory findings 4"/>
                <w:tag w:val="VAL-813-c1-Laboratory findings-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Medication regimen</w:t>
            </w:r>
          </w:p>
        </w:tc>
        <w:tc>
          <w:tcPr>
            <w:tcW w:type="dxa" w:w="1152"/>
            <w:vAlign w:val="center"/>
          </w:tcPr>
          <w:p>
            <w:pPr>
              <w:jc w:val="center"/>
            </w:pPr>
            <w:r/>
            <w:sdt>
              <w:sdtPr>
                <w:rPr>
                  <w:rFonts w:ascii="MS Gothic" w:hAnsi="MS Gothic" w:cs="MS Gothic" w:eastAsia="MS Gothic" w:hint="eastAsia"/>
                  <w:sz w:val="28"/>
                  <w:szCs w:val="28"/>
                </w:rPr>
                <w:alias w:val="VAL-813 C1 Medication regimen 1"/>
                <w:tag w:val="VAL-813-c1-Medication regimen-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2"/>
                <w:tag w:val="VAL-813-c1-Medication regimen-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3"/>
                <w:tag w:val="VAL-813-c1-Medication regimen-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Medication regimen 4"/>
                <w:tag w:val="VAL-813-c1-Medication regimen-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Hospital course</w:t>
            </w:r>
          </w:p>
        </w:tc>
        <w:tc>
          <w:tcPr>
            <w:tcW w:type="dxa" w:w="1152"/>
            <w:vAlign w:val="center"/>
          </w:tcPr>
          <w:p>
            <w:pPr>
              <w:jc w:val="center"/>
            </w:pPr>
            <w:r/>
            <w:sdt>
              <w:sdtPr>
                <w:rPr>
                  <w:rFonts w:ascii="MS Gothic" w:hAnsi="MS Gothic" w:cs="MS Gothic" w:eastAsia="MS Gothic" w:hint="eastAsia"/>
                  <w:sz w:val="28"/>
                  <w:szCs w:val="28"/>
                </w:rPr>
                <w:alias w:val="VAL-813 C1 Hospital course 1"/>
                <w:tag w:val="VAL-813-c1-Hospital course-1"/>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2"/>
                <w:tag w:val="VAL-813-c1-Hospital course-2"/>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3"/>
                <w:tag w:val="VAL-813-c1-Hospital course-3"/>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Hospital course 4"/>
                <w:tag w:val="VAL-813-c1-Hospital course-4"/>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Chart consistency</w:t>
            </w:r>
          </w:p>
        </w:tc>
        <w:tc>
          <w:tcPr>
            <w:tcW w:type="dxa" w:w="1152"/>
            <w:vAlign w:val="center"/>
          </w:tcPr>
          <w:p>
            <w:pPr>
              <w:jc w:val="center"/>
            </w:pPr>
            <w:r/>
            <w:sdt>
              <w:sdtPr>
                <w:rPr>
                  <w:rFonts w:ascii="MS Gothic" w:hAnsi="MS Gothic" w:cs="MS Gothic" w:eastAsia="MS Gothic" w:hint="eastAsia"/>
                  <w:sz w:val="28"/>
                  <w:szCs w:val="28"/>
                </w:rPr>
                <w:alias w:val="VAL-813 C1 Chart consistency 1"/>
                <w:tag w:val="VAL-813-c1-Chart consistency-1"/>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2"/>
                <w:tag w:val="VAL-813-c1-Chart consistency-2"/>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3"/>
                <w:tag w:val="VAL-813-c1-Chart consistency-3"/>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Chart consistency 4"/>
                <w:tag w:val="VAL-813-c1-Chart consistency-4"/>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cantSplit/>
        </w:trPr>
        <w:tc>
          <w:tcPr>
            <w:tcW w:type="dxa" w:w="5184"/>
          </w:tcPr>
          <w:p>
            <w:pPr>
              <w:spacing w:after="20" w:before="20"/>
            </w:pPr>
            <w:r>
              <w:rPr>
                <w:rFonts w:ascii="Calibri" w:hAnsi="Calibri" w:cs="Calibri"/>
                <w:b w:val="0"/>
                <w:sz w:val="20"/>
              </w:rPr>
              <w:t>Discharge context and follow-up</w:t>
            </w:r>
          </w:p>
        </w:tc>
        <w:tc>
          <w:tcPr>
            <w:tcW w:type="dxa" w:w="1152"/>
            <w:vAlign w:val="center"/>
          </w:tcPr>
          <w:p>
            <w:pPr>
              <w:jc w:val="center"/>
            </w:pPr>
            <w:r/>
            <w:sdt>
              <w:sdtPr>
                <w:rPr>
                  <w:rFonts w:ascii="MS Gothic" w:hAnsi="MS Gothic" w:cs="MS Gothic" w:eastAsia="MS Gothic" w:hint="eastAsia"/>
                  <w:sz w:val="28"/>
                  <w:szCs w:val="28"/>
                </w:rPr>
                <w:alias w:val="VAL-813 C1 Discharge context and follow-up 1"/>
                <w:tag w:val="VAL-813-c1-Discharge context and follow-up-1"/>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2"/>
                <w:tag w:val="VAL-813-c1-Discharge context and follow-up-2"/>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3"/>
                <w:tag w:val="VAL-813-c1-Discharge context and follow-up-3"/>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jc w:val="center"/>
            </w:pPr>
            <w:r/>
            <w:sdt>
              <w:sdtPr>
                <w:rPr>
                  <w:rFonts w:ascii="MS Gothic" w:hAnsi="MS Gothic" w:cs="MS Gothic" w:eastAsia="MS Gothic" w:hint="eastAsia"/>
                  <w:sz w:val="28"/>
                  <w:szCs w:val="28"/>
                </w:rPr>
                <w:alias w:val="VAL-813 C1 Discharge context and follow-up 4"/>
                <w:tag w:val="VAL-813-c1-Discharge context and follow-up-4"/>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Overall C1</w:t>
            </w:r>
          </w:p>
        </w:tc>
        <w:tc>
          <w:tcPr>
            <w:tcW w:type="dxa" w:w="3312"/>
            <w:vAlign w:val="center"/>
          </w:tcPr>
          <w:p>
            <w:pPr>
              <w:jc w:val="center"/>
            </w:pPr>
            <w:r/>
            <w:sdt>
              <w:sdtPr>
                <w:rPr>
                  <w:rFonts w:ascii="MS Gothic" w:hAnsi="MS Gothic" w:cs="MS Gothic" w:eastAsia="MS Gothic" w:hint="eastAsia"/>
                  <w:sz w:val="28"/>
                  <w:szCs w:val="28"/>
                </w:rPr>
                <w:alias w:val="VAL-813 c1-overall Pass"/>
                <w:tag w:val="VAL-813-c1-overall-Pass"/>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1-overall Fail"/>
                <w:tag w:val="VAL-813-c1-overall-Fail"/>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C1 reviewer comments</w:t>
            </w:r>
          </w:p>
          <w:sdt>
            <w:sdtPr>
              <w:alias w:val="C1 reviewer comments"/>
              <w:tag w:val="VAL-813-c1-comment"/>
              <w:id w:val="3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C2 — Sufficiency for resident decision-making</w:t>
      </w:r>
    </w:p>
    <w:p>
      <w:pPr>
        <w:spacing w:after="120"/>
      </w:pPr>
      <w:r>
        <w:rPr>
          <w:rFonts w:ascii="Calibri" w:hAnsi="Calibri" w:cs="Calibri"/>
          <w:b w:val="0"/>
          <w:sz w:val="22"/>
        </w:rPr>
        <w:t>Does the resident-facing chart contain enough clinical information for an internal-medicine resident to independently determine an appropriate discharge medication regimen?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C2</w:t>
            </w:r>
          </w:p>
        </w:tc>
        <w:tc>
          <w:tcPr>
            <w:tcW w:type="dxa" w:w="3312"/>
            <w:vAlign w:val="center"/>
          </w:tcPr>
          <w:p>
            <w:pPr>
              <w:jc w:val="center"/>
            </w:pPr>
            <w:r/>
            <w:sdt>
              <w:sdtPr>
                <w:rPr>
                  <w:rFonts w:ascii="MS Gothic" w:hAnsi="MS Gothic" w:cs="MS Gothic" w:eastAsia="MS Gothic" w:hint="eastAsia"/>
                  <w:sz w:val="28"/>
                  <w:szCs w:val="28"/>
                </w:rPr>
                <w:alias w:val="VAL-813 c2 Pass"/>
                <w:tag w:val="VAL-813-c2-Pass"/>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2 Fail"/>
                <w:tag w:val="VAL-813-c2-Fail"/>
                <w:id w:val="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C2 reviewer comments</w:t>
            </w:r>
          </w:p>
          <w:sdt>
            <w:sdtPr>
              <w:alias w:val="C2 reviewer comments"/>
              <w:tag w:val="VAL-813-c2-comment"/>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CLINICIAN VALIDATION REFERENCE</w:t>
      </w:r>
    </w:p>
    <w:p>
      <w:pPr>
        <w:spacing w:after="120"/>
      </w:pPr>
      <w:r>
        <w:rPr>
          <w:rFonts w:ascii="Calibri" w:hAnsi="Calibri" w:cs="Calibri"/>
          <w:b w:val="0"/>
          <w:sz w:val="22"/>
        </w:rPr>
        <w:t>Not shown to residents in the assessment study.</w:t>
      </w:r>
    </w:p>
    <w:p>
      <w:pPr>
        <w:spacing w:after="120"/>
      </w:pPr>
      <w:r>
        <w:rPr>
          <w:rFonts w:ascii="Calibri" w:hAnsi="Calibri" w:cs="Calibri"/>
          <w:b w:val="0"/>
          <w:sz w:val="22"/>
        </w:rPr>
        <w:t>Complete C1 and C2 before using this reference.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632"/>
        <w:gridCol w:w="1632"/>
        <w:gridCol w:w="1632"/>
        <w:gridCol w:w="1632"/>
        <w:gridCol w:w="1632"/>
        <w:gridCol w:w="1632"/>
      </w:tblGrid>
      <w:tr>
        <w:trPr>
          <w:cantSplit/>
          <w:tblHeader/>
        </w:trPr>
        <w:tc>
          <w:tcPr>
            <w:tcW w:type="dxa" w:w="1296"/>
            <w:shd w:val="clear" w:color="auto" w:fill="D9E2F3"/>
          </w:tcPr>
          <w:p>
            <w:pPr>
              <w:spacing w:after="20" w:before="20"/>
            </w:pPr>
            <w:r>
              <w:rPr>
                <w:rFonts w:ascii="Calibri" w:hAnsi="Calibri" w:cs="Calibri"/>
                <w:b/>
                <w:sz w:val="20"/>
              </w:rPr>
              <w:t>Action</w:t>
            </w:r>
          </w:p>
        </w:tc>
        <w:tc>
          <w:tcPr>
            <w:tcW w:type="dxa" w:w="2592"/>
            <w:shd w:val="clear" w:color="auto" w:fill="D9E2F3"/>
          </w:tcPr>
          <w:p>
            <w:pPr>
              <w:spacing w:after="20" w:before="20"/>
            </w:pPr>
            <w:r>
              <w:rPr>
                <w:rFonts w:ascii="Calibri" w:hAnsi="Calibri" w:cs="Calibri"/>
                <w:b/>
                <w:sz w:val="20"/>
              </w:rPr>
              <w:t>Medication</w:t>
            </w:r>
          </w:p>
        </w:tc>
        <w:tc>
          <w:tcPr>
            <w:tcW w:type="dxa" w:w="1152"/>
            <w:shd w:val="clear" w:color="auto" w:fill="D9E2F3"/>
          </w:tcPr>
          <w:p>
            <w:pPr>
              <w:spacing w:after="20" w:before="20"/>
            </w:pPr>
            <w:r>
              <w:rPr>
                <w:rFonts w:ascii="Calibri" w:hAnsi="Calibri" w:cs="Calibri"/>
                <w:b/>
                <w:sz w:val="20"/>
              </w:rPr>
              <w:t>Dose</w:t>
            </w:r>
          </w:p>
        </w:tc>
        <w:tc>
          <w:tcPr>
            <w:tcW w:type="dxa" w:w="1008"/>
            <w:shd w:val="clear" w:color="auto" w:fill="D9E2F3"/>
          </w:tcPr>
          <w:p>
            <w:pPr>
              <w:spacing w:after="20" w:before="20"/>
            </w:pPr>
            <w:r>
              <w:rPr>
                <w:rFonts w:ascii="Calibri" w:hAnsi="Calibri" w:cs="Calibri"/>
                <w:b/>
                <w:sz w:val="20"/>
              </w:rPr>
              <w:t>Route</w:t>
            </w:r>
          </w:p>
        </w:tc>
        <w:tc>
          <w:tcPr>
            <w:tcW w:type="dxa" w:w="1440"/>
            <w:shd w:val="clear" w:color="auto" w:fill="D9E2F3"/>
          </w:tcPr>
          <w:p>
            <w:pPr>
              <w:spacing w:after="20" w:before="20"/>
            </w:pPr>
            <w:r>
              <w:rPr>
                <w:rFonts w:ascii="Calibri" w:hAnsi="Calibri" w:cs="Calibri"/>
                <w:b/>
                <w:sz w:val="20"/>
              </w:rPr>
              <w:t>Frequency</w:t>
            </w:r>
          </w:p>
        </w:tc>
        <w:tc>
          <w:tcPr>
            <w:tcW w:type="dxa" w:w="2304"/>
            <w:shd w:val="clear" w:color="auto" w:fill="D9E2F3"/>
          </w:tcPr>
          <w:p>
            <w:pPr>
              <w:spacing w:after="20" w:before="20"/>
            </w:pPr>
            <w:r>
              <w:rPr>
                <w:rFonts w:ascii="Calibri" w:hAnsi="Calibri" w:cs="Calibri"/>
                <w:b/>
                <w:sz w:val="20"/>
              </w:rPr>
              <w:t>Indication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BX Rating tacrolimus 1 MG Oral Capsule</w:t>
            </w:r>
          </w:p>
        </w:tc>
        <w:tc>
          <w:tcPr>
            <w:tcW w:type="dxa" w:w="1152"/>
            <w:vAlign w:val="top"/>
          </w:tcPr>
          <w:p>
            <w:pPr>
              <w:spacing w:after="20" w:before="20"/>
            </w:pPr>
            <w:r>
              <w:rPr>
                <w:rFonts w:ascii="Calibri" w:hAnsi="Calibri" w:cs="Calibri"/>
                <w:b w:val="0"/>
                <w:sz w:val="20"/>
              </w:rPr>
              <w:t>1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every 12 hours</w:t>
            </w:r>
          </w:p>
        </w:tc>
        <w:tc>
          <w:tcPr>
            <w:tcW w:type="dxa" w:w="2304"/>
            <w:vAlign w:val="top"/>
          </w:tcPr>
          <w:p>
            <w:pPr>
              <w:spacing w:after="20" w:before="20"/>
            </w:pPr>
            <w:r>
              <w:rPr>
                <w:rFonts w:ascii="Calibri" w:hAnsi="Calibri" w:cs="Calibri"/>
                <w:b w:val="0"/>
                <w:sz w:val="20"/>
              </w:rPr>
              <w:t>Kidney transplant status</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amlodipine 5 MG Oral Tablet</w:t>
            </w:r>
          </w:p>
        </w:tc>
        <w:tc>
          <w:tcPr>
            <w:tcW w:type="dxa" w:w="1152"/>
            <w:vAlign w:val="top"/>
          </w:tcPr>
          <w:p>
            <w:pPr>
              <w:spacing w:after="20" w:before="20"/>
            </w:pPr>
            <w:r>
              <w:rPr>
                <w:rFonts w:ascii="Calibri" w:hAnsi="Calibri" w:cs="Calibri"/>
                <w:b w:val="0"/>
                <w:sz w:val="20"/>
              </w:rPr>
              <w:t>5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Essential (primary) hypertension</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atorvastatin 40 MG Oral Tablet</w:t>
            </w:r>
          </w:p>
        </w:tc>
        <w:tc>
          <w:tcPr>
            <w:tcW w:type="dxa" w:w="1152"/>
            <w:vAlign w:val="top"/>
          </w:tcPr>
          <w:p>
            <w:pPr>
              <w:spacing w:after="20" w:before="20"/>
            </w:pPr>
            <w:r>
              <w:rPr>
                <w:rFonts w:ascii="Calibri" w:hAnsi="Calibri" w:cs="Calibri"/>
                <w:b w:val="0"/>
                <w:sz w:val="20"/>
              </w:rPr>
              <w:t>40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once daily</w:t>
            </w:r>
          </w:p>
        </w:tc>
        <w:tc>
          <w:tcPr>
            <w:tcW w:type="dxa" w:w="2304"/>
            <w:vAlign w:val="top"/>
          </w:tcPr>
          <w:p>
            <w:pPr>
              <w:spacing w:after="20" w:before="20"/>
            </w:pPr>
            <w:r>
              <w:rPr>
                <w:rFonts w:ascii="Calibri" w:hAnsi="Calibri" w:cs="Calibri"/>
                <w:b w:val="0"/>
                <w:sz w:val="20"/>
              </w:rPr>
              <w:t>Mixed hyperlipidemia</w:t>
            </w:r>
          </w:p>
        </w:tc>
      </w:tr>
      <w:tr>
        <w:trPr>
          <w:cantSplit/>
        </w:trPr>
        <w:tc>
          <w:tcPr>
            <w:tcW w:type="dxa" w:w="1296"/>
            <w:vAlign w:val="top"/>
          </w:tcPr>
          <w:p>
            <w:pPr>
              <w:spacing w:after="20" w:before="20"/>
            </w:pPr>
            <w:r>
              <w:rPr>
                <w:rFonts w:ascii="Calibri" w:hAnsi="Calibri" w:cs="Calibri"/>
                <w:b w:val="0"/>
                <w:sz w:val="20"/>
              </w:rPr>
              <w:t>continue</w:t>
            </w:r>
          </w:p>
        </w:tc>
        <w:tc>
          <w:tcPr>
            <w:tcW w:type="dxa" w:w="2592"/>
            <w:vAlign w:val="top"/>
          </w:tcPr>
          <w:p>
            <w:pPr>
              <w:spacing w:after="20" w:before="20"/>
            </w:pPr>
            <w:r>
              <w:rPr>
                <w:rFonts w:ascii="Calibri" w:hAnsi="Calibri" w:cs="Calibri"/>
                <w:b w:val="0"/>
                <w:sz w:val="20"/>
              </w:rPr>
              <w:t>valganciclovir 450 MG Oral Tablet</w:t>
            </w:r>
          </w:p>
        </w:tc>
        <w:tc>
          <w:tcPr>
            <w:tcW w:type="dxa" w:w="1152"/>
            <w:vAlign w:val="top"/>
          </w:tcPr>
          <w:p>
            <w:pPr>
              <w:spacing w:after="20" w:before="20"/>
            </w:pPr>
            <w:r>
              <w:rPr>
                <w:rFonts w:ascii="Calibri" w:hAnsi="Calibri" w:cs="Calibri"/>
                <w:b w:val="0"/>
                <w:sz w:val="20"/>
              </w:rPr>
              <w:t>900 MG</w:t>
            </w:r>
          </w:p>
        </w:tc>
        <w:tc>
          <w:tcPr>
            <w:tcW w:type="dxa" w:w="1008"/>
            <w:vAlign w:val="top"/>
          </w:tcPr>
          <w:p>
            <w:pPr>
              <w:spacing w:after="20" w:before="20"/>
            </w:pPr>
            <w:r>
              <w:rPr>
                <w:rFonts w:ascii="Calibri" w:hAnsi="Calibri" w:cs="Calibri"/>
                <w:b w:val="0"/>
                <w:sz w:val="20"/>
              </w:rPr>
              <w:t>oral</w:t>
            </w:r>
          </w:p>
        </w:tc>
        <w:tc>
          <w:tcPr>
            <w:tcW w:type="dxa" w:w="1440"/>
            <w:vAlign w:val="top"/>
          </w:tcPr>
          <w:p>
            <w:pPr>
              <w:spacing w:after="20" w:before="20"/>
            </w:pPr>
            <w:r>
              <w:rPr>
                <w:rFonts w:ascii="Calibri" w:hAnsi="Calibri" w:cs="Calibri"/>
                <w:b w:val="0"/>
                <w:sz w:val="20"/>
              </w:rPr>
              <w:t>twice daily</w:t>
            </w:r>
          </w:p>
        </w:tc>
        <w:tc>
          <w:tcPr>
            <w:tcW w:type="dxa" w:w="2304"/>
            <w:vAlign w:val="top"/>
          </w:tcPr>
          <w:p>
            <w:pPr>
              <w:spacing w:after="20" w:before="20"/>
            </w:pPr>
            <w:r>
              <w:rPr>
                <w:rFonts w:ascii="Calibri" w:hAnsi="Calibri" w:cs="Calibri"/>
                <w:b w:val="0"/>
                <w:sz w:val="20"/>
              </w:rPr>
              <w:t>Other cytomegaloviral diseases</w:t>
            </w:r>
          </w:p>
        </w:tc>
      </w:tr>
    </w:tbl>
    <w:p>
      <w:pPr>
        <w:spacing w:after="40"/>
      </w:pPr>
    </w:p>
    <w:p>
      <w:pPr>
        <w:spacing w:after="120"/>
      </w:pPr>
      <w:r>
        <w:rPr>
          <w:rFonts w:ascii="Calibri" w:hAnsi="Calibri" w:cs="Calibri"/>
          <w:b w:val="0"/>
          <w:sz w:val="22"/>
        </w:rPr>
        <w:t>Acceptable alternatives already recorded on the reference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blHeader/>
        </w:trPr>
        <w:tc>
          <w:tcPr>
            <w:tcW w:type="dxa" w:w="3168"/>
            <w:shd w:val="clear" w:color="auto" w:fill="D9E2F3"/>
          </w:tcPr>
          <w:p>
            <w:pPr>
              <w:spacing w:after="20" w:before="20"/>
            </w:pPr>
            <w:r>
              <w:rPr>
                <w:rFonts w:ascii="Calibri" w:hAnsi="Calibri" w:cs="Calibri"/>
                <w:b/>
                <w:sz w:val="20"/>
              </w:rPr>
              <w:t>Medication</w:t>
            </w:r>
          </w:p>
        </w:tc>
        <w:tc>
          <w:tcPr>
            <w:tcW w:type="dxa" w:w="2016"/>
            <w:shd w:val="clear" w:color="auto" w:fill="D9E2F3"/>
          </w:tcPr>
          <w:p>
            <w:pPr>
              <w:spacing w:after="20" w:before="20"/>
            </w:pPr>
            <w:r>
              <w:rPr>
                <w:rFonts w:ascii="Calibri" w:hAnsi="Calibri" w:cs="Calibri"/>
                <w:b/>
                <w:sz w:val="20"/>
              </w:rPr>
              <w:t>Action</w:t>
            </w:r>
          </w:p>
        </w:tc>
        <w:tc>
          <w:tcPr>
            <w:tcW w:type="dxa" w:w="4608"/>
            <w:shd w:val="clear" w:color="auto" w:fill="D9E2F3"/>
          </w:tcPr>
          <w:p>
            <w:pPr>
              <w:spacing w:after="20" w:before="20"/>
            </w:pPr>
            <w:r>
              <w:rPr>
                <w:rFonts w:ascii="Calibri" w:hAnsi="Calibri" w:cs="Calibri"/>
                <w:b/>
                <w:sz w:val="20"/>
              </w:rPr>
              <w:t>Rationale</w:t>
            </w:r>
          </w:p>
        </w:tc>
      </w:tr>
      <w:tr>
        <w:trPr>
          <w:cantSplit/>
        </w:trPr>
        <w:tc>
          <w:tcPr>
            <w:tcW w:type="dxa" w:w="3168"/>
            <w:vAlign w:val="top"/>
          </w:tcPr>
          <w:p>
            <w:pPr>
              <w:spacing w:after="20" w:before="20"/>
            </w:pPr>
            <w:r>
              <w:rPr>
                <w:rFonts w:ascii="Calibri" w:hAnsi="Calibri" w:cs="Calibri"/>
                <w:b w:val="0"/>
                <w:sz w:val="20"/>
              </w:rPr>
              <w:t>valganciclovir 450 MG Oral Tablet</w:t>
            </w:r>
          </w:p>
        </w:tc>
        <w:tc>
          <w:tcPr>
            <w:tcW w:type="dxa" w:w="2016"/>
            <w:vAlign w:val="top"/>
          </w:tcPr>
          <w:p>
            <w:pPr>
              <w:spacing w:after="20" w:before="20"/>
            </w:pPr>
            <w:r>
              <w:rPr>
                <w:rFonts w:ascii="Calibri" w:hAnsi="Calibri" w:cs="Calibri"/>
                <w:b w:val="0"/>
                <w:sz w:val="20"/>
              </w:rPr>
              <w:t>stop</w:t>
            </w:r>
          </w:p>
        </w:tc>
        <w:tc>
          <w:tcPr>
            <w:tcW w:type="dxa" w:w="4608"/>
            <w:vAlign w:val="top"/>
          </w:tcPr>
          <w:p>
            <w:pPr>
              <w:spacing w:after="20" w:before="20"/>
            </w:pPr>
            <w:r>
              <w:rPr>
                <w:rFonts w:ascii="Calibri" w:hAnsi="Calibri" w:cs="Calibri"/>
                <w:b w:val="0"/>
                <w:sz w:val="20"/>
              </w:rPr>
              <w:t>Stopping or switching the antiviral is acceptable if the clinician rejects pre-admission therapy for this presentation. The recorded home row is otherwise continued.</w:t>
            </w:r>
          </w:p>
        </w:tc>
      </w:tr>
    </w:tbl>
    <w:p>
      <w:pPr>
        <w:spacing w:after="40"/>
      </w:pPr>
    </w:p>
    <w:p>
      <w:pPr>
        <w:pStyle w:val="Heading3"/>
      </w:pPr>
      <w:r>
        <w:rPr>
          <w:rFonts w:ascii="Calibri" w:hAnsi="Calibri"/>
          <w:color w:val="1F3A5F"/>
        </w:rPr>
        <w:t>Case-specific adjudication</w:t>
      </w:r>
    </w:p>
    <w:p>
      <w:pPr>
        <w:spacing w:after="120"/>
      </w:pPr>
      <w:r>
        <w:rPr>
          <w:rFonts w:ascii="Calibri" w:hAnsi="Calibri" w:cs="Calibri"/>
          <w:b w:val="0"/>
          <w:sz w:val="22"/>
        </w:rPr>
        <w:t>Continue versus modify or temporarily hold mycophenolate, given the CMV disease and transplant context?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Case-specific adjudication</w:t>
            </w:r>
          </w:p>
          <w:sdt>
            <w:sdtPr>
              <w:alias w:val="Case-specific adjudication"/>
              <w:tag w:val="VAL-813-adjudication"/>
              <w:id w:val="3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C3 — Reference-plan validity</w:t>
      </w:r>
    </w:p>
    <w:p>
      <w:pPr>
        <w:spacing w:after="120"/>
      </w:pPr>
      <w:r>
        <w:rPr>
          <w:rFonts w:ascii="Calibri" w:hAnsi="Calibri" w:cs="Calibri"/>
          <w:b w:val="0"/>
          <w:sz w:val="22"/>
        </w:rPr>
        <w:t>Is the hidden reference discharge medication plan clinically defensible?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C3</w:t>
            </w:r>
          </w:p>
        </w:tc>
        <w:tc>
          <w:tcPr>
            <w:tcW w:type="dxa" w:w="3312"/>
            <w:vAlign w:val="center"/>
          </w:tcPr>
          <w:p>
            <w:pPr>
              <w:jc w:val="center"/>
            </w:pPr>
            <w:r/>
            <w:sdt>
              <w:sdtPr>
                <w:rPr>
                  <w:rFonts w:ascii="MS Gothic" w:hAnsi="MS Gothic" w:cs="MS Gothic" w:eastAsia="MS Gothic" w:hint="eastAsia"/>
                  <w:sz w:val="28"/>
                  <w:szCs w:val="28"/>
                </w:rPr>
                <w:alias w:val="VAL-813 c3 Pass"/>
                <w:tag w:val="VAL-813-c3-Pass"/>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p>
        </w:tc>
        <w:tc>
          <w:tcPr>
            <w:tcW w:type="dxa" w:w="3312"/>
            <w:vAlign w:val="center"/>
          </w:tcPr>
          <w:p>
            <w:pPr>
              <w:jc w:val="center"/>
            </w:pPr>
            <w:r/>
            <w:sdt>
              <w:sdtPr>
                <w:rPr>
                  <w:rFonts w:ascii="MS Gothic" w:hAnsi="MS Gothic" w:cs="MS Gothic" w:eastAsia="MS Gothic" w:hint="eastAsia"/>
                  <w:sz w:val="28"/>
                  <w:szCs w:val="28"/>
                </w:rPr>
                <w:alias w:val="VAL-813 c3 Fail"/>
                <w:tag w:val="VAL-813-c3-Fail"/>
                <w:id w:val="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c>
      </w:tr>
    </w:tbl>
    <w:p>
      <w:pPr>
        <w:spacing w:after="40"/>
      </w:pPr>
    </w:p>
    <w:p>
      <w:pPr>
        <w:spacing w:after="120"/>
      </w:pPr>
      <w:r>
        <w:rPr>
          <w:rFonts w:ascii="Calibri" w:hAnsi="Calibri" w:cs="Calibri"/>
          <w:b w:val="0"/>
          <w:sz w:val="22"/>
        </w:rPr>
        <w:t>Disputed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2448"/>
            <w:shd w:val="clear" w:color="auto" w:fill="D9E2F3"/>
          </w:tcPr>
          <w:p>
            <w:pPr>
              <w:spacing w:after="20" w:before="20"/>
            </w:pPr>
            <w:r>
              <w:rPr>
                <w:rFonts w:ascii="Calibri" w:hAnsi="Calibri" w:cs="Calibri"/>
                <w:b/>
                <w:sz w:val="20"/>
              </w:rPr>
              <w:t>Medication</w:t>
            </w:r>
          </w:p>
        </w:tc>
        <w:tc>
          <w:tcPr>
            <w:tcW w:type="dxa" w:w="2448"/>
            <w:shd w:val="clear" w:color="auto" w:fill="D9E2F3"/>
          </w:tcPr>
          <w:p>
            <w:pPr>
              <w:spacing w:after="20" w:before="20"/>
            </w:pPr>
            <w:r>
              <w:rPr>
                <w:rFonts w:ascii="Calibri" w:hAnsi="Calibri" w:cs="Calibri"/>
                <w:b/>
                <w:sz w:val="20"/>
              </w:rPr>
              <w:t>Current reference action</w:t>
            </w:r>
          </w:p>
        </w:tc>
        <w:tc>
          <w:tcPr>
            <w:tcW w:type="dxa" w:w="2448"/>
            <w:shd w:val="clear" w:color="auto" w:fill="D9E2F3"/>
          </w:tcPr>
          <w:p>
            <w:pPr>
              <w:spacing w:after="20" w:before="20"/>
            </w:pPr>
            <w:r>
              <w:rPr>
                <w:rFonts w:ascii="Calibri" w:hAnsi="Calibri" w:cs="Calibri"/>
                <w:b/>
                <w:sz w:val="20"/>
              </w:rPr>
              <w:t>Suggested action</w:t>
            </w:r>
          </w:p>
        </w:tc>
        <w:tc>
          <w:tcPr>
            <w:tcW w:type="dxa" w:w="2448"/>
            <w:shd w:val="clear" w:color="auto" w:fill="D9E2F3"/>
          </w:tcPr>
          <w:p>
            <w:pPr>
              <w:spacing w:after="20" w:before="20"/>
            </w:pPr>
            <w:r>
              <w:rPr>
                <w:rFonts w:ascii="Calibri" w:hAnsi="Calibri" w:cs="Calibri"/>
                <w:b/>
                <w:sz w:val="20"/>
              </w:rPr>
              <w:t>Reason</w:t>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r>
        <w:trPr>
          <w:trHeight w:val="648" w:hRule="atLeast"/>
          <w:cantSplit/>
        </w:trPr>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c>
          <w:tcPr>
            <w:tcW w:type="dxa" w:w="2448"/>
            <w:vAlign w:val="top"/>
            <w:tcMar>
              <w:top w:w="80" w:type="dxa"/>
              <w:left w:w="80" w:type="dxa"/>
              <w:bottom w:w="80" w:type="dxa"/>
              <w:right w:w="80" w:type="dxa"/>
            </w:tcMar>
          </w:tcPr>
          <w:p>
            <w:r/>
          </w:p>
        </w:tc>
      </w:tr>
    </w:tbl>
    <w:p>
      <w:pPr>
        <w:spacing w:after="40"/>
      </w:pPr>
    </w:p>
    <w:p>
      <w:pPr>
        <w:pStyle w:val="Heading2"/>
      </w:pPr>
      <w:r>
        <w:rPr>
          <w:rFonts w:ascii="Calibri" w:hAnsi="Calibri"/>
          <w:color w:val="1F3A5F"/>
        </w:rPr>
        <w:t>C4 — Acceptable alternatives</w:t>
      </w:r>
    </w:p>
    <w:p>
      <w:pPr>
        <w:spacing w:after="120"/>
      </w:pPr>
      <w:r>
        <w:rPr>
          <w:rFonts w:ascii="Calibri" w:hAnsi="Calibri" w:cs="Calibri"/>
          <w:b w:val="0"/>
          <w:sz w:val="22"/>
        </w:rPr>
        <w:t>Could another discharge medication decision also reasonably be correct?</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C4</w:t>
            </w:r>
          </w:p>
        </w:tc>
        <w:tc>
          <w:tcPr>
            <w:tcW w:type="dxa" w:w="3312"/>
            <w:vAlign w:val="center"/>
          </w:tcPr>
          <w:p>
            <w:pPr>
              <w:jc w:val="center"/>
            </w:pPr>
            <w:r/>
            <w:sdt>
              <w:sdtPr>
                <w:rPr>
                  <w:rFonts w:ascii="MS Gothic" w:hAnsi="MS Gothic" w:cs="MS Gothic" w:eastAsia="MS Gothic" w:hint="eastAsia"/>
                  <w:sz w:val="28"/>
                  <w:szCs w:val="28"/>
                </w:rPr>
                <w:alias w:val="VAL-813 c4 No"/>
                <w:tag w:val="VAL-813-c4-No"/>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4 Yes"/>
                <w:tag w:val="VAL-813-c4-Yes"/>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Medication</w:t>
            </w:r>
          </w:p>
        </w:tc>
        <w:tc>
          <w:tcPr>
            <w:tcW w:type="dxa" w:w="2880"/>
            <w:shd w:val="clear" w:color="auto" w:fill="D9E2F3"/>
          </w:tcPr>
          <w:p>
            <w:pPr>
              <w:spacing w:after="20" w:before="20"/>
            </w:pPr>
            <w:r>
              <w:rPr>
                <w:rFonts w:ascii="Calibri" w:hAnsi="Calibri" w:cs="Calibri"/>
                <w:b/>
                <w:sz w:val="20"/>
              </w:rPr>
              <w:t>Alternative action</w:t>
            </w:r>
          </w:p>
        </w:tc>
        <w:tc>
          <w:tcPr>
            <w:tcW w:type="dxa" w:w="3744"/>
            <w:shd w:val="clear" w:color="auto" w:fill="D9E2F3"/>
          </w:tcPr>
          <w:p>
            <w:pPr>
              <w:spacing w:after="20" w:before="20"/>
            </w:pPr>
            <w:r>
              <w:rPr>
                <w:rFonts w:ascii="Calibri" w:hAnsi="Calibri" w:cs="Calibri"/>
                <w:b/>
                <w:sz w:val="20"/>
              </w:rPr>
              <w:t>Clinical rationale</w:t>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r>
        <w:trPr>
          <w:trHeight w:val="792" w:hRule="atLeast"/>
          <w:cantSplit/>
        </w:trPr>
        <w:tc>
          <w:tcPr>
            <w:tcW w:type="dxa" w:w="3168"/>
            <w:vAlign w:val="top"/>
            <w:tcMar>
              <w:top w:w="80" w:type="dxa"/>
              <w:left w:w="80" w:type="dxa"/>
              <w:bottom w:w="80" w:type="dxa"/>
              <w:right w:w="80" w:type="dxa"/>
            </w:tcMar>
          </w:tcPr>
          <w:p>
            <w:r/>
          </w:p>
        </w:tc>
        <w:tc>
          <w:tcPr>
            <w:tcW w:type="dxa" w:w="2880"/>
            <w:vAlign w:val="top"/>
            <w:tcMar>
              <w:top w:w="80" w:type="dxa"/>
              <w:left w:w="80" w:type="dxa"/>
              <w:bottom w:w="80" w:type="dxa"/>
              <w:right w:w="80" w:type="dxa"/>
            </w:tcMar>
          </w:tcPr>
          <w:p>
            <w:r/>
          </w:p>
        </w:tc>
        <w:tc>
          <w:tcPr>
            <w:tcW w:type="dxa" w:w="3744"/>
            <w:vAlign w:val="top"/>
            <w:tcMar>
              <w:top w:w="80" w:type="dxa"/>
              <w:left w:w="80" w:type="dxa"/>
              <w:bottom w:w="80" w:type="dxa"/>
              <w:right w:w="80" w:type="dxa"/>
            </w:tcMar>
          </w:tcPr>
          <w:p>
            <w:r/>
          </w:p>
        </w:tc>
      </w:tr>
    </w:tbl>
    <w:p>
      <w:pPr>
        <w:spacing w:after="40"/>
      </w:pPr>
    </w:p>
    <w:p>
      <w:pPr>
        <w:pStyle w:val="Heading2"/>
      </w:pPr>
      <w:r>
        <w:rPr>
          <w:rFonts w:ascii="Calibri" w:hAnsi="Calibri"/>
          <w:color w:val="1F3A5F"/>
        </w:rPr>
        <w:t>C5 — Missing, misleading, or competing issues</w:t>
      </w:r>
    </w:p>
    <w:p>
      <w:pPr>
        <w:spacing w:after="120"/>
      </w:pPr>
      <w:r>
        <w:rPr>
          <w:rFonts w:ascii="Calibri" w:hAnsi="Calibri" w:cs="Calibri"/>
          <w:b w:val="0"/>
          <w:sz w:val="22"/>
        </w:rPr>
        <w:t>Does the chart contain another clinically meaningful issue that could change the expected discharge plan?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competing issue</w:t>
            </w:r>
          </w:p>
        </w:tc>
        <w:tc>
          <w:tcPr>
            <w:tcW w:type="dxa" w:w="3312"/>
            <w:vAlign w:val="center"/>
          </w:tcPr>
          <w:p>
            <w:pPr>
              <w:jc w:val="center"/>
            </w:pPr>
            <w:r/>
            <w:sdt>
              <w:sdtPr>
                <w:rPr>
                  <w:rFonts w:ascii="MS Gothic" w:hAnsi="MS Gothic" w:cs="MS Gothic" w:eastAsia="MS Gothic" w:hint="eastAsia"/>
                  <w:sz w:val="28"/>
                  <w:szCs w:val="28"/>
                </w:rPr>
                <w:alias w:val="VAL-813 c5-issue No"/>
                <w:tag w:val="VAL-813-c5-issue-No"/>
                <w:id w:val="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issue Yes"/>
                <w:tag w:val="VAL-813-c5-issue-Yes"/>
                <w:id w:val="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p>
      <w:pPr>
        <w:spacing w:after="120"/>
      </w:pPr>
      <w:r>
        <w:rPr>
          <w:rFonts w:ascii="Calibri" w:hAnsi="Calibri" w:cs="Calibri"/>
          <w:b w:val="0"/>
          <w:sz w:val="22"/>
        </w:rPr>
        <w:t>Does any wording reveal the intended answer?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3264"/>
        <w:gridCol w:w="3264"/>
        <w:gridCol w:w="3264"/>
      </w:tblGrid>
      <w:tr>
        <w:trPr>
          <w:cantSplit/>
        </w:trPr>
        <w:tc>
          <w:tcPr>
            <w:tcW w:type="dxa" w:w="3168"/>
            <w:shd w:val="clear" w:color="auto" w:fill="D9E2F3"/>
          </w:tcPr>
          <w:p>
            <w:pPr>
              <w:spacing w:after="20" w:before="20"/>
            </w:pPr>
            <w:r>
              <w:rPr>
                <w:rFonts w:ascii="Calibri" w:hAnsi="Calibri" w:cs="Calibri"/>
                <w:b/>
                <w:sz w:val="20"/>
              </w:rPr>
              <w:t>C5 answer reveal</w:t>
            </w:r>
          </w:p>
        </w:tc>
        <w:tc>
          <w:tcPr>
            <w:tcW w:type="dxa" w:w="3312"/>
            <w:vAlign w:val="center"/>
          </w:tcPr>
          <w:p>
            <w:pPr>
              <w:jc w:val="center"/>
            </w:pPr>
            <w:r/>
            <w:sdt>
              <w:sdtPr>
                <w:rPr>
                  <w:rFonts w:ascii="MS Gothic" w:hAnsi="MS Gothic" w:cs="MS Gothic" w:eastAsia="MS Gothic" w:hint="eastAsia"/>
                  <w:sz w:val="28"/>
                  <w:szCs w:val="28"/>
                </w:rPr>
                <w:alias w:val="VAL-813 c5-leak No"/>
                <w:tag w:val="VAL-813-c5-leak-No"/>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No</w:t>
            </w:r>
          </w:p>
        </w:tc>
        <w:tc>
          <w:tcPr>
            <w:tcW w:type="dxa" w:w="3312"/>
            <w:vAlign w:val="center"/>
          </w:tcPr>
          <w:p>
            <w:pPr>
              <w:jc w:val="center"/>
            </w:pPr>
            <w:r/>
            <w:sdt>
              <w:sdtPr>
                <w:rPr>
                  <w:rFonts w:ascii="MS Gothic" w:hAnsi="MS Gothic" w:cs="MS Gothic" w:eastAsia="MS Gothic" w:hint="eastAsia"/>
                  <w:sz w:val="28"/>
                  <w:szCs w:val="28"/>
                </w:rPr>
                <w:alias w:val="VAL-813 c5-leak Yes"/>
                <w:tag w:val="VAL-813-c5-leak-Yes"/>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Yes</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1440" w:hRule="atLeast"/>
        </w:trPr>
        <w:tc>
          <w:tcPr>
            <w:tcW w:type="dxa" w:w="9792"/>
            <w:vAlign w:val="top"/>
            <w:tcMar>
              <w:top w:w="80" w:type="dxa"/>
              <w:left w:w="80" w:type="dxa"/>
              <w:bottom w:w="80" w:type="dxa"/>
              <w:right w:w="80" w:type="dxa"/>
            </w:tcMar>
          </w:tcPr>
          <w:p>
            <w:r/>
            <w:r>
              <w:rPr>
                <w:rFonts w:ascii="Calibri" w:hAnsi="Calibri" w:cs="Calibri"/>
                <w:b/>
                <w:sz w:val="22"/>
              </w:rPr>
              <w:t>C5 reviewer comments</w:t>
            </w:r>
          </w:p>
          <w:sdt>
            <w:sdtPr>
              <w:alias w:val="C5 reviewer comments"/>
              <w:tag w:val="VAL-813-c5-comment"/>
              <w:id w:val="33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pPr>
        <w:pStyle w:val="Heading2"/>
      </w:pPr>
      <w:r>
        <w:rPr>
          <w:rFonts w:ascii="Calibri" w:hAnsi="Calibri"/>
          <w:color w:val="1F3A5F"/>
        </w:rPr>
        <w:t>C6 — Expected learner difficulty</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4896"/>
        <w:gridCol w:w="4896"/>
      </w:tblGrid>
      <w:tr>
        <w:trPr>
          <w:cantSplit/>
        </w:trPr>
        <w:tc>
          <w:tcPr>
            <w:tcW w:type="dxa" w:w="9792"/>
            <w:gridSpan w:val="2"/>
            <w:shd w:val="clear" w:color="auto" w:fill="D9E2F3"/>
          </w:tcPr>
          <w:p>
            <w:pPr>
              <w:spacing w:after="20" w:before="20"/>
            </w:pPr>
            <w:r>
              <w:rPr>
                <w:rFonts w:ascii="Calibri" w:hAnsi="Calibri" w:cs="Calibri"/>
                <w:b/>
                <w:sz w:val="20"/>
              </w:rPr>
              <w:t>C6</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Easy"/>
                <w:tag w:val="VAL-813-c6-Easy"/>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p>
        </w:tc>
        <w:tc>
          <w:tcPr>
            <w:tcW w:type="dxa" w:w="4896"/>
            <w:vAlign w:val="center"/>
          </w:tcPr>
          <w:p>
            <w:pPr>
              <w:jc w:val="left"/>
            </w:pPr>
            <w:r/>
            <w:sdt>
              <w:sdtPr>
                <w:rPr>
                  <w:rFonts w:ascii="MS Gothic" w:hAnsi="MS Gothic" w:cs="MS Gothic" w:eastAsia="MS Gothic" w:hint="eastAsia"/>
                  <w:sz w:val="28"/>
                  <w:szCs w:val="28"/>
                </w:rPr>
                <w:alias w:val="VAL-813 c6 Moderate"/>
                <w:tag w:val="VAL-813-c6-Moderate"/>
                <w:id w:val="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p>
        </w:tc>
      </w:tr>
      <w:tr>
        <w:trPr>
          <w:cantSplit/>
        </w:trPr>
        <w:tc>
          <w:tcPr>
            <w:tcW w:type="dxa" w:w="4896"/>
            <w:vAlign w:val="center"/>
          </w:tcPr>
          <w:p>
            <w:pPr>
              <w:jc w:val="left"/>
            </w:pPr>
            <w:r/>
            <w:sdt>
              <w:sdtPr>
                <w:rPr>
                  <w:rFonts w:ascii="MS Gothic" w:hAnsi="MS Gothic" w:cs="MS Gothic" w:eastAsia="MS Gothic" w:hint="eastAsia"/>
                  <w:sz w:val="28"/>
                  <w:szCs w:val="28"/>
                </w:rPr>
                <w:alias w:val="VAL-813 c6 Hard"/>
                <w:tag w:val="VAL-813-c6-Hard"/>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p>
        </w:tc>
        <w:tc>
          <w:tcPr>
            <w:tcW w:type="dxa" w:w="4896"/>
            <w:vAlign w:val="center"/>
          </w:tcPr>
          <w:p>
            <w:pPr>
              <w:jc w:val="left"/>
            </w:pPr>
            <w:r/>
            <w:sdt>
              <w:sdtPr>
                <w:rPr>
                  <w:rFonts w:ascii="MS Gothic" w:hAnsi="MS Gothic" w:cs="MS Gothic" w:eastAsia="MS Gothic" w:hint="eastAsia"/>
                  <w:sz w:val="28"/>
                  <w:szCs w:val="28"/>
                </w:rPr>
                <w:alias w:val="VAL-813 c6 Inappropriate or outlier"/>
                <w:tag w:val="VAL-813-c6-Inappropriate or outlier"/>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or outlier</w:t>
            </w:r>
          </w:p>
        </w:tc>
      </w:tr>
    </w:tbl>
    <w:p>
      <w:pPr>
        <w:spacing w:after="40"/>
      </w:pPr>
    </w:p>
    <w:p>
      <w:pPr>
        <w:pStyle w:val="Heading2"/>
      </w:pPr>
      <w:r>
        <w:rPr>
          <w:rFonts w:ascii="Calibri" w:hAnsi="Calibri"/>
          <w:color w:val="1F3A5F"/>
        </w:rPr>
        <w:t>Overall recommendation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2448"/>
        <w:gridCol w:w="2448"/>
        <w:gridCol w:w="2448"/>
        <w:gridCol w:w="2448"/>
      </w:tblGrid>
      <w:tr>
        <w:trPr>
          <w:cantSplit/>
        </w:trPr>
        <w:tc>
          <w:tcPr>
            <w:tcW w:type="dxa" w:w="3168"/>
            <w:shd w:val="clear" w:color="auto" w:fill="D9E2F3"/>
          </w:tcPr>
          <w:p>
            <w:pPr>
              <w:spacing w:after="20" w:before="20"/>
            </w:pPr>
            <w:r>
              <w:rPr>
                <w:rFonts w:ascii="Calibri" w:hAnsi="Calibri" w:cs="Calibri"/>
                <w:b/>
                <w:sz w:val="20"/>
              </w:rPr>
              <w:t>Overall</w:t>
            </w:r>
          </w:p>
        </w:tc>
        <w:tc>
          <w:tcPr>
            <w:tcW w:type="dxa" w:w="2208"/>
            <w:vAlign w:val="center"/>
          </w:tcPr>
          <w:p>
            <w:pPr>
              <w:jc w:val="center"/>
            </w:pPr>
            <w:r/>
            <w:sdt>
              <w:sdtPr>
                <w:rPr>
                  <w:rFonts w:ascii="MS Gothic" w:hAnsi="MS Gothic" w:cs="MS Gothic" w:eastAsia="MS Gothic" w:hint="eastAsia"/>
                  <w:sz w:val="28"/>
                  <w:szCs w:val="28"/>
                </w:rPr>
                <w:alias w:val="VAL-813 overall Accept"/>
                <w:tag w:val="VAL-813-overall-Accept"/>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p>
        </w:tc>
        <w:tc>
          <w:tcPr>
            <w:tcW w:type="dxa" w:w="2208"/>
            <w:vAlign w:val="center"/>
          </w:tcPr>
          <w:p>
            <w:pPr>
              <w:jc w:val="center"/>
            </w:pPr>
            <w:r/>
            <w:sdt>
              <w:sdtPr>
                <w:rPr>
                  <w:rFonts w:ascii="MS Gothic" w:hAnsi="MS Gothic" w:cs="MS Gothic" w:eastAsia="MS Gothic" w:hint="eastAsia"/>
                  <w:sz w:val="28"/>
                  <w:szCs w:val="28"/>
                </w:rPr>
                <w:alias w:val="VAL-813 overall Revise"/>
                <w:tag w:val="VAL-813-overall-Revise"/>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p>
        </w:tc>
        <w:tc>
          <w:tcPr>
            <w:tcW w:type="dxa" w:w="2208"/>
            <w:vAlign w:val="center"/>
          </w:tcPr>
          <w:p>
            <w:pPr>
              <w:jc w:val="center"/>
            </w:pPr>
            <w:r/>
            <w:sdt>
              <w:sdtPr>
                <w:rPr>
                  <w:rFonts w:ascii="MS Gothic" w:hAnsi="MS Gothic" w:cs="MS Gothic" w:eastAsia="MS Gothic" w:hint="eastAsia"/>
                  <w:sz w:val="28"/>
                  <w:szCs w:val="28"/>
                </w:rPr>
                <w:alias w:val="VAL-813 overall Exclude"/>
                <w:tag w:val="VAL-813-overall-Exclude"/>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c>
      </w:tr>
    </w:tbl>
    <w:p>
      <w:pPr>
        <w:spacing w:after="40"/>
      </w:pP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trHeight w:val="2160" w:hRule="atLeast"/>
        </w:trPr>
        <w:tc>
          <w:tcPr>
            <w:tcW w:type="dxa" w:w="9792"/>
            <w:vAlign w:val="top"/>
            <w:tcMar>
              <w:top w:w="80" w:type="dxa"/>
              <w:left w:w="80" w:type="dxa"/>
              <w:bottom w:w="80" w:type="dxa"/>
              <w:right w:w="80" w:type="dxa"/>
            </w:tcMar>
          </w:tcPr>
          <w:p>
            <w:r/>
            <w:r>
              <w:rPr>
                <w:rFonts w:ascii="Calibri" w:hAnsi="Calibri" w:cs="Calibri"/>
                <w:b/>
                <w:sz w:val="22"/>
              </w:rPr>
              <w:t>Overall comments / suggested revisions</w:t>
            </w:r>
          </w:p>
          <w:sdt>
            <w:sdtPr>
              <w:alias w:val="Overall comments / suggested revisions"/>
              <w:tag w:val="VAL-813-overall-comment"/>
              <w:id w:val="3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spacing w:after="80"/>
      </w:pPr>
    </w:p>
    <w:p>
      <w:r>
        <w:rPr>
          <w:rFonts w:ascii="Calibri" w:hAnsi="Calibri" w:cs="Calibri"/>
          <w:b w:val="0"/>
          <w:sz w:val="22"/>
        </w:rPr>
        <w:t xml:space="preserve">Reviewer code: </w:t>
      </w:r>
      <w:sdt>
        <w:sdtPr>
          <w:rPr>
            <w:rFonts w:ascii="Calibri" w:hAnsi="Calibri" w:cs="Calibri"/>
            <w:sz w:val="22"/>
            <w:szCs w:val="22"/>
            <w:u w:val="single"/>
          </w:rPr>
          <w:alias w:val="Reviewer code"/>
          <w:tag w:val="VAL-813-reviewer"/>
          <w:id w:val="343"/>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r>
        <w:rPr>
          <w:rFonts w:ascii="Calibri" w:hAnsi="Calibri" w:cs="Calibri"/>
          <w:b w:val="0"/>
          <w:sz w:val="22"/>
        </w:rPr>
        <w:t xml:space="preserve">Date: </w:t>
      </w:r>
      <w:sdt>
        <w:sdtPr>
          <w:rPr>
            <w:rFonts w:ascii="Calibri" w:hAnsi="Calibri" w:cs="Calibri"/>
            <w:sz w:val="22"/>
            <w:szCs w:val="22"/>
            <w:u w:val="single"/>
          </w:rPr>
          <w:alias w:val="Review date"/>
          <w:tag w:val="VAL-813-date"/>
          <w:id w:val="344"/>
          <w15:color xmlns:w15="http://schemas.microsoft.com/office/word/2012/wordml" w15:val="2E75B6"/>
          <w15:appearance xmlns:w15="http://schemas.microsoft.com/office/word/2012/wordml" w15:val="boundingBox"/>
          <w:text w:multiLine="0"/>
        </w:sdtPr>
        <w:sdtEndPr/>
        <w:sdtContent>
          <w:r>
            <w:rPr>
              <w:rFonts w:ascii="Calibri" w:hAnsi="Calibri" w:cs="Calibri"/>
              <w:sz w:val="22"/>
              <w:szCs w:val="22"/>
              <w:u w:val="single"/>
            </w:rPr>
            <w:t xml:space="preserve">                                    </w:t>
          </w:r>
        </w:sdtContent>
      </w:sdt>
    </w:p>
    <w:p>
      <w:pPr>
        <w:keepNext/>
        <w:pageBreakBefore/>
      </w:pPr>
      <w:r>
        <w:rPr>
          <w:rFonts w:ascii="Calibri" w:hAnsi="Calibri" w:cs="Calibri"/>
          <w:b/>
          <w:color w:val="1F3A5F"/>
          <w:sz w:val="28"/>
        </w:rPr>
        <w:t>ROUND 1 CLINICIAN FEEDBACK — HISTORICAL RECORD</w:t>
      </w:r>
    </w:p>
    <w:tbl>
      <w:tblPr>
        <w:tblStyle w:val="TableGrid"/>
        <w:tblW w:type="dxa" w:w="9792"/>
        <w:tblLayout w:type="fixed"/>
        <w:tblLook w:firstColumn="1" w:firstRow="1" w:lastColumn="0" w:lastRow="0" w:noHBand="0" w:noVBand="1" w:val="04A0"/>
        <w:tblBorders>
          <w:top w:val="single" w:sz="8" w:space="0" w:color="595959"/>
          <w:left w:val="single" w:sz="8" w:space="0" w:color="595959"/>
          <w:bottom w:val="single" w:sz="8" w:space="0" w:color="595959"/>
          <w:right w:val="single" w:sz="8" w:space="0" w:color="595959"/>
          <w:insideH w:val="single" w:sz="8" w:space="0" w:color="595959"/>
          <w:insideV w:val="single" w:sz="8" w:space="0" w:color="595959"/>
        </w:tblBorders>
      </w:tblPr>
      <w:tblGrid>
        <w:gridCol w:w="9792"/>
      </w:tblGrid>
      <w:tr>
        <w:tc>
          <w:tcPr>
            <w:tcW w:type="dxa" w:w="9792"/>
            <w:shd w:val="clear" w:color="auto" w:fill="595959"/>
          </w:tcPr>
          <w:p>
            <w:r/>
            <w:r>
              <w:rPr>
                <w:rFonts w:ascii="Calibri" w:hAnsi="Calibri" w:cs="Calibri"/>
                <w:b/>
                <w:color w:val="FFFFFF"/>
                <w:sz w:val="24"/>
              </w:rPr>
              <w:t>ROUND 1 CLINICIAN FEEDBACK — READ ONLY</w:t>
            </w:r>
          </w:p>
        </w:tc>
      </w:tr>
    </w:tbl>
    <w:p>
      <w:pPr>
        <w:spacing w:after="80"/>
      </w:pPr>
    </w:p>
    <w:p>
      <w:pPr>
        <w:spacing w:after="120"/>
      </w:pPr>
      <w:r>
        <w:rPr>
          <w:rFonts w:ascii="Calibri" w:hAnsi="Calibri" w:cs="Calibri"/>
          <w:b w:val="0"/>
          <w:sz w:val="22"/>
        </w:rPr>
        <w:t>This section reproduces the completed Round 1 form. Boxes are not editable. Blank items stay blank. If two boxes were selected, both are shown.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tcPr>
          <w:p>
            <w:pPr>
              <w:spacing w:after="20" w:before="20"/>
            </w:pPr>
            <w:r>
              <w:rPr>
                <w:rFonts w:ascii="Calibri" w:hAnsi="Calibri" w:cs="Calibri"/>
                <w:b/>
                <w:sz w:val="20"/>
              </w:rPr>
              <w:t>1</w:t>
            </w:r>
          </w:p>
        </w:tc>
        <w:tc>
          <w:tcPr>
            <w:tcW w:type="dxa" w:w="1152"/>
            <w:shd w:val="clear" w:color="auto" w:fill="D9E2F3"/>
          </w:tcPr>
          <w:p>
            <w:pPr>
              <w:spacing w:after="20" w:before="20"/>
            </w:pPr>
            <w:r>
              <w:rPr>
                <w:rFonts w:ascii="Calibri" w:hAnsi="Calibri" w:cs="Calibri"/>
                <w:b/>
                <w:sz w:val="20"/>
              </w:rPr>
              <w:t>2</w:t>
            </w:r>
          </w:p>
        </w:tc>
        <w:tc>
          <w:tcPr>
            <w:tcW w:type="dxa" w:w="1152"/>
            <w:shd w:val="clear" w:color="auto" w:fill="D9E2F3"/>
          </w:tcPr>
          <w:p>
            <w:pPr>
              <w:spacing w:after="20" w:before="20"/>
            </w:pPr>
            <w:r>
              <w:rPr>
                <w:rFonts w:ascii="Calibri" w:hAnsi="Calibri" w:cs="Calibri"/>
                <w:b/>
                <w:sz w:val="20"/>
              </w:rPr>
              <w:t>3</w:t>
            </w:r>
          </w:p>
        </w:tc>
        <w:tc>
          <w:tcPr>
            <w:tcW w:type="dxa" w:w="1152"/>
            <w:shd w:val="clear" w:color="auto" w:fill="D9E2F3"/>
          </w:tcPr>
          <w:p>
            <w:pPr>
              <w:spacing w:after="20" w:before="20"/>
            </w:pPr>
            <w:r>
              <w:rPr>
                <w:rFonts w:ascii="Calibri" w:hAnsi="Calibri" w:cs="Calibri"/>
                <w:b/>
                <w:sz w:val="20"/>
              </w:rPr>
              <w:t>4</w:t>
            </w:r>
          </w:p>
        </w:tc>
      </w:tr>
      <w:tr>
        <w:trPr>
          <w:cantSplit/>
        </w:trPr>
        <w:tc>
          <w:tcPr>
            <w:tcW w:type="dxa" w:w="5184"/>
            <w:shd w:val="clear" w:color="auto" w:fill="F2F2F2"/>
            <w:vAlign w:val="top"/>
          </w:tcPr>
          <w:p>
            <w:pPr>
              <w:spacing w:after="20" w:before="20"/>
            </w:pPr>
            <w:r>
              <w:rPr>
                <w:rFonts w:ascii="Calibri" w:hAnsi="Calibri" w:cs="Calibri"/>
                <w:b w:val="0"/>
                <w:sz w:val="20"/>
              </w:rPr>
              <w:t>Presentation and demographics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Fit between presentation and diagnosis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Vital signs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Laboratory findings</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Medication regimen</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Hospital course</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Consistency across the chart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r>
        <w:trPr>
          <w:cantSplit/>
        </w:trPr>
        <w:tc>
          <w:tcPr>
            <w:tcW w:type="dxa" w:w="5184"/>
            <w:shd w:val="clear" w:color="auto" w:fill="F2F2F2"/>
            <w:vAlign w:val="top"/>
          </w:tcPr>
          <w:p>
            <w:pPr>
              <w:spacing w:after="20" w:before="20"/>
            </w:pPr>
            <w:r>
              <w:rPr>
                <w:rFonts w:ascii="Calibri" w:hAnsi="Calibri" w:cs="Calibri"/>
                <w:b w:val="0"/>
                <w:sz w:val="20"/>
              </w:rPr>
              <w:t>Discharge plan and follow-up</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c>
          <w:tcPr>
            <w:tcW w:type="dxa" w:w="1152"/>
            <w:shd w:val="clear" w:color="auto" w:fill="F2F2F2"/>
            <w:vAlign w:val="top"/>
          </w:tcPr>
          <w:p>
            <w:pPr>
              <w:spacing w:after="20" w:before="20"/>
            </w:pPr>
            <w:r>
              <w:rPr>
                <w:rFonts w:ascii="Calibri" w:hAnsi="Calibri" w:cs="Calibri"/>
                <w:b w:val="0"/>
                <w:sz w:val="20"/>
              </w:rPr>
              <w:t>☐</w:t>
            </w:r>
          </w:p>
        </w:tc>
      </w:tr>
    </w:tbl>
    <w:p>
      <w:pPr>
        <w:spacing w:after="40"/>
      </w:pPr>
    </w:p>
    <w:p>
      <w:pPr>
        <w:spacing w:after="120"/>
      </w:pPr>
      <w:r>
        <w:rPr>
          <w:rFonts w:ascii="Calibri" w:hAnsi="Calibri" w:cs="Calibri"/>
          <w:b w:val="0"/>
          <w:sz w:val="22"/>
        </w:rPr>
        <w:t>C1 overall: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C1 comments</w:t>
            </w:r>
          </w:p>
        </w:tc>
      </w:tr>
      <w:tr>
        <w:trPr>
          <w:cantSplit/>
        </w:trPr>
        <w:tc>
          <w:tcPr>
            <w:tcW w:type="dxa" w:w="9792"/>
            <w:shd w:val="clear" w:color="auto" w:fill="F2F2F2"/>
            <w:vAlign w:val="top"/>
          </w:tcPr>
          <w:p>
            <w:pPr>
              <w:spacing w:after="20" w:before="20"/>
            </w:pPr>
            <w:r>
              <w:rPr>
                <w:rFonts w:ascii="Calibri" w:hAnsi="Calibri" w:cs="Calibri"/>
                <w:b w:val="0"/>
                <w:sz w:val="20"/>
              </w:rPr>
              <w:t>Patient is admitted for new diagnosis of CMV colitis, but was already on treatment for this (valganciclovir) prior to admission, which does not make sense. This medication would be started after diagnosis during the hospitalization. The medications are much too simplified for a post transplant patient. The labs are incomplete and the patient has a change in potassium without obvious cause or indication.</w:t>
            </w:r>
          </w:p>
        </w:tc>
      </w:tr>
    </w:tbl>
    <w:p>
      <w:pPr>
        <w:spacing w:after="40"/>
      </w:pPr>
    </w:p>
    <w:p>
      <w:pPr>
        <w:spacing w:after="120"/>
      </w:pPr>
      <w:r>
        <w:rPr>
          <w:rFonts w:ascii="Calibri" w:hAnsi="Calibri" w:cs="Calibri"/>
          <w:b w:val="0"/>
          <w:sz w:val="22"/>
        </w:rPr>
        <w:t>C2 question: Does this case appropriately contain no deliberately introduced medication-reconciliation or transition-of-care problem?</w:t>
      </w:r>
    </w:p>
    <w:p>
      <w:pPr>
        <w:spacing w:after="120"/>
      </w:pPr>
      <w:r>
        <w:rPr>
          <w:rFonts w:ascii="Calibri" w:hAnsi="Calibri" w:cs="Calibri"/>
          <w:b w:val="0"/>
          <w:sz w:val="22"/>
        </w:rPr>
        <w:t>C2: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C2 comments</w:t>
            </w:r>
          </w:p>
        </w:tc>
      </w:tr>
      <w:tr>
        <w:trPr>
          <w:cantSplit/>
        </w:trPr>
        <w:tc>
          <w:tcPr>
            <w:tcW w:type="dxa" w:w="9792"/>
            <w:shd w:val="clear" w:color="auto" w:fill="F2F2F2"/>
            <w:vAlign w:val="top"/>
          </w:tcPr>
          <w:p>
            <w:pPr>
              <w:spacing w:after="20" w:before="20"/>
            </w:pPr>
            <w:r>
              <w:rPr>
                <w:rFonts w:ascii="Calibri" w:hAnsi="Calibri" w:cs="Calibri"/>
                <w:b w:val="0"/>
                <w:sz w:val="20"/>
              </w:rPr>
              <w:t>Since the patient was on valganciclovir on admission, it would make you think that you need to change to an alternative regimen to appropriately treat the CMV</w:t>
            </w:r>
          </w:p>
        </w:tc>
      </w:tr>
    </w:tbl>
    <w:p>
      <w:pPr>
        <w:spacing w:after="40"/>
      </w:pPr>
    </w:p>
    <w:p>
      <w:pPr>
        <w:spacing w:after="120"/>
      </w:pPr>
      <w:r>
        <w:rPr>
          <w:rFonts w:ascii="Calibri" w:hAnsi="Calibri" w:cs="Calibri"/>
          <w:b w:val="0"/>
          <w:sz w:val="22"/>
        </w:rPr>
        <w:t>C3 question: Does the case avoid misleading cues suggesting that an error must exist?</w:t>
      </w:r>
    </w:p>
    <w:p>
      <w:pPr>
        <w:spacing w:after="120"/>
      </w:pPr>
      <w:r>
        <w:rPr>
          <w:rFonts w:ascii="Calibri" w:hAnsi="Calibri" w:cs="Calibri"/>
          <w:b w:val="0"/>
          <w:sz w:val="22"/>
        </w:rPr>
        <w:t>C3: Fail</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C3 comments</w:t>
            </w:r>
          </w:p>
        </w:tc>
      </w:tr>
      <w:tr>
        <w:trPr>
          <w:cantSplit/>
        </w:trPr>
        <w:tc>
          <w:tcPr>
            <w:tcW w:type="dxa" w:w="9792"/>
            <w:shd w:val="clear" w:color="auto" w:fill="F2F2F2"/>
            <w:vAlign w:val="top"/>
          </w:tcPr>
          <w:p>
            <w:pPr>
              <w:spacing w:after="20" w:before="20"/>
            </w:pPr>
            <w:r>
              <w:rPr>
                <w:rFonts w:ascii="Calibri" w:hAnsi="Calibri" w:cs="Calibri"/>
                <w:b w:val="0"/>
                <w:sz w:val="20"/>
              </w:rPr>
              <w:t>As above, it isn’t clear why the patient was already on valganciclovir</w:t>
            </w:r>
          </w:p>
        </w:tc>
      </w:tr>
    </w:tbl>
    <w:p>
      <w:pPr>
        <w:spacing w:after="40"/>
      </w:pPr>
    </w:p>
    <w:p>
      <w:pPr>
        <w:spacing w:after="120"/>
      </w:pPr>
      <w:r>
        <w:rPr>
          <w:rFonts w:ascii="Calibri" w:hAnsi="Calibri" w:cs="Calibri"/>
          <w:b w:val="0"/>
          <w:sz w:val="22"/>
        </w:rPr>
        <w:t>C4 question: Does the case contain any clinically meaningful medication-reconciliation or transition-of-care problem that should not be present?</w:t>
      </w:r>
    </w:p>
    <w:p>
      <w:pPr>
        <w:spacing w:after="120"/>
      </w:pPr>
      <w:r>
        <w:rPr>
          <w:rFonts w:ascii="Calibri" w:hAnsi="Calibri" w:cs="Calibri"/>
          <w:b w:val="0"/>
          <w:sz w:val="22"/>
        </w:rPr>
        <w:t>C4: Fail</w:t>
      </w:r>
    </w:p>
    <w:p>
      <w:pPr>
        <w:spacing w:after="120"/>
      </w:pPr>
      <w:r>
        <w:rPr>
          <w:rFonts w:ascii="Calibri" w:hAnsi="Calibri" w:cs="Calibri"/>
          <w:b w:val="0"/>
          <w:sz w:val="22"/>
        </w:rPr>
        <w:t>C4 issue: Valganciclovir</w:t>
      </w:r>
    </w:p>
    <w:p>
      <w:pPr>
        <w:spacing w:after="120"/>
      </w:pPr>
      <w:r>
        <w:rPr>
          <w:rFonts w:ascii="Calibri" w:hAnsi="Calibri" w:cs="Calibri"/>
          <w:b w:val="0"/>
          <w:sz w:val="22"/>
        </w:rPr>
        <w:t>C4 location: Admission medications</w:t>
      </w:r>
    </w:p>
    <w:p>
      <w:pPr>
        <w:spacing w:after="120"/>
      </w:pPr>
      <w:r>
        <w:rPr>
          <w:rFonts w:ascii="Calibri" w:hAnsi="Calibri" w:cs="Calibri"/>
          <w:b w:val="0"/>
          <w:sz w:val="22"/>
        </w:rPr>
        <w:t>C4 clinical meaning: Should not be an admission medication</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C4 comments</w:t>
            </w:r>
          </w:p>
        </w:tc>
      </w:tr>
      <w:tr>
        <w:trPr>
          <w:cantSplit/>
        </w:trPr>
        <w:tc>
          <w:tcPr>
            <w:tcW w:type="dxa" w:w="9792"/>
            <w:shd w:val="clear" w:color="auto" w:fill="F2F2F2"/>
            <w:vAlign w:val="top"/>
          </w:tcPr>
          <w:p>
            <w:pPr>
              <w:spacing w:after="20" w:before="20"/>
            </w:pPr>
            <w:r>
              <w:rPr>
                <w:rFonts w:ascii="Calibri" w:hAnsi="Calibri" w:cs="Calibri"/>
                <w:b w:val="0"/>
                <w:sz w:val="20"/>
              </w:rPr>
              <w:t>This is an error in the case that would be confusing</w:t>
            </w:r>
          </w:p>
        </w:tc>
      </w:tr>
    </w:tbl>
    <w:p>
      <w:pPr>
        <w:spacing w:after="40"/>
      </w:pPr>
    </w:p>
    <w:p>
      <w:pPr>
        <w:spacing w:after="120"/>
      </w:pPr>
      <w:r>
        <w:rPr>
          <w:rFonts w:ascii="Calibri" w:hAnsi="Calibri" w:cs="Calibri"/>
          <w:b w:val="0"/>
          <w:sz w:val="22"/>
        </w:rPr>
        <w:t>C5: Inappropriate / outlier</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C5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Overall recommendation: Exclude</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9792"/>
      </w:tblGrid>
      <w:tr>
        <w:trPr>
          <w:cantSplit/>
          <w:tblHeader/>
        </w:trPr>
        <w:tc>
          <w:tcPr>
            <w:tcW w:type="dxa" w:w="9792"/>
            <w:shd w:val="clear" w:color="auto" w:fill="D9E2F3"/>
          </w:tcPr>
          <w:p>
            <w:pPr>
              <w:spacing w:after="20" w:before="20"/>
            </w:pPr>
            <w:r>
              <w:rPr>
                <w:rFonts w:ascii="Calibri" w:hAnsi="Calibri" w:cs="Calibri"/>
                <w:b/>
                <w:sz w:val="20"/>
              </w:rPr>
              <w:t>Overall comments</w:t>
            </w:r>
          </w:p>
        </w:tc>
      </w:tr>
      <w:tr>
        <w:trPr>
          <w:cantSplit/>
        </w:trPr>
        <w:tc>
          <w:tcPr>
            <w:tcW w:type="dxa" w:w="9792"/>
            <w:shd w:val="clear" w:color="auto" w:fill="F2F2F2"/>
            <w:vAlign w:val="top"/>
          </w:tcPr>
          <w:p>
            <w:pPr>
              <w:spacing w:after="20" w:before="20"/>
            </w:pPr>
            <w:r>
              <w:rPr>
                <w:rFonts w:ascii="Calibri" w:hAnsi="Calibri" w:cs="Calibri"/>
                <w:b w:val="0"/>
                <w:sz w:val="20"/>
              </w:rPr>
              <w:t>Not completed in Round 1</w:t>
            </w:r>
          </w:p>
        </w:tc>
      </w:tr>
    </w:tbl>
    <w:p>
      <w:pPr>
        <w:spacing w:after="40"/>
      </w:pPr>
    </w:p>
    <w:p>
      <w:pPr>
        <w:spacing w:after="120"/>
      </w:pPr>
      <w:r>
        <w:rPr>
          <w:rFonts w:ascii="Calibri" w:hAnsi="Calibri" w:cs="Calibri"/>
          <w:b w:val="0"/>
          <w:sz w:val="22"/>
        </w:rPr>
        <w:t>Reviewer: KO. Date: 10/5/2026.</w:t>
      </w:r>
    </w:p>
    <w:p>
      <w:pPr>
        <w:keepNext/>
        <w:pageBreakBefore/>
      </w:pPr>
      <w:r>
        <w:rPr>
          <w:rFonts w:ascii="Calibri" w:hAnsi="Calibri" w:cs="Calibri"/>
          <w:b/>
          <w:color w:val="1F3A5F"/>
          <w:sz w:val="28"/>
        </w:rPr>
        <w:t>ROUND 2 RESPONSE TO ROUND 1 REVIEW</w:t>
      </w:r>
    </w:p>
    <w:tbl>
      <w:tblPr>
        <w:tblStyle w:val="TableGrid"/>
        <w:tblW w:type="dxa" w:w="9792"/>
        <w:tblLayout w:type="fixed"/>
        <w:tblLook w:firstColumn="1" w:firstRow="1" w:lastColumn="0" w:lastRow="0" w:noHBand="0" w:noVBand="1" w:val="04A0"/>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Pr>
      <w:tblGrid>
        <w:gridCol w:w="1958"/>
        <w:gridCol w:w="1958"/>
        <w:gridCol w:w="1958"/>
        <w:gridCol w:w="1958"/>
        <w:gridCol w:w="1958"/>
      </w:tblGrid>
      <w:tr>
        <w:trPr>
          <w:cantSplit/>
          <w:tblHeader/>
        </w:trPr>
        <w:tc>
          <w:tcPr>
            <w:tcW w:type="dxa" w:w="1296"/>
            <w:shd w:val="clear" w:color="auto" w:fill="D9E2F3"/>
          </w:tcPr>
          <w:p>
            <w:pPr>
              <w:spacing w:after="20" w:before="20"/>
            </w:pPr>
            <w:r>
              <w:rPr>
                <w:rFonts w:ascii="Calibri" w:hAnsi="Calibri" w:cs="Calibri"/>
                <w:b/>
                <w:sz w:val="20"/>
              </w:rPr>
              <w:t>#</w:t>
            </w:r>
          </w:p>
        </w:tc>
        <w:tc>
          <w:tcPr>
            <w:tcW w:type="dxa" w:w="2016"/>
            <w:shd w:val="clear" w:color="auto" w:fill="D9E2F3"/>
          </w:tcPr>
          <w:p>
            <w:pPr>
              <w:spacing w:after="20" w:before="20"/>
            </w:pPr>
            <w:r>
              <w:rPr>
                <w:rFonts w:ascii="Calibri" w:hAnsi="Calibri" w:cs="Calibri"/>
                <w:b/>
                <w:sz w:val="20"/>
              </w:rPr>
              <w:t>Reviewer comment / concern</w:t>
            </w:r>
          </w:p>
        </w:tc>
        <w:tc>
          <w:tcPr>
            <w:tcW w:type="dxa" w:w="2304"/>
            <w:shd w:val="clear" w:color="auto" w:fill="D9E2F3"/>
          </w:tcPr>
          <w:p>
            <w:pPr>
              <w:spacing w:after="20" w:before="20"/>
            </w:pPr>
            <w:r>
              <w:rPr>
                <w:rFonts w:ascii="Calibri" w:hAnsi="Calibri" w:cs="Calibri"/>
                <w:b/>
                <w:sz w:val="20"/>
              </w:rPr>
              <w:t>Author response</w:t>
            </w:r>
          </w:p>
        </w:tc>
        <w:tc>
          <w:tcPr>
            <w:tcW w:type="dxa" w:w="2016"/>
            <w:shd w:val="clear" w:color="auto" w:fill="D9E2F3"/>
          </w:tcPr>
          <w:p>
            <w:pPr>
              <w:spacing w:after="20" w:before="20"/>
            </w:pPr>
            <w:r>
              <w:rPr>
                <w:rFonts w:ascii="Calibri" w:hAnsi="Calibri" w:cs="Calibri"/>
                <w:b/>
                <w:sz w:val="20"/>
              </w:rPr>
              <w:t>Revision made</w:t>
            </w:r>
          </w:p>
        </w:tc>
        <w:tc>
          <w:tcPr>
            <w:tcW w:type="dxa" w:w="2160"/>
            <w:shd w:val="clear" w:color="auto" w:fill="D9E2F3"/>
          </w:tcPr>
          <w:p>
            <w:pPr>
              <w:spacing w:after="20" w:before="20"/>
            </w:pPr>
            <w:r>
              <w:rPr>
                <w:rFonts w:ascii="Calibri" w:hAnsi="Calibri" w:cs="Calibri"/>
                <w:b/>
                <w:sz w:val="20"/>
              </w:rPr>
              <w:t>Evidence / justification</w:t>
            </w:r>
          </w:p>
        </w:tc>
      </w:tr>
      <w:tr>
        <w:trPr>
          <w:cantSplit/>
        </w:trPr>
        <w:tc>
          <w:tcPr>
            <w:tcW w:type="dxa" w:w="1296"/>
            <w:vAlign w:val="top"/>
          </w:tcPr>
          <w:p>
            <w:pPr>
              <w:spacing w:after="20" w:before="20"/>
            </w:pPr>
            <w:r>
              <w:rPr>
                <w:rFonts w:ascii="Calibri" w:hAnsi="Calibri" w:cs="Calibri"/>
                <w:b w:val="0"/>
                <w:sz w:val="20"/>
              </w:rPr>
              <w:t>VAL-813-R1</w:t>
            </w:r>
          </w:p>
        </w:tc>
        <w:tc>
          <w:tcPr>
            <w:tcW w:type="dxa" w:w="2016"/>
            <w:vAlign w:val="top"/>
          </w:tcPr>
          <w:p>
            <w:pPr>
              <w:spacing w:after="20" w:before="20"/>
            </w:pPr>
            <w:r>
              <w:rPr>
                <w:rFonts w:ascii="Calibri" w:hAnsi="Calibri" w:cs="Calibri"/>
                <w:b w:val="0"/>
                <w:sz w:val="20"/>
              </w:rPr>
              <w:t>Patient is admitted for new diagnosis of CMV colitis, but was already on treatment for this (valganciclovir) prior to admission, which does not make sense.</w:t>
            </w:r>
          </w:p>
        </w:tc>
        <w:tc>
          <w:tcPr>
            <w:tcW w:type="dxa" w:w="2304"/>
            <w:vAlign w:val="top"/>
          </w:tcPr>
          <w:p>
            <w:pPr>
              <w:spacing w:after="20" w:before="20"/>
            </w:pPr>
            <w:r>
              <w:rPr>
                <w:rFonts w:ascii="Calibri" w:hAnsi="Calibri" w:cs="Calibri"/>
                <w:b w:val="0"/>
                <w:sz w:val="20"/>
              </w:rPr>
              <w:t>We agree the combination is incoherent if the case is read as a first diagnosis. Valganciclovir 900 mg twice daily is a home medicine in the preserved chart. We did not delete it. The revision says the patient was already taking it before admission, so this stay is not the first dose for a diagnosis made during the stay. We also removed the sentence that called outpatient continuation the intended answer.</w:t>
            </w:r>
          </w:p>
        </w:tc>
        <w:tc>
          <w:tcPr>
            <w:tcW w:type="dxa" w:w="2016"/>
            <w:vAlign w:val="top"/>
          </w:tcPr>
          <w:p>
            <w:pPr>
              <w:spacing w:after="20" w:before="20"/>
            </w:pPr>
            <w:r>
              <w:rPr>
                <w:rFonts w:ascii="Calibri" w:hAnsi="Calibri" w:cs="Calibri"/>
                <w:b w:val="0"/>
                <w:sz w:val="20"/>
              </w:rPr>
              <w:t>Narrative chronology aligned with the home medication list. Valganciclovir not removed.</w:t>
            </w:r>
          </w:p>
        </w:tc>
        <w:tc>
          <w:tcPr>
            <w:tcW w:type="dxa" w:w="2160"/>
            <w:vAlign w:val="top"/>
          </w:tcPr>
          <w:p>
            <w:pPr>
              <w:spacing w:after="20" w:before="20"/>
            </w:pPr>
            <w:r>
              <w:rPr>
                <w:rFonts w:ascii="Calibri" w:hAnsi="Calibri" w:cs="Calibri"/>
                <w:b w:val="0"/>
                <w:sz w:val="20"/>
              </w:rPr>
              <w:t>CASE_SOURCE home valganciclovir row; [E5] describes treatment after CMV disease and does not require deleting a recorded home dose.</w:t>
            </w:r>
          </w:p>
        </w:tc>
      </w:tr>
      <w:tr>
        <w:trPr>
          <w:cantSplit/>
        </w:trPr>
        <w:tc>
          <w:tcPr>
            <w:tcW w:type="dxa" w:w="1296"/>
            <w:vAlign w:val="top"/>
          </w:tcPr>
          <w:p>
            <w:pPr>
              <w:spacing w:after="20" w:before="20"/>
            </w:pPr>
            <w:r>
              <w:rPr>
                <w:rFonts w:ascii="Calibri" w:hAnsi="Calibri" w:cs="Calibri"/>
                <w:b w:val="0"/>
                <w:sz w:val="20"/>
              </w:rPr>
              <w:t>VAL-813-R2</w:t>
            </w:r>
          </w:p>
        </w:tc>
        <w:tc>
          <w:tcPr>
            <w:tcW w:type="dxa" w:w="2016"/>
            <w:vAlign w:val="top"/>
          </w:tcPr>
          <w:p>
            <w:pPr>
              <w:spacing w:after="20" w:before="20"/>
            </w:pPr>
            <w:r>
              <w:rPr>
                <w:rFonts w:ascii="Calibri" w:hAnsi="Calibri" w:cs="Calibri"/>
                <w:b w:val="0"/>
                <w:sz w:val="20"/>
              </w:rPr>
              <w:t>The medications are much too simplified for a post transplant patient.</w:t>
            </w:r>
          </w:p>
        </w:tc>
        <w:tc>
          <w:tcPr>
            <w:tcW w:type="dxa" w:w="2304"/>
            <w:vAlign w:val="top"/>
          </w:tcPr>
          <w:p>
            <w:pPr>
              <w:spacing w:after="20" w:before="20"/>
            </w:pPr>
            <w:r>
              <w:rPr>
                <w:rFonts w:ascii="Calibri" w:hAnsi="Calibri" w:cs="Calibri"/>
                <w:b w:val="0"/>
                <w:sz w:val="20"/>
              </w:rPr>
              <w:t>We agree a transplant regimen often includes more than tacrolimus. Mycophenolate and prednisone are not in this chart. We did not add them. Whether the case is too narrow for the study remains for the clinician.</w:t>
            </w:r>
          </w:p>
        </w:tc>
        <w:tc>
          <w:tcPr>
            <w:tcW w:type="dxa" w:w="2016"/>
            <w:vAlign w:val="top"/>
          </w:tcPr>
          <w:p>
            <w:pPr>
              <w:spacing w:after="20" w:before="20"/>
            </w:pPr>
            <w:r>
              <w:rPr>
                <w:rFonts w:ascii="Calibri" w:hAnsi="Calibri" w:cs="Calibri"/>
                <w:b w:val="0"/>
                <w:sz w:val="20"/>
              </w:rPr>
              <w:t>No immunosuppressant added.</w:t>
            </w:r>
          </w:p>
        </w:tc>
        <w:tc>
          <w:tcPr>
            <w:tcW w:type="dxa" w:w="2160"/>
            <w:vAlign w:val="top"/>
          </w:tcPr>
          <w:p>
            <w:pPr>
              <w:spacing w:after="20" w:before="20"/>
            </w:pPr>
            <w:r>
              <w:rPr>
                <w:rFonts w:ascii="Calibri" w:hAnsi="Calibri" w:cs="Calibri"/>
                <w:b w:val="0"/>
                <w:sz w:val="20"/>
              </w:rPr>
              <w:t>CASE_SOURCE home list is tacrolimus, valganciclovir, amlodipine, and atorvastatin.</w:t>
            </w:r>
          </w:p>
        </w:tc>
      </w:tr>
      <w:tr>
        <w:trPr>
          <w:cantSplit/>
        </w:trPr>
        <w:tc>
          <w:tcPr>
            <w:tcW w:type="dxa" w:w="1296"/>
            <w:vAlign w:val="top"/>
          </w:tcPr>
          <w:p>
            <w:pPr>
              <w:spacing w:after="20" w:before="20"/>
            </w:pPr>
            <w:r>
              <w:rPr>
                <w:rFonts w:ascii="Calibri" w:hAnsi="Calibri" w:cs="Calibri"/>
                <w:b w:val="0"/>
                <w:sz w:val="20"/>
              </w:rPr>
              <w:t>VAL-813-R3</w:t>
            </w:r>
          </w:p>
        </w:tc>
        <w:tc>
          <w:tcPr>
            <w:tcW w:type="dxa" w:w="2016"/>
            <w:vAlign w:val="top"/>
          </w:tcPr>
          <w:p>
            <w:pPr>
              <w:spacing w:after="20" w:before="20"/>
            </w:pPr>
            <w:r>
              <w:rPr>
                <w:rFonts w:ascii="Calibri" w:hAnsi="Calibri" w:cs="Calibri"/>
                <w:b w:val="0"/>
                <w:sz w:val="20"/>
              </w:rPr>
              <w:t>The labs are incomplete and the patient has a change in potassium without obvious cause or indication.</w:t>
            </w:r>
          </w:p>
        </w:tc>
        <w:tc>
          <w:tcPr>
            <w:tcW w:type="dxa" w:w="2304"/>
            <w:vAlign w:val="top"/>
          </w:tcPr>
          <w:p>
            <w:pPr>
              <w:spacing w:after="20" w:before="20"/>
            </w:pPr>
            <w:r>
              <w:rPr>
                <w:rFonts w:ascii="Calibri" w:hAnsi="Calibri" w:cs="Calibri"/>
                <w:b w:val="0"/>
                <w:sz w:val="20"/>
              </w:rPr>
              <w:t>We agree no cause is written. Both values are already in the chart. We stated that no cause is documented and did not add a new laboratory or an invented cause.</w:t>
            </w:r>
          </w:p>
        </w:tc>
        <w:tc>
          <w:tcPr>
            <w:tcW w:type="dxa" w:w="2016"/>
            <w:vAlign w:val="top"/>
          </w:tcPr>
          <w:p>
            <w:pPr>
              <w:spacing w:after="20" w:before="20"/>
            </w:pPr>
            <w:r>
              <w:rPr>
                <w:rFonts w:ascii="Calibri" w:hAnsi="Calibri" w:cs="Calibri"/>
                <w:b w:val="0"/>
                <w:sz w:val="20"/>
              </w:rPr>
              <w:t>Narrative quotes both potassium values and states that no cause is recorded.</w:t>
            </w:r>
          </w:p>
        </w:tc>
        <w:tc>
          <w:tcPr>
            <w:tcW w:type="dxa" w:w="2160"/>
            <w:vAlign w:val="top"/>
          </w:tcPr>
          <w:p>
            <w:pPr>
              <w:spacing w:after="20" w:before="20"/>
            </w:pPr>
            <w:r>
              <w:rPr>
                <w:rFonts w:ascii="Calibri" w:hAnsi="Calibri" w:cs="Calibri"/>
                <w:b w:val="0"/>
                <w:sz w:val="20"/>
              </w:rPr>
              <w:t>CASE_SOURCE CaseLab potassium rows.</w:t>
            </w:r>
          </w:p>
        </w:tc>
      </w:tr>
      <w:tr>
        <w:trPr>
          <w:cantSplit/>
        </w:trPr>
        <w:tc>
          <w:tcPr>
            <w:tcW w:type="dxa" w:w="1296"/>
            <w:vAlign w:val="top"/>
          </w:tcPr>
          <w:p>
            <w:pPr>
              <w:spacing w:after="20" w:before="20"/>
            </w:pPr>
            <w:r>
              <w:rPr>
                <w:rFonts w:ascii="Calibri" w:hAnsi="Calibri" w:cs="Calibri"/>
                <w:b w:val="0"/>
                <w:sz w:val="20"/>
              </w:rPr>
              <w:t>VAL-813-R4</w:t>
            </w:r>
          </w:p>
        </w:tc>
        <w:tc>
          <w:tcPr>
            <w:tcW w:type="dxa" w:w="2016"/>
            <w:vAlign w:val="top"/>
          </w:tcPr>
          <w:p>
            <w:pPr>
              <w:spacing w:after="20" w:before="20"/>
            </w:pPr>
            <w:r>
              <w:rPr>
                <w:rFonts w:ascii="Calibri" w:hAnsi="Calibri" w:cs="Calibri"/>
                <w:b w:val="0"/>
                <w:sz w:val="20"/>
              </w:rPr>
              <w:t>Valganciclovir should not be an admission medication. Since the patient was on valganciclovir on admission, it would make you think that you need to change to an alternative regimen.</w:t>
            </w:r>
          </w:p>
        </w:tc>
        <w:tc>
          <w:tcPr>
            <w:tcW w:type="dxa" w:w="2304"/>
            <w:vAlign w:val="top"/>
          </w:tcPr>
          <w:p>
            <w:pPr>
              <w:spacing w:after="20" w:before="20"/>
            </w:pPr>
            <w:r>
              <w:rPr>
                <w:rFonts w:ascii="Calibri" w:hAnsi="Calibri" w:cs="Calibri"/>
                <w:b w:val="0"/>
                <w:sz w:val="20"/>
              </w:rPr>
              <w:t>We do not have a source basis for deleting the home drug or for choosing a different antiviral. The recorded dose remains 900 mg twice daily, which is the charted dose at creatinine 1.2 mg/dL then 1.0 mg/dL. Switching or stopping it is an acceptable alternative for the clinician, not a required reference change.</w:t>
            </w:r>
          </w:p>
        </w:tc>
        <w:tc>
          <w:tcPr>
            <w:tcW w:type="dxa" w:w="2016"/>
            <w:vAlign w:val="top"/>
          </w:tcPr>
          <w:p>
            <w:pPr>
              <w:spacing w:after="20" w:before="20"/>
            </w:pPr>
            <w:r>
              <w:rPr>
                <w:rFonts w:ascii="Calibri" w:hAnsi="Calibri" w:cs="Calibri"/>
                <w:b w:val="0"/>
                <w:sz w:val="20"/>
              </w:rPr>
              <w:t>Acceptable alternative added: stop or switch valganciclovir. Reference action remains continue.</w:t>
            </w:r>
          </w:p>
        </w:tc>
        <w:tc>
          <w:tcPr>
            <w:tcW w:type="dxa" w:w="2160"/>
            <w:vAlign w:val="top"/>
          </w:tcPr>
          <w:p>
            <w:pPr>
              <w:spacing w:after="20" w:before="20"/>
            </w:pPr>
            <w:r>
              <w:rPr>
                <w:rFonts w:ascii="Calibri" w:hAnsi="Calibri" w:cs="Calibri"/>
                <w:b w:val="0"/>
                <w:sz w:val="20"/>
              </w:rPr>
              <w:t>CASE_SOURCE dose and creatinine; [E5].</w:t>
            </w:r>
          </w:p>
        </w:tc>
      </w:tr>
    </w:tbl>
    <w:p>
      <w:pPr>
        <w:spacing w:after="40"/>
      </w:pPr>
    </w:p>
    <w:p>
      <w:pPr>
        <w:pStyle w:val="Heading3"/>
      </w:pPr>
      <w:r>
        <w:rPr>
          <w:rFonts w:ascii="Calibri" w:hAnsi="Calibri"/>
          <w:color w:val="1F3A5F"/>
        </w:rPr>
        <w:t>Evidence for changes</w:t>
      </w:r>
    </w:p>
    <w:p>
      <w:pPr>
        <w:spacing w:after="120"/>
      </w:pPr>
      <w:r>
        <w:rPr>
          <w:rFonts w:ascii="Calibri" w:hAnsi="Calibri" w:cs="Calibri"/>
          <w:b w:val="0"/>
          <w:sz w:val="22"/>
        </w:rPr>
        <w:t>[E5] Razonable RR, Humar A. Cytomegalovirus in solid organ transplant recipients—Guidelines of the American Society of Transplantation Infectious Diseases Community of Practice. Clin Transplant. 2019;33:e13512. doi:10.1111/ctr.13512. Treatment follows documented CMV disease. It does not require deleting a valganciclovir row that the chart already records as a home medicine.</w:t>
      </w: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Cycle 2  |  Set 1 revised cases, version 2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