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5="http://schemas.microsoft.com/office/word/2012/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5 w14 wp14">
  <w:body>
    <w:p>
      <w:pPr>
        <w:pStyle w:val="Title"/>
      </w:pPr>
      <w:r>
        <w:rPr>
          <w:rFonts w:ascii="Calibri" w:hAnsi="Calibri"/>
          <w:color w:val="1F3A5F"/>
        </w:rPr>
        <w:t>CliniProof</w:t>
      </w:r>
    </w:p>
    <w:p>
      <w:pPr>
        <w:spacing w:after="120"/>
      </w:pPr>
      <w:r>
        <w:rPr>
          <w:rFonts w:ascii="Calibri" w:hAnsi="Calibri" w:cs="Calibri"/>
          <w:b w:val="0"/>
          <w:sz w:val="22"/>
        </w:rPr>
        <w:t>Clinical Revision Round 2, version 3</w:t>
      </w:r>
    </w:p>
    <w:p>
      <w:pPr>
        <w:pStyle w:val="Heading1"/>
      </w:pPr>
      <w:r>
        <w:rPr>
          <w:rFonts w:ascii="Calibri" w:hAnsi="Calibri"/>
          <w:color w:val="1F3A5F"/>
        </w:rPr>
        <w:t>SET 1</w:t>
      </w:r>
    </w:p>
    <w:p>
      <w:pPr>
        <w:pStyle w:val="Heading2"/>
      </w:pPr>
      <w:r>
        <w:rPr>
          <w:rFonts w:ascii="Calibri" w:hAnsi="Calibri"/>
          <w:color w:val="1F3A5F"/>
        </w:rPr>
        <w:t>REVISED CASES FOLLOWING ROUND 1 CLINICIAN FEEDBACK</w:t>
      </w:r>
    </w:p>
    <w:p>
      <w:pPr>
        <w:spacing w:after="120"/>
      </w:pPr>
      <w:r>
        <w:rPr>
          <w:rFonts w:ascii="Calibri" w:hAnsi="Calibri" w:cs="Calibri"/>
          <w:b w:val="0"/>
          <w:sz w:val="22"/>
        </w:rPr>
        <w:t>Cases: VAL-801, VAL-802, VAL-803, VAL-805, VAL-809, VAL-813</w:t>
      </w:r>
    </w:p>
    <w:p>
      <w:pPr>
        <w:spacing w:after="120"/>
      </w:pPr>
      <w:r>
        <w:rPr>
          <w:rFonts w:ascii="Calibri" w:hAnsi="Calibri" w:cs="Calibri"/>
          <w:b w:val="0"/>
          <w:sz w:val="22"/>
        </w:rPr>
        <w:t>Each case opens with the chart a resident would see. Complete the blank Round 2 form, including C1 and C2, before you read the hidden reference, the historical Round 1 record, or the clinical revision record. This file contains the six cases that received Round 1 feedback. The other eighteen cases are not in this file. Prepared for re-review does not mean clinically validated.</w:t>
      </w:r>
    </w:p>
    <w:p>
      <w:pPr>
        <w:keepNext/>
        <w:pageBreakBefore/>
      </w:pPr>
      <w:r>
        <w:rPr>
          <w:rFonts w:ascii="Calibri" w:hAnsi="Calibri" w:cs="Calibri"/>
          <w:b/>
          <w:color w:val="1F3A5F"/>
          <w:sz w:val="32"/>
        </w:rPr>
        <w:t>CASE VAL-801</w:t>
      </w:r>
    </w:p>
    <w:p>
      <w:pPr>
        <w:spacing w:after="120"/>
      </w:pPr>
      <w:r>
        <w:rPr>
          <w:rFonts w:ascii="Calibri" w:hAnsi="Calibri" w:cs="Calibri"/>
          <w:b w:val="0"/>
          <w:sz w:val="22"/>
        </w:rPr>
        <w:t>Round 2 revised case, version 3. Prepared for re-review.</w:t>
      </w:r>
    </w:p>
    <w:p>
      <w:pPr>
        <w:pStyle w:val="Heading2"/>
      </w:pPr>
      <w:r>
        <w:rPr>
          <w:rFonts w:ascii="Calibri" w:hAnsi="Calibri"/>
          <w:color w:val="1F3A5F"/>
        </w:rPr>
        <w:t>RESIDENT-FACING CHART</w:t>
      </w:r>
    </w:p>
    <w:p>
      <w:pPr>
        <w:spacing w:after="120"/>
      </w:pPr>
      <w:r>
        <w:rPr>
          <w:rFonts w:ascii="Calibri" w:hAnsi="Calibri" w:cs="Calibri"/>
          <w:b w:val="0"/>
          <w:sz w:val="22"/>
        </w:rPr>
        <w:t>This opening chart is the same information the resident would see. It does not include the hidden reference.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75</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Delirium due to known physiological condition</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75-year-old man admitted with confusion, fatigue, and poor oral intake.</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75-year-old man is admitted with several days of confusion, fatigue, and poor oral intake. Mucous membranes are dry. Supine blood pressure on admission is 136/78 mmHg. A standing systolic pressure of 116 mmHg is recorded at admission. Home medicines are lisinopril, atorvastatin, metformin, and ibuprofen as needed. He could not give a reliable medication history at admission. A collateral list was obtained later. Glucose is 163 mg/dL on admission and 103 mg/dL at discharge. Creatinine is 1.1 mg/dL then 1.0 mg/dL.</w:t>
      </w:r>
    </w:p>
    <w:p>
      <w:pPr>
        <w:pStyle w:val="Heading3"/>
      </w:pPr>
      <w:r>
        <w:rPr>
          <w:rFonts w:ascii="Calibri" w:hAnsi="Calibri"/>
          <w:color w:val="1F3A5F"/>
        </w:rPr>
        <w:t>Admission note</w:t>
      </w:r>
    </w:p>
    <w:p>
      <w:pPr>
        <w:spacing w:after="120"/>
      </w:pPr>
      <w:r>
        <w:rPr>
          <w:rFonts w:ascii="Calibri" w:hAnsi="Calibri" w:cs="Calibri"/>
          <w:b w:val="0"/>
          <w:sz w:val="22"/>
        </w:rPr>
        <w:t>Admission note for a 75-year-old man with delirium. Poor oral intake and dry mucous membranes are present. Supine blood pressure is 136/78 mmHg, and a standing systolic pressure of 116 mmHg is recorded. Home medicines are lisinopril, atorvastatin, metformin, and ibuprofen as needed. A collateral medication list was obtained after admission.</w:t>
      </w:r>
    </w:p>
    <w:p>
      <w:pPr>
        <w:pStyle w:val="Heading2"/>
      </w:pPr>
      <w:r>
        <w:rPr>
          <w:rFonts w:ascii="Calibri" w:hAnsi="Calibri"/>
          <w:color w:val="1F3A5F"/>
        </w:rPr>
        <w:t>Hospital course</w:t>
      </w:r>
    </w:p>
    <w:p>
      <w:pPr>
        <w:spacing w:after="120"/>
      </w:pPr>
      <w:r>
        <w:rPr>
          <w:rFonts w:ascii="Calibri" w:hAnsi="Calibri" w:cs="Calibri"/>
          <w:b w:val="0"/>
          <w:sz w:val="22"/>
        </w:rPr>
        <w:t>Poor oral intake was treated with fluids, and oral intake improved. Confusion cleared as oral intake improved. Glucose is 163 mg/dL then 103 mg/dL. Creatinine is 1.1 mg/dL then 1.0 mg/dL. Ibuprofen 400 mg every 8 hours as needed is on the home list and on the inpatient list. No melena or hematemesis is recorded.</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Delirium due to known physiological condition</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Type 2 diabetes mellitus without complications</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136/78</w:t>
            </w:r>
          </w:p>
        </w:tc>
        <w:tc>
          <w:tcPr>
            <w:tcW w:type="dxa" w:w="1440"/>
            <w:vAlign w:val="top"/>
          </w:tcPr>
          <w:p>
            <w:pPr>
              <w:spacing w:after="20" w:before="20"/>
            </w:pPr>
            <w:r>
              <w:rPr>
                <w:rFonts w:ascii="Calibri" w:hAnsi="Calibri" w:cs="Calibri"/>
                <w:b w:val="0"/>
                <w:sz w:val="20"/>
              </w:rPr>
              <w:t>85</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121/71</w:t>
            </w:r>
          </w:p>
        </w:tc>
        <w:tc>
          <w:tcPr>
            <w:tcW w:type="dxa" w:w="1440"/>
            <w:vAlign w:val="top"/>
          </w:tcPr>
          <w:p>
            <w:pPr>
              <w:spacing w:after="20" w:before="20"/>
            </w:pPr>
            <w:r>
              <w:rPr>
                <w:rFonts w:ascii="Calibri" w:hAnsi="Calibri" w:cs="Calibri"/>
                <w:b w:val="0"/>
                <w:sz w:val="20"/>
              </w:rPr>
              <w:t>65</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95.00 %</w:t>
            </w:r>
          </w:p>
        </w:tc>
      </w:tr>
      <w:tr>
        <w:trPr>
          <w:cantSplit/>
        </w:trPr>
        <w:tc>
          <w:tcPr>
            <w:tcW w:type="dxa" w:w="2304"/>
            <w:vAlign w:val="top"/>
          </w:tcPr>
          <w:p>
            <w:pPr>
              <w:spacing w:after="20" w:before="20"/>
            </w:pPr>
            <w:r>
              <w:rPr>
                <w:rFonts w:ascii="Calibri" w:hAnsi="Calibri" w:cs="Calibri"/>
                <w:b w:val="0"/>
                <w:sz w:val="20"/>
              </w:rPr>
              <w:t>admission standing</w:t>
            </w:r>
          </w:p>
        </w:tc>
        <w:tc>
          <w:tcPr>
            <w:tcW w:type="dxa" w:w="2016"/>
            <w:vAlign w:val="top"/>
          </w:tcPr>
          <w:p>
            <w:pPr>
              <w:spacing w:after="20" w:before="20"/>
            </w:pPr>
            <w:r>
              <w:rPr>
                <w:rFonts w:ascii="Calibri" w:hAnsi="Calibri" w:cs="Calibri"/>
                <w:b w:val="0"/>
                <w:sz w:val="20"/>
              </w:rPr>
              <w:t>116</w:t>
            </w:r>
          </w:p>
        </w:tc>
        <w:tc>
          <w:tcPr>
            <w:tcW w:type="dxa" w:w="1440"/>
            <w:vAlign w:val="top"/>
          </w:tcPr>
          <w:p>
            <w:pPr>
              <w:spacing w:after="20" w:before="20"/>
            </w:pPr>
            <w:r>
              <w:rPr>
                <w:rFonts w:ascii="Calibri" w:hAnsi="Calibri" w:cs="Calibri"/>
                <w:b w:val="0"/>
                <w:sz w:val="20"/>
              </w:rPr>
            </w:r>
          </w:p>
        </w:tc>
        <w:tc>
          <w:tcPr>
            <w:tcW w:type="dxa" w:w="2016"/>
            <w:vAlign w:val="top"/>
          </w:tcPr>
          <w:p>
            <w:pPr>
              <w:spacing w:after="20" w:before="20"/>
            </w:pPr>
            <w:r>
              <w:rPr>
                <w:rFonts w:ascii="Calibri" w:hAnsi="Calibri" w:cs="Calibri"/>
                <w:b w:val="0"/>
                <w:sz w:val="20"/>
              </w:rPr>
            </w:r>
          </w:p>
        </w:tc>
        <w:tc>
          <w:tcPr>
            <w:tcW w:type="dxa" w:w="2016"/>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Fasting glucose [Mass/volume] in Serum or Plasma</w:t>
            </w:r>
          </w:p>
        </w:tc>
        <w:tc>
          <w:tcPr>
            <w:tcW w:type="dxa" w:w="2448"/>
            <w:vAlign w:val="top"/>
          </w:tcPr>
          <w:p>
            <w:pPr>
              <w:spacing w:after="20" w:before="20"/>
            </w:pPr>
            <w:r>
              <w:rPr>
                <w:rFonts w:ascii="Calibri" w:hAnsi="Calibri" w:cs="Calibri"/>
                <w:b w:val="0"/>
                <w:sz w:val="20"/>
              </w:rPr>
              <w:t>163.0</w:t>
            </w:r>
          </w:p>
        </w:tc>
        <w:tc>
          <w:tcPr>
            <w:tcW w:type="dxa" w:w="2448"/>
            <w:vAlign w:val="top"/>
          </w:tcPr>
          <w:p>
            <w:pPr>
              <w:spacing w:after="20" w:before="20"/>
            </w:pPr>
            <w:r>
              <w:rPr>
                <w:rFonts w:ascii="Calibri" w:hAnsi="Calibri" w:cs="Calibri"/>
                <w:b w:val="0"/>
                <w:sz w:val="20"/>
              </w:rPr>
              <w:t>103.0</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1.1</w:t>
            </w:r>
          </w:p>
        </w:tc>
        <w:tc>
          <w:tcPr>
            <w:tcW w:type="dxa" w:w="2448"/>
            <w:vAlign w:val="top"/>
          </w:tcPr>
          <w:p>
            <w:pPr>
              <w:spacing w:after="20" w:before="20"/>
            </w:pPr>
            <w:r>
              <w:rPr>
                <w:rFonts w:ascii="Calibri" w:hAnsi="Calibri" w:cs="Calibri"/>
                <w:b w:val="0"/>
                <w:sz w:val="20"/>
              </w:rPr>
              <w:t>1.0</w:t>
            </w:r>
          </w:p>
        </w:tc>
        <w:tc>
          <w:tcPr>
            <w:tcW w:type="dxa" w:w="1152"/>
            <w:vAlign w:val="top"/>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81.000</w:t>
            </w:r>
          </w:p>
        </w:tc>
        <w:tc>
          <w:tcPr>
            <w:tcW w:type="dxa" w:w="3312"/>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ibuprofen 400 MG Oral Tablet</w:t>
            </w:r>
          </w:p>
        </w:tc>
        <w:tc>
          <w:tcPr>
            <w:tcW w:type="dxa" w:w="1296"/>
            <w:vAlign w:val="top"/>
          </w:tcPr>
          <w:p>
            <w:pPr>
              <w:spacing w:after="20" w:before="20"/>
            </w:pPr>
            <w:r>
              <w:rPr>
                <w:rFonts w:ascii="Calibri" w:hAnsi="Calibri" w:cs="Calibri"/>
                <w:b w:val="0"/>
                <w:sz w:val="20"/>
              </w:rPr>
              <w:t>400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every 8 hours as needed</w:t>
            </w:r>
          </w:p>
        </w:tc>
        <w:tc>
          <w:tcPr>
            <w:tcW w:type="dxa" w:w="2736"/>
            <w:vAlign w:val="top"/>
          </w:tcPr>
          <w:p>
            <w:pPr>
              <w:spacing w:after="20" w:before="20"/>
            </w:pPr>
            <w:r>
              <w:rPr>
                <w:rFonts w:ascii="Calibri" w:hAnsi="Calibri" w:cs="Calibri"/>
                <w:b w:val="0"/>
                <w:sz w:val="20"/>
              </w:rPr>
              <w:t>Indication: symptomatic analgesia; not a treatment for the admission diagnosis</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metformin hydrochloride 500 MG Oral Tablet</w:t>
            </w:r>
          </w:p>
        </w:tc>
        <w:tc>
          <w:tcPr>
            <w:tcW w:type="dxa" w:w="1296"/>
            <w:vAlign w:val="top"/>
          </w:tcPr>
          <w:p>
            <w:pPr>
              <w:spacing w:after="20" w:before="20"/>
            </w:pPr>
            <w:r>
              <w:rPr>
                <w:rFonts w:ascii="Calibri" w:hAnsi="Calibri" w:cs="Calibri"/>
                <w:b w:val="0"/>
                <w:sz w:val="20"/>
              </w:rPr>
              <w:t>500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ibuprofen 400 MG Oral Tablet</w:t>
            </w:r>
          </w:p>
        </w:tc>
        <w:tc>
          <w:tcPr>
            <w:tcW w:type="dxa" w:w="1296"/>
            <w:vAlign w:val="top"/>
          </w:tcPr>
          <w:p>
            <w:pPr>
              <w:spacing w:after="20" w:before="20"/>
            </w:pPr>
            <w:r>
              <w:rPr>
                <w:rFonts w:ascii="Calibri" w:hAnsi="Calibri" w:cs="Calibri"/>
                <w:b w:val="0"/>
                <w:sz w:val="20"/>
              </w:rPr>
              <w:t>400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every 8 hours as needed</w:t>
            </w:r>
          </w:p>
        </w:tc>
        <w:tc>
          <w:tcPr>
            <w:tcW w:type="dxa" w:w="2736"/>
            <w:vAlign w:val="top"/>
          </w:tcPr>
          <w:p>
            <w:pPr>
              <w:spacing w:after="20" w:before="20"/>
            </w:pPr>
            <w:r>
              <w:rPr>
                <w:rFonts w:ascii="Calibri" w:hAnsi="Calibri" w:cs="Calibri"/>
                <w:b w:val="0"/>
                <w:sz w:val="20"/>
              </w:rPr>
              <w:t>Indication: symptomatic analgesia; not a treatment for the admission diagnosis</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metformin hydrochloride 500 MG Oral Tablet</w:t>
            </w:r>
          </w:p>
        </w:tc>
        <w:tc>
          <w:tcPr>
            <w:tcW w:type="dxa" w:w="1296"/>
            <w:vAlign w:val="top"/>
          </w:tcPr>
          <w:p>
            <w:pPr>
              <w:spacing w:after="20" w:before="20"/>
            </w:pPr>
            <w:r>
              <w:rPr>
                <w:rFonts w:ascii="Calibri" w:hAnsi="Calibri" w:cs="Calibri"/>
                <w:b w:val="0"/>
                <w:sz w:val="20"/>
              </w:rPr>
              <w:t>500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Service</w:t>
            </w:r>
          </w:p>
        </w:tc>
        <w:tc>
          <w:tcPr>
            <w:tcW w:type="dxa" w:w="3264"/>
            <w:shd w:val="clear" w:color="auto" w:fill="D9E2F3"/>
          </w:tcPr>
          <w:p>
            <w:pPr>
              <w:spacing w:after="20" w:before="20"/>
            </w:pPr>
            <w:r>
              <w:rPr>
                <w:rFonts w:ascii="Calibri" w:hAnsi="Calibri" w:cs="Calibri"/>
                <w:b/>
                <w:sz w:val="20"/>
              </w:rPr>
              <w:t>Assessment</w:t>
            </w:r>
          </w:p>
        </w:tc>
        <w:tc>
          <w:tcPr>
            <w:tcW w:type="dxa" w:w="3264"/>
            <w:shd w:val="clear" w:color="auto" w:fill="D9E2F3"/>
          </w:tcPr>
          <w:p>
            <w:pPr>
              <w:spacing w:after="20" w:before="20"/>
            </w:pPr>
            <w:r>
              <w:rPr>
                <w:rFonts w:ascii="Calibri" w:hAnsi="Calibri" w:cs="Calibri"/>
                <w:b/>
                <w:sz w:val="20"/>
              </w:rPr>
              <w:t>Recommendation</w:t>
            </w:r>
          </w:p>
        </w:tc>
      </w:tr>
      <w:tr>
        <w:trPr>
          <w:cantSplit/>
        </w:trPr>
        <w:tc>
          <w:tcPr>
            <w:tcW w:type="dxa" w:w="3264"/>
            <w:vAlign w:val="top"/>
          </w:tcPr>
          <w:p>
            <w:pPr>
              <w:spacing w:after="20" w:before="20"/>
            </w:pPr>
            <w:r>
              <w:rPr>
                <w:rFonts w:ascii="Calibri" w:hAnsi="Calibri" w:cs="Calibri"/>
                <w:b w:val="0"/>
                <w:sz w:val="20"/>
              </w:rPr>
              <w:t>geriatrics</w:t>
            </w:r>
          </w:p>
        </w:tc>
        <w:tc>
          <w:tcPr>
            <w:tcW w:type="dxa" w:w="3264"/>
            <w:vAlign w:val="top"/>
          </w:tcPr>
          <w:p>
            <w:pPr>
              <w:spacing w:after="20" w:before="20"/>
            </w:pPr>
            <w:r>
              <w:rPr>
                <w:rFonts w:ascii="Calibri" w:hAnsi="Calibri" w:cs="Calibri"/>
                <w:b w:val="0"/>
                <w:sz w:val="20"/>
              </w:rPr>
              <w:t>Confusion cleared as oral intake improved.</w:t>
            </w:r>
          </w:p>
        </w:tc>
        <w:tc>
          <w:tcPr>
            <w:tcW w:type="dxa" w:w="3264"/>
            <w:vAlign w:val="top"/>
          </w:tcPr>
          <w:p>
            <w:pPr>
              <w:spacing w:after="20" w:before="20"/>
            </w:pPr>
            <w:r>
              <w:rPr>
                <w:rFonts w:ascii="Calibri" w:hAnsi="Calibri" w:cs="Calibri"/>
                <w:b w:val="0"/>
                <w:sz w:val="20"/>
              </w:rPr>
              <w:t>Collateral history was obtained after admission. No melena or hematemesis is described.</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Primary care follow-up</w:t>
            </w:r>
          </w:p>
        </w:tc>
        <w:tc>
          <w:tcPr>
            <w:tcW w:type="dxa" w:w="3264"/>
            <w:vAlign w:val="top"/>
          </w:tcPr>
          <w:p>
            <w:pPr>
              <w:spacing w:after="20" w:before="20"/>
            </w:pPr>
            <w:r>
              <w:rPr>
                <w:rFonts w:ascii="Calibri" w:hAnsi="Calibri" w:cs="Calibri"/>
                <w:b w:val="0"/>
                <w:sz w:val="20"/>
              </w:rPr>
              <w:t>7 days</w:t>
            </w:r>
          </w:p>
        </w:tc>
        <w:tc>
          <w:tcPr>
            <w:tcW w:type="dxa" w:w="3264"/>
            <w:vAlign w:val="top"/>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1 C1 Presentation and demographics 1"/>
                <w:tag w:val="VAL-801-c1-Presentation and demographics-1"/>
                <w:id w:val="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Presentation and demographics 2"/>
                <w:tag w:val="VAL-801-c1-Presentation and demographics-2"/>
                <w:id w:val="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Presentation and demographics 3"/>
                <w:tag w:val="VAL-801-c1-Presentation and demographics-3"/>
                <w:id w:val="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Presentation and demographics 4"/>
                <w:tag w:val="VAL-801-c1-Presentation and demographics-4"/>
                <w:id w:val="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1 C1 Fit between presentation and diagnosis 1"/>
                <w:tag w:val="VAL-801-c1-Fit between presentation and diagnosis-1"/>
                <w:id w:val="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Fit between presentation and diagnosis 2"/>
                <w:tag w:val="VAL-801-c1-Fit between presentation and diagnosis-2"/>
                <w:id w:val="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Fit between presentation and diagnosis 3"/>
                <w:tag w:val="VAL-801-c1-Fit between presentation and diagnosis-3"/>
                <w:id w:val="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Fit between presentation and diagnosis 4"/>
                <w:tag w:val="VAL-801-c1-Fit between presentation and diagnosis-4"/>
                <w:id w:val="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1 C1 Vital signs 1"/>
                <w:tag w:val="VAL-801-c1-Vital signs-1"/>
                <w:id w:val="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Vital signs 2"/>
                <w:tag w:val="VAL-801-c1-Vital signs-2"/>
                <w:id w:val="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Vital signs 3"/>
                <w:tag w:val="VAL-801-c1-Vital signs-3"/>
                <w:id w:val="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Vital signs 4"/>
                <w:tag w:val="VAL-801-c1-Vital signs-4"/>
                <w:id w:val="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1 C1 Laboratory findings 1"/>
                <w:tag w:val="VAL-801-c1-Laboratory findings-1"/>
                <w:id w:val="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Laboratory findings 2"/>
                <w:tag w:val="VAL-801-c1-Laboratory findings-2"/>
                <w:id w:val="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Laboratory findings 3"/>
                <w:tag w:val="VAL-801-c1-Laboratory findings-3"/>
                <w:id w:val="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Laboratory findings 4"/>
                <w:tag w:val="VAL-801-c1-Laboratory findings-4"/>
                <w:id w:val="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1 C1 Medication regimen 1"/>
                <w:tag w:val="VAL-801-c1-Medication regimen-1"/>
                <w:id w:val="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Medication regimen 2"/>
                <w:tag w:val="VAL-801-c1-Medication regimen-2"/>
                <w:id w:val="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Medication regimen 3"/>
                <w:tag w:val="VAL-801-c1-Medication regimen-3"/>
                <w:id w:val="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Medication regimen 4"/>
                <w:tag w:val="VAL-801-c1-Medication regimen-4"/>
                <w:id w:val="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1 C1 Hospital course 1"/>
                <w:tag w:val="VAL-801-c1-Hospital course-1"/>
                <w:id w:val="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Hospital course 2"/>
                <w:tag w:val="VAL-801-c1-Hospital course-2"/>
                <w:id w:val="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Hospital course 3"/>
                <w:tag w:val="VAL-801-c1-Hospital course-3"/>
                <w:id w:val="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Hospital course 4"/>
                <w:tag w:val="VAL-801-c1-Hospital course-4"/>
                <w:id w:val="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1 C1 Chart consistency 1"/>
                <w:tag w:val="VAL-801-c1-Chart consistency-1"/>
                <w:id w:val="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Chart consistency 2"/>
                <w:tag w:val="VAL-801-c1-Chart consistency-2"/>
                <w:id w:val="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Chart consistency 3"/>
                <w:tag w:val="VAL-801-c1-Chart consistency-3"/>
                <w:id w:val="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Chart consistency 4"/>
                <w:tag w:val="VAL-801-c1-Chart consistency-4"/>
                <w:id w:val="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1 C1 Discharge context and follow-up 1"/>
                <w:tag w:val="VAL-801-c1-Discharge context and follow-up-1"/>
                <w:id w:val="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Discharge context and follow-up 2"/>
                <w:tag w:val="VAL-801-c1-Discharge context and follow-up-2"/>
                <w:id w:val="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Discharge context and follow-up 3"/>
                <w:tag w:val="VAL-801-c1-Discharge context and follow-up-3"/>
                <w:id w:val="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Discharge context and follow-up 4"/>
                <w:tag w:val="VAL-801-c1-Discharge context and follow-up-4"/>
                <w:id w:val="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1 c1-overall Pass"/>
                <w:tag w:val="VAL-801-c1-overall-Pass"/>
                <w:id w:val="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1 c1-overall Fail"/>
                <w:tag w:val="VAL-801-c1-overall-Fail"/>
                <w:id w:val="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1-c1-comment"/>
              <w:id w:val="3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1 c2 Pass"/>
                <w:tag w:val="VAL-801-c2-Pass"/>
                <w:id w:val="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1 c2 Fail"/>
                <w:tag w:val="VAL-801-c2-Fail"/>
                <w:id w:val="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1-c2-comment"/>
              <w:id w:val="3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lisinopril 10 MG Oral Tablet</w:t>
            </w:r>
          </w:p>
        </w:tc>
        <w:tc>
          <w:tcPr>
            <w:tcW w:type="dxa" w:w="1152"/>
            <w:vAlign w:val="top"/>
          </w:tcPr>
          <w:p>
            <w:pPr>
              <w:spacing w:after="20" w:before="20"/>
            </w:pPr>
            <w:r>
              <w:rPr>
                <w:rFonts w:ascii="Calibri" w:hAnsi="Calibri" w:cs="Calibri"/>
                <w:b w:val="0"/>
                <w:sz w:val="20"/>
              </w:rPr>
              <w:t>10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metformin hydrochloride 500 MG Oral Tablet</w:t>
            </w:r>
          </w:p>
        </w:tc>
        <w:tc>
          <w:tcPr>
            <w:tcW w:type="dxa" w:w="1152"/>
            <w:vAlign w:val="top"/>
          </w:tcPr>
          <w:p>
            <w:pPr>
              <w:spacing w:after="20" w:before="20"/>
            </w:pPr>
            <w:r>
              <w:rPr>
                <w:rFonts w:ascii="Calibri" w:hAnsi="Calibri" w:cs="Calibri"/>
                <w:b w:val="0"/>
                <w:sz w:val="20"/>
              </w:rPr>
              <w:t>500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twice daily</w:t>
            </w:r>
          </w:p>
        </w:tc>
        <w:tc>
          <w:tcPr>
            <w:tcW w:type="dxa" w:w="2304"/>
            <w:vAlign w:val="top"/>
          </w:tcPr>
          <w:p>
            <w:pPr>
              <w:spacing w:after="20" w:before="20"/>
            </w:pPr>
            <w:r>
              <w:rPr>
                <w:rFonts w:ascii="Calibri" w:hAnsi="Calibri" w:cs="Calibri"/>
                <w:b w:val="0"/>
                <w:sz w:val="20"/>
              </w:rPr>
              <w:t>Type 2 diabetes mellitus without complications</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ibuprofen 400 MG Oral Tablet</w:t>
            </w:r>
          </w:p>
        </w:tc>
        <w:tc>
          <w:tcPr>
            <w:tcW w:type="dxa" w:w="1152"/>
            <w:vAlign w:val="top"/>
          </w:tcPr>
          <w:p>
            <w:pPr>
              <w:spacing w:after="20" w:before="20"/>
            </w:pPr>
            <w:r>
              <w:rPr>
                <w:rFonts w:ascii="Calibri" w:hAnsi="Calibri" w:cs="Calibri"/>
                <w:b w:val="0"/>
                <w:sz w:val="20"/>
              </w:rPr>
              <w:t>400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every 8 hours as needed</w:t>
            </w:r>
          </w:p>
        </w:tc>
        <w:tc>
          <w:tcPr>
            <w:tcW w:type="dxa" w:w="2304"/>
            <w:vAlign w:val="top"/>
          </w:tcPr>
          <w:p>
            <w:pPr>
              <w:spacing w:after="20" w:before="20"/>
            </w:pPr>
            <w:r>
              <w:rPr>
                <w:rFonts w:ascii="Calibri" w:hAnsi="Calibri" w:cs="Calibri"/>
                <w:b w:val="0"/>
                <w:sz w:val="20"/>
              </w:rPr>
              <w:t>symptomatic analgesia; not a treatment for the admission diagnosis</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ibuprofen 400 MG Oral Tablet</w:t>
            </w:r>
          </w:p>
        </w:tc>
        <w:tc>
          <w:tcPr>
            <w:tcW w:type="dxa" w:w="2016"/>
            <w:vAlign w:val="top"/>
          </w:tcPr>
          <w:p>
            <w:pPr>
              <w:spacing w:after="20" w:before="20"/>
            </w:pPr>
            <w:r>
              <w:rPr>
                <w:rFonts w:ascii="Calibri" w:hAnsi="Calibri" w:cs="Calibri"/>
                <w:b w:val="0"/>
                <w:sz w:val="20"/>
              </w:rPr>
              <w:t>stop</w:t>
            </w:r>
          </w:p>
        </w:tc>
        <w:tc>
          <w:tcPr>
            <w:tcW w:type="dxa" w:w="4608"/>
            <w:vAlign w:val="top"/>
          </w:tcPr>
          <w:p>
            <w:pPr>
              <w:spacing w:after="20" w:before="20"/>
            </w:pPr>
            <w:r>
              <w:rPr>
                <w:rFonts w:ascii="Calibri" w:hAnsi="Calibri" w:cs="Calibri"/>
                <w:b w:val="0"/>
                <w:sz w:val="20"/>
              </w:rPr>
              <w:t>A stop is acceptable in a 75-year-old with delirium even though no bleeding and no creatinine rise are recorded.</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Ibuprofen 400 mg every 8 hours as needed is on the home list and the inpatient list. No melena or hematemesis is recorded. Creatinine is 1.1 mg/dL then 1.0 mg/dL. Is continuation required, or is a stop also acceptable?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01-adjudication"/>
              <w:id w:val="3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1 c3 Pass"/>
                <w:tag w:val="VAL-801-c3-Pass"/>
                <w:id w:val="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1 c3 Fail"/>
                <w:tag w:val="VAL-801-c3-Fail"/>
                <w:id w:val="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1 c4 No"/>
                <w:tag w:val="VAL-801-c4-No"/>
                <w:id w:val="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1 c4 Yes"/>
                <w:tag w:val="VAL-801-c4-Yes"/>
                <w:id w:val="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1 c5-issue No"/>
                <w:tag w:val="VAL-801-c5-issue-No"/>
                <w:id w:val="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1 c5-issue Yes"/>
                <w:tag w:val="VAL-801-c5-issue-Yes"/>
                <w:id w:val="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1 c5-leak No"/>
                <w:tag w:val="VAL-801-c5-leak-No"/>
                <w:id w:val="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1 c5-leak Yes"/>
                <w:tag w:val="VAL-801-c5-leak-Yes"/>
                <w:id w:val="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1-c5-comment"/>
              <w:id w:val="4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1 c6 Easy"/>
                <w:tag w:val="VAL-801-c6-Easy"/>
                <w:id w:val="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1 c6 Moderate"/>
                <w:tag w:val="VAL-801-c6-Moderate"/>
                <w:id w:val="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1 c6 Hard"/>
                <w:tag w:val="VAL-801-c6-Hard"/>
                <w:id w:val="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1 c6 Inappropriate or outlier"/>
                <w:tag w:val="VAL-801-c6-Inappropriate or outlier"/>
                <w:id w:val="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1 overall Accept"/>
                <w:tag w:val="VAL-801-overall-Accept"/>
                <w:id w:val="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1 overall Revise"/>
                <w:tag w:val="VAL-801-overall-Revise"/>
                <w:id w:val="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1 overall Exclude"/>
                <w:tag w:val="VAL-801-overall-Exclude"/>
                <w:id w:val="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1-overall-comment"/>
              <w:id w:val="5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1-reviewer"/>
          <w:id w:val="5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1-date"/>
          <w:id w:val="58"/>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This case is lacking clinical complexity. The patient presents with delirium, but the cause is not revealed during the hospital course, we just learn that the delirium improves with treatment. There are no further details on why the patient was delirious or why he improved. It is also not clear why the ibuprofen was stopped. I would add that he is discovered to have an infection or GI bleed or something that would explain this better.</w:t>
            </w:r>
          </w:p>
        </w:tc>
      </w:tr>
    </w:tbl>
    <w:p>
      <w:pPr>
        <w:spacing w:after="40"/>
      </w:pPr>
    </w:p>
    <w:p>
      <w:pPr>
        <w:spacing w:after="120"/>
      </w:pPr>
      <w:r>
        <w:rPr>
          <w:rFonts w:ascii="Calibri" w:hAnsi="Calibri" w:cs="Calibri"/>
          <w:b w:val="0"/>
          <w:sz w:val="22"/>
        </w:rPr>
        <w:t>C2 question: Does this case appropriately contain no deliberately introduced medication-reconciliation or transition-of-care problem?</w:t>
      </w:r>
    </w:p>
    <w:p>
      <w:pPr>
        <w:spacing w:after="120"/>
      </w:pPr>
      <w:r>
        <w:rPr>
          <w:rFonts w:ascii="Calibri" w:hAnsi="Calibri" w:cs="Calibri"/>
          <w:b w:val="0"/>
          <w:sz w:val="22"/>
        </w:rPr>
        <w:t>C2: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It wasn’t clear why ibuprofen should be stopped.</w:t>
            </w:r>
          </w:p>
        </w:tc>
      </w:tr>
    </w:tbl>
    <w:p>
      <w:pPr>
        <w:spacing w:after="40"/>
      </w:pPr>
    </w:p>
    <w:p>
      <w:pPr>
        <w:spacing w:after="120"/>
      </w:pPr>
      <w:r>
        <w:rPr>
          <w:rFonts w:ascii="Calibri" w:hAnsi="Calibri" w:cs="Calibri"/>
          <w:b w:val="0"/>
          <w:sz w:val="22"/>
        </w:rPr>
        <w:t>C3 question: Does the case avoid misleading cues suggesting that an error must exist?</w:t>
      </w:r>
    </w:p>
    <w:p>
      <w:pPr>
        <w:spacing w:after="120"/>
      </w:pPr>
      <w:r>
        <w:rPr>
          <w:rFonts w:ascii="Calibri" w:hAnsi="Calibri" w:cs="Calibri"/>
          <w:b w:val="0"/>
          <w:sz w:val="22"/>
        </w:rPr>
        <w:t>C3: Pass, Fail. Source document contains multiple selected responses; reproduced exactly.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C4 question: Does the case contain any clinically meaningful medication-reconciliation or transition-of-care problem that should not be present?</w:t>
      </w:r>
    </w:p>
    <w:p>
      <w:pPr>
        <w:spacing w:after="120"/>
      </w:pPr>
      <w:r>
        <w:rPr>
          <w:rFonts w:ascii="Calibri" w:hAnsi="Calibri" w:cs="Calibri"/>
          <w:b w:val="0"/>
          <w:sz w:val="22"/>
        </w:rPr>
        <w:t>C4: Fail</w:t>
      </w:r>
    </w:p>
    <w:p>
      <w:pPr>
        <w:spacing w:after="120"/>
      </w:pPr>
      <w:r>
        <w:rPr>
          <w:rFonts w:ascii="Calibri" w:hAnsi="Calibri" w:cs="Calibri"/>
          <w:b w:val="0"/>
          <w:sz w:val="22"/>
        </w:rPr>
        <w:t>C4 issue: Ibuprofen stopped on admission</w:t>
      </w:r>
    </w:p>
    <w:p>
      <w:pPr>
        <w:spacing w:after="120"/>
      </w:pPr>
      <w:r>
        <w:rPr>
          <w:rFonts w:ascii="Calibri" w:hAnsi="Calibri" w:cs="Calibri"/>
          <w:b w:val="0"/>
          <w:sz w:val="22"/>
        </w:rPr>
        <w:t>C4 location: In home medication list</w:t>
      </w:r>
    </w:p>
    <w:p>
      <w:pPr>
        <w:spacing w:after="120"/>
      </w:pPr>
      <w:r>
        <w:rPr>
          <w:rFonts w:ascii="Calibri" w:hAnsi="Calibri" w:cs="Calibri"/>
          <w:b w:val="0"/>
          <w:sz w:val="22"/>
        </w:rPr>
        <w:t>C4 clinical meaning: No obvious indication for why this should be stopped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Not clear why ibuprofen was stopped</w:t>
            </w:r>
          </w:p>
        </w:tc>
      </w:tr>
    </w:tbl>
    <w:p>
      <w:pPr>
        <w:spacing w:after="40"/>
      </w:pPr>
    </w:p>
    <w:p>
      <w:pPr>
        <w:spacing w:after="120"/>
      </w:pPr>
      <w:r>
        <w:rPr>
          <w:rFonts w:ascii="Calibri" w:hAnsi="Calibri" w:cs="Calibri"/>
          <w:b w:val="0"/>
          <w:sz w:val="22"/>
        </w:rPr>
        <w:t>C5: Inappropriate / outlier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Case is unclear</w:t>
            </w:r>
          </w:p>
        </w:tc>
      </w:tr>
    </w:tbl>
    <w:p>
      <w:pPr>
        <w:spacing w:after="40"/>
      </w:pPr>
    </w:p>
    <w:p>
      <w:pPr>
        <w:spacing w:after="120"/>
      </w:pPr>
      <w:r>
        <w:rPr>
          <w:rFonts w:ascii="Calibri" w:hAnsi="Calibri" w:cs="Calibri"/>
          <w:b w:val="0"/>
          <w:sz w:val="22"/>
        </w:rPr>
        <w:t>Overall recommendation: Revise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This case could be usable if there was more complexity to the clinical case, i.e infection discovered and treated. Delirium due to known physiologic condition and then not elaborating on the physiologic condition doesn’t make sense. Medication list should be clearer.</w:t>
            </w:r>
          </w:p>
        </w:tc>
      </w:tr>
    </w:tbl>
    <w:p>
      <w:pPr>
        <w:spacing w:after="40"/>
      </w:pPr>
    </w:p>
    <w:p>
      <w:pPr>
        <w:spacing w:after="120"/>
      </w:pPr>
      <w:r>
        <w:rPr>
          <w:rFonts w:ascii="Calibri" w:hAnsi="Calibri" w:cs="Calibri"/>
          <w:b w:val="0"/>
          <w:sz w:val="22"/>
        </w:rPr>
        <w:t>Reviewer: KO. Date: 10/5/26.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Fail. “The patient presents with delirium, but the cause is not revealed during the hospital course, we just learn that the delirium improves with treatment. There are no further details on why the patient was delirious or why he improved.” Overall: “Delirium due to known physiologic condition and then not elaborating on the physiologic condition doesn’t make sense.” The comment offered infection or gastrointestinal bleeding as examples.</w:t>
            </w:r>
          </w:p>
        </w:tc>
        <w:tc>
          <w:tcPr>
            <w:tcW w:type="dxa" w:w="1512"/>
            <w:vAlign w:val="top"/>
          </w:tcPr>
          <w:p>
            <w:pPr>
              <w:spacing w:after="20" w:before="20"/>
            </w:pPr>
            <w:r>
              <w:rPr>
                <w:rFonts w:ascii="Calibri" w:hAnsi="Calibri" w:cs="Calibri"/>
                <w:b w:val="0"/>
                <w:sz w:val="16"/>
              </w:rPr>
              <w:t>Poor oral intake, dry mucous membranes, and a standing systolic pressure are now on the chart. Infection and gastrointestinal bleeding were not added.</w:t>
            </w:r>
          </w:p>
        </w:tc>
        <w:tc>
          <w:tcPr>
            <w:tcW w:type="dxa" w:w="1368"/>
            <w:vAlign w:val="top"/>
          </w:tcPr>
          <w:p>
            <w:pPr>
              <w:spacing w:after="20" w:before="20"/>
            </w:pPr>
            <w:r>
              <w:rPr>
                <w:rFonts w:ascii="Calibri" w:hAnsi="Calibri" w:cs="Calibri"/>
                <w:b w:val="0"/>
                <w:sz w:val="16"/>
              </w:rPr>
              <w:t>presentation; admission note; hospital course; vital signs</w:t>
            </w:r>
          </w:p>
        </w:tc>
        <w:tc>
          <w:tcPr>
            <w:tcW w:type="dxa" w:w="1656"/>
            <w:vAlign w:val="top"/>
          </w:tcPr>
          <w:p>
            <w:pPr>
              <w:spacing w:after="20" w:before="20"/>
            </w:pPr>
            <w:r>
              <w:rPr>
                <w:rFonts w:ascii="Calibri" w:hAnsi="Calibri" w:cs="Calibri"/>
                <w:b w:val="0"/>
                <w:sz w:val="16"/>
              </w:rPr>
              <w:t>The clean course does not name a precipitant. The recorded supine pressure is 136/78 mmHg. No standing pressure is stored.</w:t>
            </w:r>
          </w:p>
        </w:tc>
        <w:tc>
          <w:tcPr>
            <w:tcW w:type="dxa" w:w="1656"/>
            <w:vAlign w:val="top"/>
          </w:tcPr>
          <w:p>
            <w:pPr>
              <w:spacing w:after="20" w:before="20"/>
            </w:pPr>
            <w:r>
              <w:rPr>
                <w:rFonts w:ascii="Calibri" w:hAnsi="Calibri" w:cs="Calibri"/>
                <w:b w:val="0"/>
                <w:sz w:val="16"/>
              </w:rPr>
              <w:t>Poor oral intake and dry mucous membranes are described. The supine pressure remains 136/78 mmHg. A standing systolic pressure of 116 mmHg is a separate vital row. Confusion cleared as oral intake improved. Glucose is 163 mg/dL then 103 mg/dL.</w:t>
            </w:r>
          </w:p>
        </w:tc>
        <w:tc>
          <w:tcPr>
            <w:tcW w:type="dxa" w:w="1944"/>
            <w:vAlign w:val="top"/>
          </w:tcPr>
          <w:p>
            <w:pPr>
              <w:spacing w:after="20" w:before="20"/>
            </w:pPr>
            <w:r>
              <w:rPr>
                <w:rFonts w:ascii="Calibri" w:hAnsi="Calibri" w:cs="Calibri"/>
                <w:b w:val="0"/>
                <w:sz w:val="16"/>
              </w:rPr>
              <w:t>The review asked for a physiologic condition that explains the delirium and the improvement. Poor intake is a recognized precipitant, and the glucose fall fits restored intake. Infection and bleeding were examples, not findings in this chart, so they were not invented. The standing pressure uses the consensus 20 mmHg systolic threshold applied to the recorded supine pressure. It is labeled synthetic. The source supine vital is unchanged. [E1] [E2] [E3] [E4]</w:t>
            </w:r>
          </w:p>
        </w:tc>
      </w:tr>
      <w:tr>
        <w:trPr>
          <w:cantSplit/>
        </w:trPr>
        <w:tc>
          <w:tcPr>
            <w:tcW w:type="dxa" w:w="1656"/>
            <w:vAlign w:val="top"/>
          </w:tcPr>
          <w:p>
            <w:pPr>
              <w:spacing w:after="20" w:before="20"/>
            </w:pPr>
            <w:r>
              <w:rPr>
                <w:rFonts w:ascii="Calibri" w:hAnsi="Calibri" w:cs="Calibri"/>
                <w:b w:val="0"/>
                <w:sz w:val="16"/>
              </w:rPr>
              <w:t>C2 Fail: “It wasn’t clear why ibuprofen should be stopped.” C4 Fail. Issue: “Ibuprofen stopped on admission.” Comment: “Not clear why ibuprofen was stopped.” C1 also says it is not clear why ibuprofen was stopped.</w:t>
            </w:r>
          </w:p>
        </w:tc>
        <w:tc>
          <w:tcPr>
            <w:tcW w:type="dxa" w:w="1512"/>
            <w:vAlign w:val="top"/>
          </w:tcPr>
          <w:p>
            <w:pPr>
              <w:spacing w:after="20" w:before="20"/>
            </w:pPr>
            <w:r>
              <w:rPr>
                <w:rFonts w:ascii="Calibri" w:hAnsi="Calibri" w:cs="Calibri"/>
                <w:b w:val="0"/>
                <w:sz w:val="16"/>
              </w:rPr>
              <w:t>The unexplained stop was removed from the resident chart. The reference continues ibuprofen. A stop is an acceptable alternative. The chart does not say which action to take.</w:t>
            </w:r>
          </w:p>
        </w:tc>
        <w:tc>
          <w:tcPr>
            <w:tcW w:type="dxa" w:w="1368"/>
            <w:vAlign w:val="top"/>
          </w:tcPr>
          <w:p>
            <w:pPr>
              <w:spacing w:after="20" w:before="20"/>
            </w:pPr>
            <w:r>
              <w:rPr>
                <w:rFonts w:ascii="Calibri" w:hAnsi="Calibri" w:cs="Calibri"/>
                <w:b w:val="0"/>
                <w:sz w:val="16"/>
              </w:rPr>
              <w:t>home medications; inpatient medications; hospital course; reference_discharge_plan</w:t>
            </w:r>
          </w:p>
        </w:tc>
        <w:tc>
          <w:tcPr>
            <w:tcW w:type="dxa" w:w="1656"/>
            <w:vAlign w:val="top"/>
          </w:tcPr>
          <w:p>
            <w:pPr>
              <w:spacing w:after="20" w:before="20"/>
            </w:pPr>
            <w:r>
              <w:rPr>
                <w:rFonts w:ascii="Calibri" w:hAnsi="Calibri" w:cs="Calibri"/>
                <w:b w:val="0"/>
                <w:sz w:val="16"/>
              </w:rPr>
              <w:t>Home and inpatient ibuprofen are marked stopped during the admission. The clean reference action is stop. No bleeding or kidney-injury event is stored.</w:t>
            </w:r>
          </w:p>
        </w:tc>
        <w:tc>
          <w:tcPr>
            <w:tcW w:type="dxa" w:w="1656"/>
            <w:vAlign w:val="top"/>
          </w:tcPr>
          <w:p>
            <w:pPr>
              <w:spacing w:after="20" w:before="20"/>
            </w:pPr>
            <w:r>
              <w:rPr>
                <w:rFonts w:ascii="Calibri" w:hAnsi="Calibri" w:cs="Calibri"/>
                <w:b w:val="0"/>
                <w:sz w:val="16"/>
              </w:rPr>
              <w:t>Ibuprofen 400 mg every 8 hours as needed is on the home list and the inpatient list. Creatinine is 1.1 mg/dL then 1.0 mg/dL. No melena or hematemesis is recorded. The reference action is continue. Stop is an acceptable alternative.</w:t>
            </w:r>
          </w:p>
        </w:tc>
        <w:tc>
          <w:tcPr>
            <w:tcW w:type="dxa" w:w="1944"/>
            <w:vAlign w:val="top"/>
          </w:tcPr>
          <w:p>
            <w:pPr>
              <w:spacing w:after="20" w:before="20"/>
            </w:pPr>
            <w:r>
              <w:rPr>
                <w:rFonts w:ascii="Calibri" w:hAnsi="Calibri" w:cs="Calibri"/>
                <w:b w:val="0"/>
                <w:sz w:val="16"/>
              </w:rPr>
              <w:t>The stop the reviewer saw had no indication on the chart. Removing it follows the recorded list and the stable creatinine. Continuing an as-needed NSAID is not the only defensible plan in a 75-year-old with delirium, so a stop remains acceptable. The resident chart states the list and the negative bleeding history. It does not say that there is no reason to stop the drug. [E1] [E4] [E22]</w:t>
            </w:r>
          </w:p>
        </w:tc>
      </w:tr>
      <w:tr>
        <w:trPr>
          <w:cantSplit/>
        </w:trPr>
        <w:tc>
          <w:tcPr>
            <w:tcW w:type="dxa" w:w="1656"/>
            <w:vAlign w:val="top"/>
          </w:tcPr>
          <w:p>
            <w:pPr>
              <w:spacing w:after="20" w:before="20"/>
            </w:pPr>
            <w:r>
              <w:rPr>
                <w:rFonts w:ascii="Calibri" w:hAnsi="Calibri" w:cs="Calibri"/>
                <w:b w:val="0"/>
                <w:sz w:val="16"/>
              </w:rPr>
              <w:t>C3 Pass and Fail are both selected. C3 comment is blank. C5 is Inappropriate / outlier: “Case is unclear.” Overall recommendation Revise: “This case could be usable if there was more complexity to the clinical case, i.e infection discovered and treated. Medication list should be clearer.”</w:t>
            </w:r>
          </w:p>
        </w:tc>
        <w:tc>
          <w:tcPr>
            <w:tcW w:type="dxa" w:w="1512"/>
            <w:vAlign w:val="top"/>
          </w:tcPr>
          <w:p>
            <w:pPr>
              <w:spacing w:after="20" w:before="20"/>
            </w:pPr>
            <w:r>
              <w:rPr>
                <w:rFonts w:ascii="Calibri" w:hAnsi="Calibri" w:cs="Calibri"/>
                <w:b w:val="0"/>
                <w:sz w:val="16"/>
              </w:rPr>
              <w:t>The double selection and the blank C3 comment are reproduced and were not resolved by guessing. No infection was added. The medication rows now agree with the notes.</w:t>
            </w:r>
          </w:p>
        </w:tc>
        <w:tc>
          <w:tcPr>
            <w:tcW w:type="dxa" w:w="1368"/>
            <w:vAlign w:val="top"/>
          </w:tcPr>
          <w:p>
            <w:pPr>
              <w:spacing w:after="20" w:before="20"/>
            </w:pPr>
            <w:r>
              <w:rPr>
                <w:rFonts w:ascii="Calibri" w:hAnsi="Calibri" w:cs="Calibri"/>
                <w:b w:val="0"/>
                <w:sz w:val="16"/>
              </w:rPr>
              <w:t>Round 1 record; medication tables; notes</w:t>
            </w:r>
          </w:p>
        </w:tc>
        <w:tc>
          <w:tcPr>
            <w:tcW w:type="dxa" w:w="1656"/>
            <w:vAlign w:val="top"/>
          </w:tcPr>
          <w:p>
            <w:pPr>
              <w:spacing w:after="20" w:before="20"/>
            </w:pPr>
            <w:r>
              <w:rPr>
                <w:rFonts w:ascii="Calibri" w:hAnsi="Calibri" w:cs="Calibri"/>
                <w:b w:val="0"/>
                <w:sz w:val="16"/>
              </w:rPr>
              <w:t>C3 has two selected results and no comment. The note says ibuprofen was stopped while giving no indication.</w:t>
            </w:r>
          </w:p>
        </w:tc>
        <w:tc>
          <w:tcPr>
            <w:tcW w:type="dxa" w:w="1656"/>
            <w:vAlign w:val="top"/>
          </w:tcPr>
          <w:p>
            <w:pPr>
              <w:spacing w:after="20" w:before="20"/>
            </w:pPr>
            <w:r>
              <w:rPr>
                <w:rFonts w:ascii="Calibri" w:hAnsi="Calibri" w:cs="Calibri"/>
                <w:b w:val="0"/>
                <w:sz w:val="16"/>
              </w:rPr>
              <w:t>C3 remains Pass and Fail with no comment. The notes and the medication tables both show ibuprofen on the list. No infection was added.</w:t>
            </w:r>
          </w:p>
        </w:tc>
        <w:tc>
          <w:tcPr>
            <w:tcW w:type="dxa" w:w="1944"/>
            <w:vAlign w:val="top"/>
          </w:tcPr>
          <w:p>
            <w:pPr>
              <w:spacing w:after="20" w:before="20"/>
            </w:pPr>
            <w:r>
              <w:rPr>
                <w:rFonts w:ascii="Calibri" w:hAnsi="Calibri" w:cs="Calibri"/>
                <w:b w:val="0"/>
                <w:sz w:val="16"/>
              </w:rPr>
              <w:t>A blank comment and two selected boxes cannot be turned into one reviewer decision. Infection was an example of complexity, not a documented illness. The medication-list complaint is addressed by making the rows and the notes describe the same list. [E1] [E4]</w:t>
            </w:r>
          </w:p>
        </w:tc>
      </w:tr>
    </w:tbl>
    <w:p>
      <w:pPr>
        <w:spacing w:after="40"/>
      </w:pPr>
    </w:p>
    <w:p>
      <w:pPr>
        <w:pStyle w:val="Heading3"/>
      </w:pPr>
      <w:r>
        <w:rPr>
          <w:rFonts w:ascii="Calibri" w:hAnsi="Calibri"/>
          <w:color w:val="1F3A5F"/>
        </w:rPr>
        <w:t>Evidence references</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[E2] Inouye SK, Westendorp RGJ, Saczynski JS. Delirium in elderly people. Lancet. 2014;383:911-922. doi:10.1016/S0140-6736(13)60688-1. Supports poor intake as a plausible delirium precipitant. It does not establish that this synthetic patient had that precipitant.</w:t>
      </w:r>
    </w:p>
    <w:p>
      <w:pPr>
        <w:spacing w:after="120"/>
      </w:pPr>
      <w:r>
        <w:rPr>
          <w:rFonts w:ascii="Calibri" w:hAnsi="Calibri" w:cs="Calibri"/>
          <w:b w:val="0"/>
          <w:sz w:val="22"/>
        </w:rPr>
        <w:t>[E3] Freeman R, Wieling W, Axelrod FB, et al. Consensus statement on the definition of orthostatic hypotension, neurally mediated syncope and the postural tachycardia syndrome. Clin Auton Res. 2011;21:69-72. doi:10.1007/s10286-011-0119-5. A fall of 20 mmHg in systolic pressure is the consensus threshold. The standing pressure of 116 mmHg is that threshold applied to the recorded supine pressure of 136 mmHg. It was not measured in the source chart.</w:t>
      </w:r>
    </w:p>
    <w:p>
      <w:pPr>
        <w:spacing w:after="120"/>
      </w:pPr>
      <w:r>
        <w:rPr>
          <w:rFonts w:ascii="Calibri" w:hAnsi="Calibri" w:cs="Calibri"/>
          <w:b w:val="0"/>
          <w:sz w:val="22"/>
        </w:rPr>
        <w:t>[E4] Clean pre-injection VAL-801 in exports/clean_balanced_seed_set. Glucose 163 mg/dL then 103 mg/dL. Creatinine 1.1 mg/dL then 1.0 mg/dL. Supine blood pressure 136/78 mmHg then 121/71 mmHg. Ibuprofen is on the medication list. No bleeding event is stored.</w:t>
      </w:r>
    </w:p>
    <w:p>
      <w:pPr>
        <w:spacing w:after="120"/>
      </w:pPr>
      <w:r>
        <w:rPr>
          <w:rFonts w:ascii="Calibri" w:hAnsi="Calibri" w:cs="Calibri"/>
          <w:b w:val="0"/>
          <w:sz w:val="22"/>
        </w:rPr>
        <w:t>[E22] American Geriatrics Society Beers Criteria Update Expert Panel. American Geriatrics Society 2023 updated AGS Beers Criteria for potentially inappropriate medication use in older adults. J Am Geriatr Soc. 2023;71:2052-2081. doi:10.1111/jgs.18372. Supports treating a stop of an as-needed NSAID in an older adult as reasonable because of bleeding and kidney risk. It does not show that this patient bled or developed kidney injury.</w:t>
      </w:r>
    </w:p>
    <w:p>
      <w:pPr>
        <w:keepNext/>
        <w:pageBreakBefore/>
      </w:pPr>
      <w:r>
        <w:rPr>
          <w:rFonts w:ascii="Calibri" w:hAnsi="Calibri" w:cs="Calibri"/>
          <w:b/>
          <w:color w:val="1F3A5F"/>
          <w:sz w:val="32"/>
        </w:rPr>
        <w:t>CASE VAL-802</w:t>
      </w:r>
    </w:p>
    <w:p>
      <w:pPr>
        <w:spacing w:after="120"/>
      </w:pPr>
      <w:r>
        <w:rPr>
          <w:rFonts w:ascii="Calibri" w:hAnsi="Calibri" w:cs="Calibri"/>
          <w:b w:val="0"/>
          <w:sz w:val="22"/>
        </w:rPr>
        <w:t>Round 2 revised case, version 3. Prepared for re-review.</w:t>
      </w:r>
    </w:p>
    <w:p>
      <w:pPr>
        <w:pStyle w:val="Heading2"/>
      </w:pPr>
      <w:r>
        <w:rPr>
          <w:rFonts w:ascii="Calibri" w:hAnsi="Calibri"/>
          <w:color w:val="1F3A5F"/>
        </w:rPr>
        <w:t>RESIDENT-FACING CHART</w:t>
      </w:r>
    </w:p>
    <w:p>
      <w:pPr>
        <w:spacing w:after="120"/>
      </w:pPr>
      <w:r>
        <w:rPr>
          <w:rFonts w:ascii="Calibri" w:hAnsi="Calibri" w:cs="Calibri"/>
          <w:b w:val="0"/>
          <w:sz w:val="22"/>
        </w:rPr>
        <w:t>This opening chart is the same information the resident would see. It does not include the hidden reference.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81</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Female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Delirium due to known physiological condition</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81-year-old woman admitted with confusion and poor oral intake.</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An 81-year-old woman is admitted with delirium after two days of confusion and poor oral intake. No other precipitant is recorded. Home medicines are lisinopril 10 mg daily and atorvastatin 40 mg daily. Creatinine is 1.3 mg/dL on admission and 1.2 mg/dL at discharge. No creatinine from before this admission is recorded. Blood pressure is 138/69 mmHg then 124/68 mmHg.</w:t>
      </w:r>
    </w:p>
    <w:p>
      <w:pPr>
        <w:pStyle w:val="Heading3"/>
      </w:pPr>
      <w:r>
        <w:rPr>
          <w:rFonts w:ascii="Calibri" w:hAnsi="Calibri"/>
          <w:color w:val="1F3A5F"/>
        </w:rPr>
        <w:t>Admission note</w:t>
      </w:r>
    </w:p>
    <w:p>
      <w:pPr>
        <w:spacing w:after="120"/>
      </w:pPr>
      <w:r>
        <w:rPr>
          <w:rFonts w:ascii="Calibri" w:hAnsi="Calibri" w:cs="Calibri"/>
          <w:b w:val="0"/>
          <w:sz w:val="22"/>
        </w:rPr>
        <w:t>Admission note for an 81-year-old woman with delirium. Confusion and poor oral intake for two days. Home medicines are lisinopril and atorvastatin. No earlier creatinine is recorded.</w:t>
      </w:r>
    </w:p>
    <w:p>
      <w:pPr>
        <w:pStyle w:val="Heading2"/>
      </w:pPr>
      <w:r>
        <w:rPr>
          <w:rFonts w:ascii="Calibri" w:hAnsi="Calibri"/>
          <w:color w:val="1F3A5F"/>
        </w:rPr>
        <w:t>Hospital course</w:t>
      </w:r>
    </w:p>
    <w:p>
      <w:pPr>
        <w:spacing w:after="120"/>
      </w:pPr>
      <w:r>
        <w:rPr>
          <w:rFonts w:ascii="Calibri" w:hAnsi="Calibri" w:cs="Calibri"/>
          <w:b w:val="0"/>
          <w:sz w:val="22"/>
        </w:rPr>
        <w:t>Poor oral intake was the only precipitant recorded. Confusion improved as oral intake improved. Creatinine is 1.3 mg/dL then 1.2 mg/dL. Blood pressure is 138/69 mmHg then 124/68 mmHg. Atorvastatin 40 mg daily is on the home list. No creatinine from before this admission is recorded.</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Delirium due to known physiological condition</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138/69</w:t>
            </w:r>
          </w:p>
        </w:tc>
        <w:tc>
          <w:tcPr>
            <w:tcW w:type="dxa" w:w="1440"/>
            <w:vAlign w:val="top"/>
          </w:tcPr>
          <w:p>
            <w:pPr>
              <w:spacing w:after="20" w:before="20"/>
            </w:pPr>
            <w:r>
              <w:rPr>
                <w:rFonts w:ascii="Calibri" w:hAnsi="Calibri" w:cs="Calibri"/>
                <w:b w:val="0"/>
                <w:sz w:val="20"/>
              </w:rPr>
              <w:t>75</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124/68</w:t>
            </w:r>
          </w:p>
        </w:tc>
        <w:tc>
          <w:tcPr>
            <w:tcW w:type="dxa" w:w="1440"/>
            <w:vAlign w:val="top"/>
          </w:tcPr>
          <w:p>
            <w:pPr>
              <w:spacing w:after="20" w:before="20"/>
            </w:pPr>
            <w:r>
              <w:rPr>
                <w:rFonts w:ascii="Calibri" w:hAnsi="Calibri" w:cs="Calibri"/>
                <w:b w:val="0"/>
                <w:sz w:val="20"/>
              </w:rPr>
              <w:t>74</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97.00 %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1.3</w:t>
            </w:r>
          </w:p>
        </w:tc>
        <w:tc>
          <w:tcPr>
            <w:tcW w:type="dxa" w:w="2448"/>
            <w:vAlign w:val="top"/>
          </w:tcPr>
          <w:p>
            <w:pPr>
              <w:spacing w:after="20" w:before="20"/>
            </w:pPr>
            <w:r>
              <w:rPr>
                <w:rFonts w:ascii="Calibri" w:hAnsi="Calibri" w:cs="Calibri"/>
                <w:b w:val="0"/>
                <w:sz w:val="20"/>
              </w:rPr>
              <w:t>1.2</w:t>
            </w:r>
          </w:p>
        </w:tc>
        <w:tc>
          <w:tcPr>
            <w:tcW w:type="dxa" w:w="1152"/>
            <w:vAlign w:val="top"/>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83.000</w:t>
            </w:r>
          </w:p>
        </w:tc>
        <w:tc>
          <w:tcPr>
            <w:tcW w:type="dxa" w:w="3312"/>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Primary care follow-up</w:t>
            </w:r>
          </w:p>
        </w:tc>
        <w:tc>
          <w:tcPr>
            <w:tcW w:type="dxa" w:w="3264"/>
            <w:vAlign w:val="top"/>
          </w:tcPr>
          <w:p>
            <w:pPr>
              <w:spacing w:after="20" w:before="20"/>
            </w:pPr>
            <w:r>
              <w:rPr>
                <w:rFonts w:ascii="Calibri" w:hAnsi="Calibri" w:cs="Calibri"/>
                <w:b w:val="0"/>
                <w:sz w:val="20"/>
              </w:rPr>
              <w:t>5 days</w:t>
            </w:r>
          </w:p>
        </w:tc>
        <w:tc>
          <w:tcPr>
            <w:tcW w:type="dxa" w:w="3264"/>
            <w:vAlign w:val="top"/>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2 C1 Presentation and demographics 1"/>
                <w:tag w:val="VAL-802-c1-Presentation and demographics-1"/>
                <w:id w:val="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Presentation and demographics 2"/>
                <w:tag w:val="VAL-802-c1-Presentation and demographics-2"/>
                <w:id w:val="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Presentation and demographics 3"/>
                <w:tag w:val="VAL-802-c1-Presentation and demographics-3"/>
                <w:id w:val="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Presentation and demographics 4"/>
                <w:tag w:val="VAL-802-c1-Presentation and demographics-4"/>
                <w:id w:val="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2 C1 Fit between presentation and diagnosis 1"/>
                <w:tag w:val="VAL-802-c1-Fit between presentation and diagnosis-1"/>
                <w:id w:val="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Fit between presentation and diagnosis 2"/>
                <w:tag w:val="VAL-802-c1-Fit between presentation and diagnosis-2"/>
                <w:id w:val="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Fit between presentation and diagnosis 3"/>
                <w:tag w:val="VAL-802-c1-Fit between presentation and diagnosis-3"/>
                <w:id w:val="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Fit between presentation and diagnosis 4"/>
                <w:tag w:val="VAL-802-c1-Fit between presentation and diagnosis-4"/>
                <w:id w:val="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2 C1 Vital signs 1"/>
                <w:tag w:val="VAL-802-c1-Vital signs-1"/>
                <w:id w:val="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Vital signs 2"/>
                <w:tag w:val="VAL-802-c1-Vital signs-2"/>
                <w:id w:val="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Vital signs 3"/>
                <w:tag w:val="VAL-802-c1-Vital signs-3"/>
                <w:id w:val="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Vital signs 4"/>
                <w:tag w:val="VAL-802-c1-Vital signs-4"/>
                <w:id w:val="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2 C1 Laboratory findings 1"/>
                <w:tag w:val="VAL-802-c1-Laboratory findings-1"/>
                <w:id w:val="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Laboratory findings 2"/>
                <w:tag w:val="VAL-802-c1-Laboratory findings-2"/>
                <w:id w:val="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Laboratory findings 3"/>
                <w:tag w:val="VAL-802-c1-Laboratory findings-3"/>
                <w:id w:val="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Laboratory findings 4"/>
                <w:tag w:val="VAL-802-c1-Laboratory findings-4"/>
                <w:id w:val="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2 C1 Medication regimen 1"/>
                <w:tag w:val="VAL-802-c1-Medication regimen-1"/>
                <w:id w:val="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Medication regimen 2"/>
                <w:tag w:val="VAL-802-c1-Medication regimen-2"/>
                <w:id w:val="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Medication regimen 3"/>
                <w:tag w:val="VAL-802-c1-Medication regimen-3"/>
                <w:id w:val="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Medication regimen 4"/>
                <w:tag w:val="VAL-802-c1-Medication regimen-4"/>
                <w:id w:val="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2 C1 Hospital course 1"/>
                <w:tag w:val="VAL-802-c1-Hospital course-1"/>
                <w:id w:val="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Hospital course 2"/>
                <w:tag w:val="VAL-802-c1-Hospital course-2"/>
                <w:id w:val="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Hospital course 3"/>
                <w:tag w:val="VAL-802-c1-Hospital course-3"/>
                <w:id w:val="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Hospital course 4"/>
                <w:tag w:val="VAL-802-c1-Hospital course-4"/>
                <w:id w:val="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2 C1 Chart consistency 1"/>
                <w:tag w:val="VAL-802-c1-Chart consistency-1"/>
                <w:id w:val="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Chart consistency 2"/>
                <w:tag w:val="VAL-802-c1-Chart consistency-2"/>
                <w:id w:val="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Chart consistency 3"/>
                <w:tag w:val="VAL-802-c1-Chart consistency-3"/>
                <w:id w:val="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Chart consistency 4"/>
                <w:tag w:val="VAL-802-c1-Chart consistency-4"/>
                <w:id w:val="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2 C1 Discharge context and follow-up 1"/>
                <w:tag w:val="VAL-802-c1-Discharge context and follow-up-1"/>
                <w:id w:val="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Discharge context and follow-up 2"/>
                <w:tag w:val="VAL-802-c1-Discharge context and follow-up-2"/>
                <w:id w:val="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Discharge context and follow-up 3"/>
                <w:tag w:val="VAL-802-c1-Discharge context and follow-up-3"/>
                <w:id w:val="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Discharge context and follow-up 4"/>
                <w:tag w:val="VAL-802-c1-Discharge context and follow-up-4"/>
                <w:id w:val="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2 c1-overall Pass"/>
                <w:tag w:val="VAL-802-c1-overall-Pass"/>
                <w:id w:val="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2 c1-overall Fail"/>
                <w:tag w:val="VAL-802-c1-overall-Fail"/>
                <w:id w:val="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2-c1-comment"/>
              <w:id w:val="9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2 c2 Pass"/>
                <w:tag w:val="VAL-802-c2-Pass"/>
                <w:id w:val="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2 c2 Fail"/>
                <w:tag w:val="VAL-802-c2-Fail"/>
                <w:id w:val="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2-c2-comment"/>
              <w:id w:val="9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lisinopril 10 MG Oral Tablet</w:t>
            </w:r>
          </w:p>
        </w:tc>
        <w:tc>
          <w:tcPr>
            <w:tcW w:type="dxa" w:w="1152"/>
            <w:vAlign w:val="top"/>
          </w:tcPr>
          <w:p>
            <w:pPr>
              <w:spacing w:after="20" w:before="20"/>
            </w:pPr>
            <w:r>
              <w:rPr>
                <w:rFonts w:ascii="Calibri" w:hAnsi="Calibri" w:cs="Calibri"/>
                <w:b w:val="0"/>
                <w:sz w:val="20"/>
              </w:rPr>
              <w:t>10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lisinopril 10 MG Oral Tablet</w:t>
            </w:r>
          </w:p>
        </w:tc>
        <w:tc>
          <w:tcPr>
            <w:tcW w:type="dxa" w:w="2016"/>
            <w:vAlign w:val="top"/>
          </w:tcPr>
          <w:p>
            <w:pPr>
              <w:spacing w:after="20" w:before="20"/>
            </w:pPr>
            <w:r>
              <w:rPr>
                <w:rFonts w:ascii="Calibri" w:hAnsi="Calibri" w:cs="Calibri"/>
                <w:b w:val="0"/>
                <w:sz w:val="20"/>
              </w:rPr>
              <w:t>hold</w:t>
            </w:r>
          </w:p>
        </w:tc>
        <w:tc>
          <w:tcPr>
            <w:tcW w:type="dxa" w:w="4608"/>
            <w:vAlign w:val="top"/>
          </w:tcPr>
          <w:p>
            <w:pPr>
              <w:spacing w:after="20" w:before="20"/>
            </w:pPr>
            <w:r>
              <w:rPr>
                <w:rFonts w:ascii="Calibri" w:hAnsi="Calibri" w:cs="Calibri"/>
                <w:b w:val="0"/>
                <w:sz w:val="20"/>
              </w:rPr>
              <w:t>Hold is acceptable if creatinine 1.3 mg/dL is judged to be acute kidney injury. No baseline is recorded, so the reference does not require a hold.</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Creatinine is 1.3 mg/dL then 1.2 mg/dL, and no creatinine from before this admission is recorded. Blood pressure is 138/69 mmHg then 124/68 mmHg. Should lisinopril be continued or held?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02-adjudication"/>
              <w:id w:val="9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2 c3 Pass"/>
                <w:tag w:val="VAL-802-c3-Pass"/>
                <w:id w:val="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2 c3 Fail"/>
                <w:tag w:val="VAL-802-c3-Fail"/>
                <w:id w:val="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2 c4 No"/>
                <w:tag w:val="VAL-802-c4-No"/>
                <w:id w:val="1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2 c4 Yes"/>
                <w:tag w:val="VAL-802-c4-Yes"/>
                <w:id w:val="1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2 c5-issue No"/>
                <w:tag w:val="VAL-802-c5-issue-No"/>
                <w:id w:val="1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2 c5-issue Yes"/>
                <w:tag w:val="VAL-802-c5-issue-Yes"/>
                <w:id w:val="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2 c5-leak No"/>
                <w:tag w:val="VAL-802-c5-leak-No"/>
                <w:id w:val="1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2 c5-leak Yes"/>
                <w:tag w:val="VAL-802-c5-leak-Yes"/>
                <w:id w:val="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2-c5-comment"/>
              <w:id w:val="1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2 c6 Easy"/>
                <w:tag w:val="VAL-802-c6-Easy"/>
                <w:id w:val="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2 c6 Moderate"/>
                <w:tag w:val="VAL-802-c6-Moderate"/>
                <w:id w:val="1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2 c6 Hard"/>
                <w:tag w:val="VAL-802-c6-Hard"/>
                <w:id w:val="1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2 c6 Inappropriate or outlier"/>
                <w:tag w:val="VAL-802-c6-Inappropriate or outlier"/>
                <w:id w:val="1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2 overall Accept"/>
                <w:tag w:val="VAL-802-overall-Accept"/>
                <w:id w:val="1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2 overall Revise"/>
                <w:tag w:val="VAL-802-overall-Revise"/>
                <w:id w:val="1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2 overall Exclude"/>
                <w:tag w:val="VAL-802-overall-Exclude"/>
                <w:id w:val="1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2-overall-comment"/>
              <w:id w:val="11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2-reviewer"/>
          <w:id w:val="11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2-date"/>
          <w:id w:val="11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Several issues with this – delirium cause is not revealed (delirium due to known physiologic condition doesn’t make sense), it doesn’t appear that anything happened in the hospital course, creatinine was the only lab value and changed slightly, but it was not clear what the baseline creatinine was, lots of mention of the statin and it said that she was taking the statin, but this was not continued at discharge for no obvious reason</w:t>
            </w:r>
          </w:p>
        </w:tc>
      </w:tr>
    </w:tbl>
    <w:p>
      <w:pPr>
        <w:spacing w:after="40"/>
      </w:pPr>
    </w:p>
    <w:p>
      <w:pPr>
        <w:spacing w:after="120"/>
      </w:pPr>
      <w:r>
        <w:rPr>
          <w:rFonts w:ascii="Calibri" w:hAnsi="Calibri" w:cs="Calibri"/>
          <w:b w:val="0"/>
          <w:sz w:val="22"/>
        </w:rPr>
        <w:t>C2 question: 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C2: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Was the trainee supposed to continue the statin? Or recognize that it was not continued? It is unclear</w:t>
            </w:r>
          </w:p>
        </w:tc>
      </w:tr>
    </w:tbl>
    <w:p>
      <w:pPr>
        <w:spacing w:after="40"/>
      </w:pPr>
    </w:p>
    <w:p>
      <w:pPr>
        <w:spacing w:after="120"/>
      </w:pPr>
      <w:r>
        <w:rPr>
          <w:rFonts w:ascii="Calibri" w:hAnsi="Calibri" w:cs="Calibri"/>
          <w:b w:val="0"/>
          <w:sz w:val="22"/>
        </w:rPr>
        <w:t>C3 question: Could an internal-medicine resident identify and resolve the intended problem using only the clinical information provided in the patient-facing case?</w:t>
      </w:r>
    </w:p>
    <w:p>
      <w:pPr>
        <w:spacing w:after="120"/>
      </w:pPr>
      <w:r>
        <w:rPr>
          <w:rFonts w:ascii="Calibri" w:hAnsi="Calibri" w:cs="Calibri"/>
          <w:b w:val="0"/>
          <w:sz w:val="22"/>
        </w:rPr>
        <w:t>C3: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Case lacks clinical complexity and reasoning for stopping the statin</w:t>
            </w:r>
          </w:p>
        </w:tc>
      </w:tr>
    </w:tbl>
    <w:p>
      <w:pPr>
        <w:spacing w:after="40"/>
      </w:pPr>
    </w:p>
    <w:p>
      <w:pPr>
        <w:spacing w:after="120"/>
      </w:pPr>
      <w:r>
        <w:rPr>
          <w:rFonts w:ascii="Calibri" w:hAnsi="Calibri" w:cs="Calibri"/>
          <w:b w:val="0"/>
          <w:sz w:val="22"/>
        </w:rPr>
        <w:t>C4 question: 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C4: Fail</w:t>
      </w:r>
    </w:p>
    <w:p>
      <w:pPr>
        <w:spacing w:after="120"/>
      </w:pPr>
      <w:r>
        <w:rPr>
          <w:rFonts w:ascii="Calibri" w:hAnsi="Calibri" w:cs="Calibri"/>
          <w:b w:val="0"/>
          <w:sz w:val="22"/>
        </w:rPr>
        <w:t>C4 issue: Creatinine elevated but patient continued on lisinopril</w:t>
      </w:r>
    </w:p>
    <w:p>
      <w:pPr>
        <w:spacing w:after="120"/>
      </w:pPr>
      <w:r>
        <w:rPr>
          <w:rFonts w:ascii="Calibri" w:hAnsi="Calibri" w:cs="Calibri"/>
          <w:b w:val="0"/>
          <w:sz w:val="22"/>
        </w:rPr>
        <w:t>C4 location: Lab data</w:t>
      </w:r>
    </w:p>
    <w:p>
      <w:pPr>
        <w:spacing w:after="120"/>
      </w:pPr>
      <w:r>
        <w:rPr>
          <w:rFonts w:ascii="Calibri" w:hAnsi="Calibri" w:cs="Calibri"/>
          <w:b w:val="0"/>
          <w:sz w:val="22"/>
        </w:rPr>
        <w:t>C4 clinical meaning: If creatinine was elevated to point of AKI the lisinopril should be stopped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As above</w:t>
            </w:r>
          </w:p>
        </w:tc>
      </w:tr>
    </w:tbl>
    <w:p>
      <w:pPr>
        <w:spacing w:after="40"/>
      </w:pPr>
    </w:p>
    <w:p>
      <w:pPr>
        <w:spacing w:after="120"/>
      </w:pPr>
      <w:r>
        <w:rPr>
          <w:rFonts w:ascii="Calibri" w:hAnsi="Calibri" w:cs="Calibri"/>
          <w:b w:val="0"/>
          <w:sz w:val="22"/>
        </w:rPr>
        <w:t>C5: Inappropriate / outlier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This case is unclear and intended discharge medications are not stated</w:t>
            </w:r>
          </w:p>
        </w:tc>
      </w:tr>
    </w:tbl>
    <w:p>
      <w:pPr>
        <w:spacing w:after="40"/>
      </w:pPr>
    </w:p>
    <w:p>
      <w:pPr>
        <w:spacing w:after="120"/>
      </w:pPr>
      <w:r>
        <w:rPr>
          <w:rFonts w:ascii="Calibri" w:hAnsi="Calibri" w:cs="Calibri"/>
          <w:b w:val="0"/>
          <w:sz w:val="22"/>
        </w:rPr>
        <w:t>Overall recommendation: Exclude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Would exclude, this case would need major revisions to be compatible with the goals of this project</w:t>
            </w:r>
          </w:p>
        </w:tc>
      </w:tr>
    </w:tbl>
    <w:p>
      <w:pPr>
        <w:spacing w:after="40"/>
      </w:pPr>
    </w:p>
    <w:p>
      <w:pPr>
        <w:spacing w:after="120"/>
      </w:pPr>
      <w:r>
        <w:rPr>
          <w:rFonts w:ascii="Calibri" w:hAnsi="Calibri" w:cs="Calibri"/>
          <w:b w:val="0"/>
          <w:sz w:val="22"/>
        </w:rPr>
        <w:t>Reviewer: KO. Date: 10/5/26.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Fail. “delirium cause is not revealed (delirium due to known physiologic condition doesn’t make sense), it doesn’t appear that anything happened in the hospital course.” Hospital-course score is 1. Overall recommendation Exclude: “this case would need major revisions to be compatible with the goals of this project.”</w:t>
            </w:r>
          </w:p>
        </w:tc>
        <w:tc>
          <w:tcPr>
            <w:tcW w:type="dxa" w:w="1512"/>
            <w:vAlign w:val="top"/>
          </w:tcPr>
          <w:p>
            <w:pPr>
              <w:spacing w:after="20" w:before="20"/>
            </w:pPr>
            <w:r>
              <w:rPr>
                <w:rFonts w:ascii="Calibri" w:hAnsi="Calibri" w:cs="Calibri"/>
                <w:b w:val="0"/>
                <w:sz w:val="16"/>
              </w:rPr>
              <w:t>Poor oral intake is named as the only recorded precipitant, and the course states the creatinine and blood-pressure pairs. No other illness was added.</w:t>
            </w:r>
          </w:p>
        </w:tc>
        <w:tc>
          <w:tcPr>
            <w:tcW w:type="dxa" w:w="1368"/>
            <w:vAlign w:val="top"/>
          </w:tcPr>
          <w:p>
            <w:pPr>
              <w:spacing w:after="20" w:before="20"/>
            </w:pPr>
            <w:r>
              <w:rPr>
                <w:rFonts w:ascii="Calibri" w:hAnsi="Calibri" w:cs="Calibri"/>
                <w:b w:val="0"/>
                <w:sz w:val="16"/>
              </w:rPr>
              <w:t>presentation; admission note; hospital course</w:t>
            </w:r>
          </w:p>
        </w:tc>
        <w:tc>
          <w:tcPr>
            <w:tcW w:type="dxa" w:w="1656"/>
            <w:vAlign w:val="top"/>
          </w:tcPr>
          <w:p>
            <w:pPr>
              <w:spacing w:after="20" w:before="20"/>
            </w:pPr>
            <w:r>
              <w:rPr>
                <w:rFonts w:ascii="Calibri" w:hAnsi="Calibri" w:cs="Calibri"/>
                <w:b w:val="0"/>
                <w:sz w:val="16"/>
              </w:rPr>
              <w:t>The clean course does not name a precipitant or discuss the creatinine pair.</w:t>
            </w:r>
          </w:p>
        </w:tc>
        <w:tc>
          <w:tcPr>
            <w:tcW w:type="dxa" w:w="1656"/>
            <w:vAlign w:val="top"/>
          </w:tcPr>
          <w:p>
            <w:pPr>
              <w:spacing w:after="20" w:before="20"/>
            </w:pPr>
            <w:r>
              <w:rPr>
                <w:rFonts w:ascii="Calibri" w:hAnsi="Calibri" w:cs="Calibri"/>
                <w:b w:val="0"/>
                <w:sz w:val="16"/>
              </w:rPr>
              <w:t>Confusion and poor oral intake for two days. No other precipitant is recorded. Confusion improved as oral intake improved. Creatinine is 1.3 mg/dL then 1.2 mg/dL. Blood pressure is 138/69 mmHg then 124/68 mmHg.</w:t>
            </w:r>
          </w:p>
        </w:tc>
        <w:tc>
          <w:tcPr>
            <w:tcW w:type="dxa" w:w="1944"/>
            <w:vAlign w:val="top"/>
          </w:tcPr>
          <w:p>
            <w:pPr>
              <w:spacing w:after="20" w:before="20"/>
            </w:pPr>
            <w:r>
              <w:rPr>
                <w:rFonts w:ascii="Calibri" w:hAnsi="Calibri" w:cs="Calibri"/>
                <w:b w:val="0"/>
                <w:sz w:val="16"/>
              </w:rPr>
              <w:t>The empty course is a fair description of the clean chart. Poor intake is a plausible precipitant and is labeled synthetic. Adding a second disease to answer Exclude would invent a case the source does not contain. Exclude remains the recorded recommendation. [E1] [E2] [E5]</w:t>
            </w:r>
          </w:p>
        </w:tc>
      </w:tr>
      <w:tr>
        <w:trPr>
          <w:cantSplit/>
        </w:trPr>
        <w:tc>
          <w:tcPr>
            <w:tcW w:type="dxa" w:w="1656"/>
            <w:vAlign w:val="top"/>
          </w:tcPr>
          <w:p>
            <w:pPr>
              <w:spacing w:after="20" w:before="20"/>
            </w:pPr>
            <w:r>
              <w:rPr>
                <w:rFonts w:ascii="Calibri" w:hAnsi="Calibri" w:cs="Calibri"/>
                <w:b w:val="0"/>
                <w:sz w:val="16"/>
              </w:rPr>
              <w:t>C1: “lots of mention of the statin and it said that she was taking the statin, but this was not continued at discharge for no obvious reason.” C2 Fail: “Was the trainee supposed to continue the statin? Or recognize that it was not continued?”</w:t>
            </w:r>
          </w:p>
        </w:tc>
        <w:tc>
          <w:tcPr>
            <w:tcW w:type="dxa" w:w="1512"/>
            <w:vAlign w:val="top"/>
          </w:tcPr>
          <w:p>
            <w:pPr>
              <w:spacing w:after="20" w:before="20"/>
            </w:pPr>
            <w:r>
              <w:rPr>
                <w:rFonts w:ascii="Calibri" w:hAnsi="Calibri" w:cs="Calibri"/>
                <w:b w:val="0"/>
                <w:sz w:val="16"/>
              </w:rPr>
              <w:t>The note states that atorvastatin 40 mg daily is on the home list. It does not say whether to continue it at discharge. The reference continues it.</w:t>
            </w:r>
          </w:p>
        </w:tc>
        <w:tc>
          <w:tcPr>
            <w:tcW w:type="dxa" w:w="1368"/>
            <w:vAlign w:val="top"/>
          </w:tcPr>
          <w:p>
            <w:pPr>
              <w:spacing w:after="20" w:before="20"/>
            </w:pPr>
            <w:r>
              <w:rPr>
                <w:rFonts w:ascii="Calibri" w:hAnsi="Calibri" w:cs="Calibri"/>
                <w:b w:val="0"/>
                <w:sz w:val="16"/>
              </w:rPr>
              <w:t>hospital course; medication reconciliation; reference_discharge_plan</w:t>
            </w:r>
          </w:p>
        </w:tc>
        <w:tc>
          <w:tcPr>
            <w:tcW w:type="dxa" w:w="1656"/>
            <w:vAlign w:val="top"/>
          </w:tcPr>
          <w:p>
            <w:pPr>
              <w:spacing w:after="20" w:before="20"/>
            </w:pPr>
            <w:r>
              <w:rPr>
                <w:rFonts w:ascii="Calibri" w:hAnsi="Calibri" w:cs="Calibri"/>
                <w:b w:val="0"/>
                <w:sz w:val="16"/>
              </w:rPr>
              <w:t>The clean note talks about a collateral list and medicines that had been stopped, without a statin-specific discharge sentence. Atorvastatin is on the home and inpatient lists. The clean reference continues it.</w:t>
            </w:r>
          </w:p>
        </w:tc>
        <w:tc>
          <w:tcPr>
            <w:tcW w:type="dxa" w:w="1656"/>
            <w:vAlign w:val="top"/>
          </w:tcPr>
          <w:p>
            <w:pPr>
              <w:spacing w:after="20" w:before="20"/>
            </w:pPr>
            <w:r>
              <w:rPr>
                <w:rFonts w:ascii="Calibri" w:hAnsi="Calibri" w:cs="Calibri"/>
                <w:b w:val="0"/>
                <w:sz w:val="16"/>
              </w:rPr>
              <w:t>The course says atorvastatin 40 mg daily is on the home list. The reference continues atorvastatin for hyperlipidemia. No stop was added.</w:t>
            </w:r>
          </w:p>
        </w:tc>
        <w:tc>
          <w:tcPr>
            <w:tcW w:type="dxa" w:w="1944"/>
            <w:vAlign w:val="top"/>
          </w:tcPr>
          <w:p>
            <w:pPr>
              <w:spacing w:after="20" w:before="20"/>
            </w:pPr>
            <w:r>
              <w:rPr>
                <w:rFonts w:ascii="Calibri" w:hAnsi="Calibri" w:cs="Calibri"/>
                <w:b w:val="0"/>
                <w:sz w:val="16"/>
              </w:rPr>
              <w:t>The reviewer was looking at a chart whose prose and discharge target did not say the same thing about the statin. The clean list contains atorvastatin, and no adverse effect is stored. The resident can see the list. The sentence does not instruct the discharge action. [E1] [E5]</w:t>
            </w:r>
          </w:p>
        </w:tc>
      </w:tr>
      <w:tr>
        <w:trPr>
          <w:cantSplit/>
        </w:trPr>
        <w:tc>
          <w:tcPr>
            <w:tcW w:type="dxa" w:w="1656"/>
            <w:vAlign w:val="top"/>
          </w:tcPr>
          <w:p>
            <w:pPr>
              <w:spacing w:after="20" w:before="20"/>
            </w:pPr>
            <w:r>
              <w:rPr>
                <w:rFonts w:ascii="Calibri" w:hAnsi="Calibri" w:cs="Calibri"/>
                <w:b w:val="0"/>
                <w:sz w:val="16"/>
              </w:rPr>
              <w:t>C1: “creatinine was the only lab value and changed slightly, but it was not clear what the baseline creatinine was.” C4 Fail. Issue: “Creatinine elevated but patient continued on lisinopril.” Meaning recorded by the reviewer: if the creatinine represented acute kidney injury, lisinopril should be stopped. C3 Fail: the case lacks a reason for stopping the statin.</w:t>
            </w:r>
          </w:p>
        </w:tc>
        <w:tc>
          <w:tcPr>
            <w:tcW w:type="dxa" w:w="1512"/>
            <w:vAlign w:val="top"/>
          </w:tcPr>
          <w:p>
            <w:pPr>
              <w:spacing w:after="20" w:before="20"/>
            </w:pPr>
            <w:r>
              <w:rPr>
                <w:rFonts w:ascii="Calibri" w:hAnsi="Calibri" w:cs="Calibri"/>
                <w:b w:val="0"/>
                <w:sz w:val="16"/>
              </w:rPr>
              <w:t>No baseline creatinine was added. The reference continues lisinopril. Hold is an acceptable alternative.</w:t>
            </w:r>
          </w:p>
        </w:tc>
        <w:tc>
          <w:tcPr>
            <w:tcW w:type="dxa" w:w="1368"/>
            <w:vAlign w:val="top"/>
          </w:tcPr>
          <w:p>
            <w:pPr>
              <w:spacing w:after="20" w:before="20"/>
            </w:pPr>
            <w:r>
              <w:rPr>
                <w:rFonts w:ascii="Calibri" w:hAnsi="Calibri" w:cs="Calibri"/>
                <w:b w:val="0"/>
                <w:sz w:val="16"/>
              </w:rPr>
              <w:t>laboratories; hospital course; reference_discharge_plan; acceptable alternatives</w:t>
            </w:r>
          </w:p>
        </w:tc>
        <w:tc>
          <w:tcPr>
            <w:tcW w:type="dxa" w:w="1656"/>
            <w:vAlign w:val="top"/>
          </w:tcPr>
          <w:p>
            <w:pPr>
              <w:spacing w:after="20" w:before="20"/>
            </w:pPr>
            <w:r>
              <w:rPr>
                <w:rFonts w:ascii="Calibri" w:hAnsi="Calibri" w:cs="Calibri"/>
                <w:b w:val="0"/>
                <w:sz w:val="16"/>
              </w:rPr>
              <w:t>Creatinine is 1.3 mg/dL then 1.2 mg/dL. No earlier creatinine is stored. The clean reference continues lisinopril and records no alternative.</w:t>
            </w:r>
          </w:p>
        </w:tc>
        <w:tc>
          <w:tcPr>
            <w:tcW w:type="dxa" w:w="1656"/>
            <w:vAlign w:val="top"/>
          </w:tcPr>
          <w:p>
            <w:pPr>
              <w:spacing w:after="20" w:before="20"/>
            </w:pPr>
            <w:r>
              <w:rPr>
                <w:rFonts w:ascii="Calibri" w:hAnsi="Calibri" w:cs="Calibri"/>
                <w:b w:val="0"/>
                <w:sz w:val="16"/>
              </w:rPr>
              <w:t>The same creatinine pair is stated, with an explicit statement that no earlier creatinine is recorded. The reference continues lisinopril. Hold is acceptable if 1.3 mg/dL is judged to be acute kidney injury.</w:t>
            </w:r>
          </w:p>
        </w:tc>
        <w:tc>
          <w:tcPr>
            <w:tcW w:type="dxa" w:w="1944"/>
            <w:vAlign w:val="top"/>
          </w:tcPr>
          <w:p>
            <w:pPr>
              <w:spacing w:after="20" w:before="20"/>
            </w:pPr>
            <w:r>
              <w:rPr>
                <w:rFonts w:ascii="Calibri" w:hAnsi="Calibri" w:cs="Calibri"/>
                <w:b w:val="0"/>
                <w:sz w:val="16"/>
              </w:rPr>
              <w:t>The comment says both that the change is slight and that the baseline is unknown, and that lisinopril should be stopped if the value is acute kidney injury. Those statements do not supply the missing baseline. Version 1’s creatinine of 1.2 mg/dL six weeks earlier is not in the clean chart and is not restored. KDIGO supports reassessment. It does not choose one action for this pair. [E1] [E5] [E6]</w:t>
            </w:r>
          </w:p>
        </w:tc>
      </w:tr>
    </w:tbl>
    <w:p>
      <w:pPr>
        <w:spacing w:after="40"/>
      </w:pPr>
    </w:p>
    <w:p>
      <w:pPr>
        <w:pStyle w:val="Heading3"/>
      </w:pPr>
      <w:r>
        <w:rPr>
          <w:rFonts w:ascii="Calibri" w:hAnsi="Calibri"/>
          <w:color w:val="1F3A5F"/>
        </w:rPr>
        <w:t>Evidence references</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[E2] Inouye SK, Westendorp RGJ, Saczynski JS. Delirium in elderly people. Lancet. 2014;383:911-922. doi:10.1016/S0140-6736(13)60688-1. Supports poor intake as a plausible delirium precipitant. It does not establish that this synthetic patient had that precipitant.</w:t>
      </w:r>
    </w:p>
    <w:p>
      <w:pPr>
        <w:spacing w:after="120"/>
      </w:pPr>
      <w:r>
        <w:rPr>
          <w:rFonts w:ascii="Calibri" w:hAnsi="Calibri" w:cs="Calibri"/>
          <w:b w:val="0"/>
          <w:sz w:val="22"/>
        </w:rPr>
        <w:t>[E5] Clean pre-injection VAL-802. Creatinine 1.3 mg/dL then 1.2 mg/dL. Blood pressure 138/69 mmHg then 124/68 mmHg. No creatinine from before the admission is stored. Atorvastatin is on the list. No potassium pair is stored.</w:t>
      </w:r>
    </w:p>
    <w:p>
      <w:pPr>
        <w:spacing w:after="120"/>
      </w:pPr>
      <w:r>
        <w:rPr>
          <w:rFonts w:ascii="Calibri" w:hAnsi="Calibri" w:cs="Calibri"/>
          <w:b w:val="0"/>
          <w:sz w:val="22"/>
        </w:rPr>
        <w:t>[E6] KDIGO Clinical Practice Guideline for Acute Kidney Injury. Kidney Int Suppl. 2012;2:1-138. Supports reassessing ACE-inhibitor exposure when kidney function may be worse than baseline. It does not create a baseline that was not measured, and it does not set a creatinine threshold for this chart.</w:t>
      </w:r>
    </w:p>
    <w:p>
      <w:pPr>
        <w:keepNext/>
        <w:pageBreakBefore/>
      </w:pPr>
      <w:r>
        <w:rPr>
          <w:rFonts w:ascii="Calibri" w:hAnsi="Calibri" w:cs="Calibri"/>
          <w:b/>
          <w:color w:val="1F3A5F"/>
          <w:sz w:val="32"/>
        </w:rPr>
        <w:t>CASE VAL-803</w:t>
      </w:r>
    </w:p>
    <w:p>
      <w:pPr>
        <w:spacing w:after="120"/>
      </w:pPr>
      <w:r>
        <w:rPr>
          <w:rFonts w:ascii="Calibri" w:hAnsi="Calibri" w:cs="Calibri"/>
          <w:b w:val="0"/>
          <w:sz w:val="22"/>
        </w:rPr>
        <w:t>Round 2 revised case, version 3. Prepared for re-review.</w:t>
      </w:r>
    </w:p>
    <w:p>
      <w:pPr>
        <w:pStyle w:val="Heading2"/>
      </w:pPr>
      <w:r>
        <w:rPr>
          <w:rFonts w:ascii="Calibri" w:hAnsi="Calibri"/>
          <w:color w:val="1F3A5F"/>
        </w:rPr>
        <w:t>RESIDENT-FACING CHART</w:t>
      </w:r>
    </w:p>
    <w:p>
      <w:pPr>
        <w:spacing w:after="120"/>
      </w:pPr>
      <w:r>
        <w:rPr>
          <w:rFonts w:ascii="Calibri" w:hAnsi="Calibri" w:cs="Calibri"/>
          <w:b w:val="0"/>
          <w:sz w:val="22"/>
        </w:rPr>
        <w:t>This opening chart is the same information the resident would see. It does not include the hidden reference.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71</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Delirium due to known physiological condition</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71-year-old man admitted with fatigue, confusion, and serum sodium 128 mmol/L.</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71-year-old man is admitted with one week of fatigue and confusion. Home medicines include hydrochlorothiazide 25 mg daily, lisinopril 10 mg daily, atorvastatin 40 mg daily, and metformin 500 mg twice daily. Admission sodium is 128 mmol/L. Creatinine is 1.0 mg/dL on admission and 1.2 mg/dL at discharge.</w:t>
      </w:r>
    </w:p>
    <w:p>
      <w:pPr>
        <w:pStyle w:val="Heading3"/>
      </w:pPr>
      <w:r>
        <w:rPr>
          <w:rFonts w:ascii="Calibri" w:hAnsi="Calibri"/>
          <w:color w:val="1F3A5F"/>
        </w:rPr>
        <w:t>Admission note</w:t>
      </w:r>
    </w:p>
    <w:p>
      <w:pPr>
        <w:spacing w:after="120"/>
      </w:pPr>
      <w:r>
        <w:rPr>
          <w:rFonts w:ascii="Calibri" w:hAnsi="Calibri" w:cs="Calibri"/>
          <w:b w:val="0"/>
          <w:sz w:val="22"/>
        </w:rPr>
        <w:t>Admission note. Fatigue and confusion for one week. Hydrochlorothiazide is on the home list. Serum sodium on arrival is 128 mmol/L. Creatinine is 1.0 mg/dL.</w:t>
      </w:r>
    </w:p>
    <w:p>
      <w:pPr>
        <w:pStyle w:val="Heading2"/>
      </w:pPr>
      <w:r>
        <w:rPr>
          <w:rFonts w:ascii="Calibri" w:hAnsi="Calibri"/>
          <w:color w:val="1F3A5F"/>
        </w:rPr>
        <w:t>Hospital course</w:t>
      </w:r>
    </w:p>
    <w:p>
      <w:pPr>
        <w:spacing w:after="120"/>
      </w:pPr>
      <w:r>
        <w:rPr>
          <w:rFonts w:ascii="Calibri" w:hAnsi="Calibri" w:cs="Calibri"/>
          <w:b w:val="0"/>
          <w:sz w:val="22"/>
        </w:rPr>
        <w:t>Admission sodium is 128 mmol/L. Hydrochlorothiazide was not given after that result. Discharge sodium is 135 mmol/L. Confusion cleared. Creatinine is 1.0 mg/dL then 1.2 mg/dL. Potassium is 4.4 mmol/L then 4.2 mmol/L. Glucose is 149 mg/dL then 129 mg/dL.</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Delirium due to known physiological condition</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Type 2 diabetes mellitus without complications</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119/69</w:t>
            </w:r>
          </w:p>
        </w:tc>
        <w:tc>
          <w:tcPr>
            <w:tcW w:type="dxa" w:w="1440"/>
            <w:vAlign w:val="top"/>
          </w:tcPr>
          <w:p>
            <w:pPr>
              <w:spacing w:after="20" w:before="20"/>
            </w:pPr>
            <w:r>
              <w:rPr>
                <w:rFonts w:ascii="Calibri" w:hAnsi="Calibri" w:cs="Calibri"/>
                <w:b w:val="0"/>
                <w:sz w:val="20"/>
              </w:rPr>
              <w:t>91</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96.00 %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123/70</w:t>
            </w:r>
          </w:p>
        </w:tc>
        <w:tc>
          <w:tcPr>
            <w:tcW w:type="dxa" w:w="1440"/>
            <w:vAlign w:val="top"/>
          </w:tcPr>
          <w:p>
            <w:pPr>
              <w:spacing w:after="20" w:before="20"/>
            </w:pPr>
            <w:r>
              <w:rPr>
                <w:rFonts w:ascii="Calibri" w:hAnsi="Calibri" w:cs="Calibri"/>
                <w:b w:val="0"/>
                <w:sz w:val="20"/>
              </w:rPr>
              <w:t>67</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95.00 %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Fasting glucose [Mass/volume] in Serum or Plasma</w:t>
            </w:r>
          </w:p>
        </w:tc>
        <w:tc>
          <w:tcPr>
            <w:tcW w:type="dxa" w:w="2448"/>
            <w:vAlign w:val="top"/>
          </w:tcPr>
          <w:p>
            <w:pPr>
              <w:spacing w:after="20" w:before="20"/>
            </w:pPr>
            <w:r>
              <w:rPr>
                <w:rFonts w:ascii="Calibri" w:hAnsi="Calibri" w:cs="Calibri"/>
                <w:b w:val="0"/>
                <w:sz w:val="20"/>
              </w:rPr>
              <w:t>149.0</w:t>
            </w:r>
          </w:p>
        </w:tc>
        <w:tc>
          <w:tcPr>
            <w:tcW w:type="dxa" w:w="2448"/>
            <w:vAlign w:val="top"/>
          </w:tcPr>
          <w:p>
            <w:pPr>
              <w:spacing w:after="20" w:before="20"/>
            </w:pPr>
            <w:r>
              <w:rPr>
                <w:rFonts w:ascii="Calibri" w:hAnsi="Calibri" w:cs="Calibri"/>
                <w:b w:val="0"/>
                <w:sz w:val="20"/>
              </w:rPr>
              <w:t>129.0</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1.0</w:t>
            </w:r>
          </w:p>
        </w:tc>
        <w:tc>
          <w:tcPr>
            <w:tcW w:type="dxa" w:w="2448"/>
            <w:vAlign w:val="top"/>
          </w:tcPr>
          <w:p>
            <w:pPr>
              <w:spacing w:after="20" w:before="20"/>
            </w:pPr>
            <w:r>
              <w:rPr>
                <w:rFonts w:ascii="Calibri" w:hAnsi="Calibri" w:cs="Calibri"/>
                <w:b w:val="0"/>
                <w:sz w:val="20"/>
              </w:rPr>
              <w:t>1.2</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Potassium [Moles/volume] in Serum or Plasma</w:t>
            </w:r>
          </w:p>
        </w:tc>
        <w:tc>
          <w:tcPr>
            <w:tcW w:type="dxa" w:w="2448"/>
            <w:vAlign w:val="top"/>
          </w:tcPr>
          <w:p>
            <w:pPr>
              <w:spacing w:after="20" w:before="20"/>
            </w:pPr>
            <w:r>
              <w:rPr>
                <w:rFonts w:ascii="Calibri" w:hAnsi="Calibri" w:cs="Calibri"/>
                <w:b w:val="0"/>
                <w:sz w:val="20"/>
              </w:rPr>
              <w:t>4.4</w:t>
            </w:r>
          </w:p>
        </w:tc>
        <w:tc>
          <w:tcPr>
            <w:tcW w:type="dxa" w:w="2448"/>
            <w:vAlign w:val="top"/>
          </w:tcPr>
          <w:p>
            <w:pPr>
              <w:spacing w:after="20" w:before="20"/>
            </w:pPr>
            <w:r>
              <w:rPr>
                <w:rFonts w:ascii="Calibri" w:hAnsi="Calibri" w:cs="Calibri"/>
                <w:b w:val="0"/>
                <w:sz w:val="20"/>
              </w:rPr>
              <w:t>4.2</w:t>
            </w:r>
          </w:p>
        </w:tc>
        <w:tc>
          <w:tcPr>
            <w:tcW w:type="dxa" w:w="1152"/>
            <w:vAlign w:val="top"/>
          </w:tcPr>
          <w:p>
            <w:pPr>
              <w:spacing w:after="20" w:before="20"/>
            </w:pPr>
            <w:r>
              <w:rPr>
                <w:rFonts w:ascii="Calibri" w:hAnsi="Calibri" w:cs="Calibri"/>
                <w:b w:val="0"/>
                <w:sz w:val="20"/>
              </w:rPr>
              <w:t>mmol/L</w:t>
            </w:r>
          </w:p>
        </w:tc>
      </w:tr>
      <w:tr>
        <w:trPr>
          <w:cantSplit/>
        </w:trPr>
        <w:tc>
          <w:tcPr>
            <w:tcW w:type="dxa" w:w="3744"/>
            <w:vAlign w:val="top"/>
          </w:tcPr>
          <w:p>
            <w:pPr>
              <w:spacing w:after="20" w:before="20"/>
            </w:pPr>
            <w:r>
              <w:rPr>
                <w:rFonts w:ascii="Calibri" w:hAnsi="Calibri" w:cs="Calibri"/>
                <w:b w:val="0"/>
                <w:sz w:val="20"/>
              </w:rPr>
              <w:t>Sodium [Moles/volume] in Serum or Plasma</w:t>
            </w:r>
          </w:p>
        </w:tc>
        <w:tc>
          <w:tcPr>
            <w:tcW w:type="dxa" w:w="2448"/>
            <w:vAlign w:val="top"/>
          </w:tcPr>
          <w:p>
            <w:pPr>
              <w:spacing w:after="20" w:before="20"/>
            </w:pPr>
            <w:r>
              <w:rPr>
                <w:rFonts w:ascii="Calibri" w:hAnsi="Calibri" w:cs="Calibri"/>
                <w:b w:val="0"/>
                <w:sz w:val="20"/>
              </w:rPr>
              <w:t>128</w:t>
            </w:r>
          </w:p>
        </w:tc>
        <w:tc>
          <w:tcPr>
            <w:tcW w:type="dxa" w:w="2448"/>
            <w:vAlign w:val="top"/>
          </w:tcPr>
          <w:p>
            <w:pPr>
              <w:spacing w:after="20" w:before="20"/>
            </w:pPr>
            <w:r>
              <w:rPr>
                <w:rFonts w:ascii="Calibri" w:hAnsi="Calibri" w:cs="Calibri"/>
                <w:b w:val="0"/>
                <w:sz w:val="20"/>
              </w:rPr>
              <w:t>135</w:t>
            </w:r>
          </w:p>
        </w:tc>
        <w:tc>
          <w:tcPr>
            <w:tcW w:type="dxa" w:w="1152"/>
            <w:vAlign w:val="top"/>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97.000</w:t>
            </w:r>
          </w:p>
        </w:tc>
        <w:tc>
          <w:tcPr>
            <w:tcW w:type="dxa" w:w="3312"/>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hydrochlorothiazide 25 MG Oral Tablet</w:t>
            </w:r>
          </w:p>
        </w:tc>
        <w:tc>
          <w:tcPr>
            <w:tcW w:type="dxa" w:w="1296"/>
            <w:vAlign w:val="top"/>
          </w:tcPr>
          <w:p>
            <w:pPr>
              <w:spacing w:after="20" w:before="20"/>
            </w:pPr>
            <w:r>
              <w:rPr>
                <w:rFonts w:ascii="Calibri" w:hAnsi="Calibri" w:cs="Calibri"/>
                <w:b w:val="0"/>
                <w:sz w:val="20"/>
              </w:rPr>
              <w:t>25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metformin hydrochloride 500 MG Oral Tablet</w:t>
            </w:r>
          </w:p>
        </w:tc>
        <w:tc>
          <w:tcPr>
            <w:tcW w:type="dxa" w:w="1296"/>
            <w:vAlign w:val="top"/>
          </w:tcPr>
          <w:p>
            <w:pPr>
              <w:spacing w:after="20" w:before="20"/>
            </w:pPr>
            <w:r>
              <w:rPr>
                <w:rFonts w:ascii="Calibri" w:hAnsi="Calibri" w:cs="Calibri"/>
                <w:b w:val="0"/>
                <w:sz w:val="20"/>
              </w:rPr>
              <w:t>500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hydrochlorothiazide 25 MG Oral Tablet</w:t>
            </w:r>
          </w:p>
        </w:tc>
        <w:tc>
          <w:tcPr>
            <w:tcW w:type="dxa" w:w="1296"/>
            <w:vAlign w:val="top"/>
          </w:tcPr>
          <w:p>
            <w:pPr>
              <w:spacing w:after="20" w:before="20"/>
            </w:pPr>
            <w:r>
              <w:rPr>
                <w:rFonts w:ascii="Calibri" w:hAnsi="Calibri" w:cs="Calibri"/>
                <w:b w:val="0"/>
                <w:sz w:val="20"/>
              </w:rPr>
              <w:t>25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Status: held; Indication: Essential (primary) hypertension; Held reason: Admission serum sodium 128 mmol/L.</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metformin hydrochloride 500 MG Oral Tablet</w:t>
            </w:r>
          </w:p>
        </w:tc>
        <w:tc>
          <w:tcPr>
            <w:tcW w:type="dxa" w:w="1296"/>
            <w:vAlign w:val="top"/>
          </w:tcPr>
          <w:p>
            <w:pPr>
              <w:spacing w:after="20" w:before="20"/>
            </w:pPr>
            <w:r>
              <w:rPr>
                <w:rFonts w:ascii="Calibri" w:hAnsi="Calibri" w:cs="Calibri"/>
                <w:b w:val="0"/>
                <w:sz w:val="20"/>
              </w:rPr>
              <w:t>500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Primary care follow-up</w:t>
            </w:r>
          </w:p>
        </w:tc>
        <w:tc>
          <w:tcPr>
            <w:tcW w:type="dxa" w:w="3264"/>
            <w:vAlign w:val="top"/>
          </w:tcPr>
          <w:p>
            <w:pPr>
              <w:spacing w:after="20" w:before="20"/>
            </w:pPr>
            <w:r>
              <w:rPr>
                <w:rFonts w:ascii="Calibri" w:hAnsi="Calibri" w:cs="Calibri"/>
                <w:b w:val="0"/>
                <w:sz w:val="20"/>
              </w:rPr>
              <w:t>14 days</w:t>
            </w:r>
          </w:p>
        </w:tc>
        <w:tc>
          <w:tcPr>
            <w:tcW w:type="dxa" w:w="3264"/>
            <w:vAlign w:val="top"/>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3 C1 Presentation and demographics 1"/>
                <w:tag w:val="VAL-803-c1-Presentation and demographics-1"/>
                <w:id w:val="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Presentation and demographics 2"/>
                <w:tag w:val="VAL-803-c1-Presentation and demographics-2"/>
                <w:id w:val="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Presentation and demographics 3"/>
                <w:tag w:val="VAL-803-c1-Presentation and demographics-3"/>
                <w:id w:val="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Presentation and demographics 4"/>
                <w:tag w:val="VAL-803-c1-Presentation and demographics-4"/>
                <w:id w:val="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3 C1 Fit between presentation and diagnosis 1"/>
                <w:tag w:val="VAL-803-c1-Fit between presentation and diagnosis-1"/>
                <w:id w:val="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Fit between presentation and diagnosis 2"/>
                <w:tag w:val="VAL-803-c1-Fit between presentation and diagnosis-2"/>
                <w:id w:val="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Fit between presentation and diagnosis 3"/>
                <w:tag w:val="VAL-803-c1-Fit between presentation and diagnosis-3"/>
                <w:id w:val="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Fit between presentation and diagnosis 4"/>
                <w:tag w:val="VAL-803-c1-Fit between presentation and diagnosis-4"/>
                <w:id w:val="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3 C1 Vital signs 1"/>
                <w:tag w:val="VAL-803-c1-Vital signs-1"/>
                <w:id w:val="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Vital signs 2"/>
                <w:tag w:val="VAL-803-c1-Vital signs-2"/>
                <w:id w:val="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Vital signs 3"/>
                <w:tag w:val="VAL-803-c1-Vital signs-3"/>
                <w:id w:val="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Vital signs 4"/>
                <w:tag w:val="VAL-803-c1-Vital signs-4"/>
                <w:id w:val="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3 C1 Laboratory findings 1"/>
                <w:tag w:val="VAL-803-c1-Laboratory findings-1"/>
                <w:id w:val="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Laboratory findings 2"/>
                <w:tag w:val="VAL-803-c1-Laboratory findings-2"/>
                <w:id w:val="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Laboratory findings 3"/>
                <w:tag w:val="VAL-803-c1-Laboratory findings-3"/>
                <w:id w:val="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Laboratory findings 4"/>
                <w:tag w:val="VAL-803-c1-Laboratory findings-4"/>
                <w:id w:val="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3 C1 Medication regimen 1"/>
                <w:tag w:val="VAL-803-c1-Medication regimen-1"/>
                <w:id w:val="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Medication regimen 2"/>
                <w:tag w:val="VAL-803-c1-Medication regimen-2"/>
                <w:id w:val="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Medication regimen 3"/>
                <w:tag w:val="VAL-803-c1-Medication regimen-3"/>
                <w:id w:val="1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Medication regimen 4"/>
                <w:tag w:val="VAL-803-c1-Medication regimen-4"/>
                <w:id w:val="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3 C1 Hospital course 1"/>
                <w:tag w:val="VAL-803-c1-Hospital course-1"/>
                <w:id w:val="1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Hospital course 2"/>
                <w:tag w:val="VAL-803-c1-Hospital course-2"/>
                <w:id w:val="1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Hospital course 3"/>
                <w:tag w:val="VAL-803-c1-Hospital course-3"/>
                <w:id w:val="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Hospital course 4"/>
                <w:tag w:val="VAL-803-c1-Hospital course-4"/>
                <w:id w:val="1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3 C1 Chart consistency 1"/>
                <w:tag w:val="VAL-803-c1-Chart consistency-1"/>
                <w:id w:val="1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Chart consistency 2"/>
                <w:tag w:val="VAL-803-c1-Chart consistency-2"/>
                <w:id w:val="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Chart consistency 3"/>
                <w:tag w:val="VAL-803-c1-Chart consistency-3"/>
                <w:id w:val="1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Chart consistency 4"/>
                <w:tag w:val="VAL-803-c1-Chart consistency-4"/>
                <w:id w:val="1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3 C1 Discharge context and follow-up 1"/>
                <w:tag w:val="VAL-803-c1-Discharge context and follow-up-1"/>
                <w:id w:val="1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Discharge context and follow-up 2"/>
                <w:tag w:val="VAL-803-c1-Discharge context and follow-up-2"/>
                <w:id w:val="1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Discharge context and follow-up 3"/>
                <w:tag w:val="VAL-803-c1-Discharge context and follow-up-3"/>
                <w:id w:val="1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Discharge context and follow-up 4"/>
                <w:tag w:val="VAL-803-c1-Discharge context and follow-up-4"/>
                <w:id w:val="1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3 c1-overall Pass"/>
                <w:tag w:val="VAL-803-c1-overall-Pass"/>
                <w:id w:val="1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3 c1-overall Fail"/>
                <w:tag w:val="VAL-803-c1-overall-Fail"/>
                <w:id w:val="1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3-c1-comment"/>
              <w:id w:val="15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3 c2 Pass"/>
                <w:tag w:val="VAL-803-c2-Pass"/>
                <w:id w:val="1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3 c2 Fail"/>
                <w:tag w:val="VAL-803-c2-Fail"/>
                <w:id w:val="1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3-c2-comment"/>
              <w:id w:val="15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stop</w:t>
            </w:r>
          </w:p>
        </w:tc>
        <w:tc>
          <w:tcPr>
            <w:tcW w:type="dxa" w:w="2592"/>
            <w:vAlign w:val="top"/>
          </w:tcPr>
          <w:p>
            <w:pPr>
              <w:spacing w:after="20" w:before="20"/>
            </w:pPr>
            <w:r>
              <w:rPr>
                <w:rFonts w:ascii="Calibri" w:hAnsi="Calibri" w:cs="Calibri"/>
                <w:b w:val="0"/>
                <w:sz w:val="20"/>
              </w:rPr>
              <w:t>hydrochlorothiazide 25 MG Oral Tablet</w:t>
            </w:r>
          </w:p>
        </w:tc>
        <w:tc>
          <w:tcPr>
            <w:tcW w:type="dxa" w:w="1152"/>
            <w:vAlign w:val="top"/>
          </w:tcPr>
          <w:p>
            <w:pPr>
              <w:spacing w:after="20" w:before="20"/>
            </w:pPr>
            <w:r>
              <w:rPr>
                <w:rFonts w:ascii="Calibri" w:hAnsi="Calibri" w:cs="Calibri"/>
                <w:b w:val="0"/>
                <w:sz w:val="20"/>
              </w:rPr>
              <w:t>25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lisinopril 10 MG Oral Tablet</w:t>
            </w:r>
          </w:p>
        </w:tc>
        <w:tc>
          <w:tcPr>
            <w:tcW w:type="dxa" w:w="1152"/>
            <w:vAlign w:val="top"/>
          </w:tcPr>
          <w:p>
            <w:pPr>
              <w:spacing w:after="20" w:before="20"/>
            </w:pPr>
            <w:r>
              <w:rPr>
                <w:rFonts w:ascii="Calibri" w:hAnsi="Calibri" w:cs="Calibri"/>
                <w:b w:val="0"/>
                <w:sz w:val="20"/>
              </w:rPr>
              <w:t>10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metformin hydrochloride 500 MG Oral Tablet</w:t>
            </w:r>
          </w:p>
        </w:tc>
        <w:tc>
          <w:tcPr>
            <w:tcW w:type="dxa" w:w="1152"/>
            <w:vAlign w:val="top"/>
          </w:tcPr>
          <w:p>
            <w:pPr>
              <w:spacing w:after="20" w:before="20"/>
            </w:pPr>
            <w:r>
              <w:rPr>
                <w:rFonts w:ascii="Calibri" w:hAnsi="Calibri" w:cs="Calibri"/>
                <w:b w:val="0"/>
                <w:sz w:val="20"/>
              </w:rPr>
              <w:t>500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twice daily</w:t>
            </w:r>
          </w:p>
        </w:tc>
        <w:tc>
          <w:tcPr>
            <w:tcW w:type="dxa" w:w="2304"/>
            <w:vAlign w:val="top"/>
          </w:tcPr>
          <w:p>
            <w:pPr>
              <w:spacing w:after="20" w:before="20"/>
            </w:pPr>
            <w:r>
              <w:rPr>
                <w:rFonts w:ascii="Calibri" w:hAnsi="Calibri" w:cs="Calibri"/>
                <w:b w:val="0"/>
                <w:sz w:val="20"/>
              </w:rPr>
              <w:t>Type 2 diabetes mellitus without complications</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hydrochlorothiazide 25 MG Oral Tablet</w:t>
            </w:r>
          </w:p>
        </w:tc>
        <w:tc>
          <w:tcPr>
            <w:tcW w:type="dxa" w:w="2016"/>
            <w:vAlign w:val="top"/>
          </w:tcPr>
          <w:p>
            <w:pPr>
              <w:spacing w:after="20" w:before="20"/>
            </w:pPr>
            <w:r>
              <w:rPr>
                <w:rFonts w:ascii="Calibri" w:hAnsi="Calibri" w:cs="Calibri"/>
                <w:b w:val="0"/>
                <w:sz w:val="20"/>
              </w:rPr>
              <w:t>restart</w:t>
            </w:r>
          </w:p>
        </w:tc>
        <w:tc>
          <w:tcPr>
            <w:tcW w:type="dxa" w:w="4608"/>
            <w:vAlign w:val="top"/>
          </w:tcPr>
          <w:p>
            <w:pPr>
              <w:spacing w:after="20" w:before="20"/>
            </w:pPr>
            <w:r>
              <w:rPr>
                <w:rFonts w:ascii="Calibri" w:hAnsi="Calibri" w:cs="Calibri"/>
                <w:b w:val="0"/>
                <w:sz w:val="20"/>
              </w:rPr>
              <w:t>Restart is acceptable only with planned sodium checks if blood pressure is not controlled on lisinopril alone. The reference does not restart it.</w:t>
            </w:r>
          </w:p>
        </w:tc>
      </w:tr>
      <w:tr>
        <w:trPr>
          <w:cantSplit/>
        </w:trPr>
        <w:tc>
          <w:tcPr>
            <w:tcW w:type="dxa" w:w="3168"/>
            <w:vAlign w:val="top"/>
          </w:tcPr>
          <w:p>
            <w:pPr>
              <w:spacing w:after="20" w:before="20"/>
            </w:pPr>
            <w:r>
              <w:rPr>
                <w:rFonts w:ascii="Calibri" w:hAnsi="Calibri" w:cs="Calibri"/>
                <w:b w:val="0"/>
                <w:sz w:val="20"/>
              </w:rPr>
              <w:t>lisinopril 10 MG Oral Tablet</w:t>
            </w:r>
          </w:p>
        </w:tc>
        <w:tc>
          <w:tcPr>
            <w:tcW w:type="dxa" w:w="2016"/>
            <w:vAlign w:val="top"/>
          </w:tcPr>
          <w:p>
            <w:pPr>
              <w:spacing w:after="20" w:before="20"/>
            </w:pPr>
            <w:r>
              <w:rPr>
                <w:rFonts w:ascii="Calibri" w:hAnsi="Calibri" w:cs="Calibri"/>
                <w:b w:val="0"/>
                <w:sz w:val="20"/>
              </w:rPr>
              <w:t>hold</w:t>
            </w:r>
          </w:p>
        </w:tc>
        <w:tc>
          <w:tcPr>
            <w:tcW w:type="dxa" w:w="4608"/>
            <w:vAlign w:val="top"/>
          </w:tcPr>
          <w:p>
            <w:pPr>
              <w:spacing w:after="20" w:before="20"/>
            </w:pPr>
            <w:r>
              <w:rPr>
                <w:rFonts w:ascii="Calibri" w:hAnsi="Calibri" w:cs="Calibri"/>
                <w:b w:val="0"/>
                <w:sz w:val="20"/>
              </w:rPr>
              <w:t>Hold is acceptable if the rise from 1.0 mg/dL to 1.2 mg/dL is judged to be acute kidney injury. The reference keeps the 30-day supply.</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Admission sodium is 128 mmol/L and discharge sodium is 135 mmol/L. Hydrochlorothiazide is on the home list and was not given after the admission sodium. Creatinine is 1.0 mg/dL then 1.2 mg/dL. Should hydrochlorothiazide be restarted, and should lisinopril be continued or held?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03-adjudication"/>
              <w:id w:val="1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3 c3 Pass"/>
                <w:tag w:val="VAL-803-c3-Pass"/>
                <w:id w:val="1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3 c3 Fail"/>
                <w:tag w:val="VAL-803-c3-Fail"/>
                <w:id w:val="1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3 c4 No"/>
                <w:tag w:val="VAL-803-c4-No"/>
                <w:id w:val="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3 c4 Yes"/>
                <w:tag w:val="VAL-803-c4-Yes"/>
                <w:id w:val="1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3 c5-issue No"/>
                <w:tag w:val="VAL-803-c5-issue-No"/>
                <w:id w:val="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3 c5-issue Yes"/>
                <w:tag w:val="VAL-803-c5-issue-Yes"/>
                <w:id w:val="1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3 c5-leak No"/>
                <w:tag w:val="VAL-803-c5-leak-No"/>
                <w:id w:val="1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3 c5-leak Yes"/>
                <w:tag w:val="VAL-803-c5-leak-Yes"/>
                <w:id w:val="1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3-c5-comment"/>
              <w:id w:val="16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3 c6 Easy"/>
                <w:tag w:val="VAL-803-c6-Easy"/>
                <w:id w:val="1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3 c6 Moderate"/>
                <w:tag w:val="VAL-803-c6-Moderate"/>
                <w:id w:val="1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3 c6 Hard"/>
                <w:tag w:val="VAL-803-c6-Hard"/>
                <w:id w:val="1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3 c6 Inappropriate or outlier"/>
                <w:tag w:val="VAL-803-c6-Inappropriate or outlier"/>
                <w:id w:val="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3 overall Accept"/>
                <w:tag w:val="VAL-803-overall-Accept"/>
                <w:id w:val="1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3 overall Revise"/>
                <w:tag w:val="VAL-803-overall-Revise"/>
                <w:id w:val="1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3 overall Exclude"/>
                <w:tag w:val="VAL-803-overall-Exclude"/>
                <w:id w:val="1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3-overall-comment"/>
              <w:id w:val="17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3-reviewer"/>
          <w:id w:val="173"/>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3-date"/>
          <w:id w:val="17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Several issues – delirium diagnosis is unclear (delirium due to known physiologic condition), cause is not revealed during the hospital course. Medication list is fine but no changes that need to be made at discharge. Her creatinine changes so this might be considered clinically relevant or why the patient receives only 7 days of lisinopril.</w:t>
            </w:r>
          </w:p>
        </w:tc>
      </w:tr>
    </w:tbl>
    <w:p>
      <w:pPr>
        <w:spacing w:after="40"/>
      </w:pPr>
    </w:p>
    <w:p>
      <w:pPr>
        <w:spacing w:after="120"/>
      </w:pPr>
      <w:r>
        <w:rPr>
          <w:rFonts w:ascii="Calibri" w:hAnsi="Calibri" w:cs="Calibri"/>
          <w:b w:val="0"/>
          <w:sz w:val="22"/>
        </w:rPr>
        <w:t>C2 question: 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C2: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C3 question: Could an internal-medicine resident identify and resolve the intended problem using only the clinical information provided in the patient-facing case?</w:t>
      </w:r>
    </w:p>
    <w:p>
      <w:pPr>
        <w:spacing w:after="120"/>
      </w:pPr>
      <w:r>
        <w:rPr>
          <w:rFonts w:ascii="Calibri" w:hAnsi="Calibri" w:cs="Calibri"/>
          <w:b w:val="0"/>
          <w:sz w:val="22"/>
        </w:rPr>
        <w:t>C3: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C4 question: 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C4: NOT COMPLETED IN ROUND 1</w:t>
      </w:r>
    </w:p>
    <w:p>
      <w:pPr>
        <w:spacing w:after="120"/>
      </w:pPr>
      <w:r>
        <w:rPr>
          <w:rFonts w:ascii="Calibri" w:hAnsi="Calibri" w:cs="Calibri"/>
          <w:b w:val="0"/>
          <w:sz w:val="22"/>
        </w:rPr>
        <w:t>C4 issue: NOT COMPLETED IN ROUND 1</w:t>
      </w:r>
    </w:p>
    <w:p>
      <w:pPr>
        <w:spacing w:after="120"/>
      </w:pPr>
      <w:r>
        <w:rPr>
          <w:rFonts w:ascii="Calibri" w:hAnsi="Calibri" w:cs="Calibri"/>
          <w:b w:val="0"/>
          <w:sz w:val="22"/>
        </w:rPr>
        <w:t>C4 location: NOT COMPLETED IN ROUND 1</w:t>
      </w:r>
    </w:p>
    <w:p>
      <w:pPr>
        <w:spacing w:after="120"/>
      </w:pPr>
      <w:r>
        <w:rPr>
          <w:rFonts w:ascii="Calibri" w:hAnsi="Calibri" w:cs="Calibri"/>
          <w:b w:val="0"/>
          <w:sz w:val="22"/>
        </w:rPr>
        <w:t>C4 clinical meaning: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C5: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Overall recommendation: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Reviewer: NOT COMPLETED IN ROUND 1. Date: NOT COMPLETED IN ROUND 1.</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Fail. “delirium diagnosis is unclear (delirium due to known physiologic condition), cause is not revealed during the hospital course.” Fit between presentation and diagnosis is scored 1. Hospital course is scored 1.</w:t>
            </w:r>
          </w:p>
        </w:tc>
        <w:tc>
          <w:tcPr>
            <w:tcW w:type="dxa" w:w="1512"/>
            <w:vAlign w:val="top"/>
          </w:tcPr>
          <w:p>
            <w:pPr>
              <w:spacing w:after="20" w:before="20"/>
            </w:pPr>
            <w:r>
              <w:rPr>
                <w:rFonts w:ascii="Calibri" w:hAnsi="Calibri" w:cs="Calibri"/>
                <w:b w:val="0"/>
                <w:sz w:val="16"/>
              </w:rPr>
              <w:t>Sodium 128 mmol/L on admission and 135 mmol/L at discharge were added and labeled synthetic. The course does not state the discharge action.</w:t>
            </w:r>
          </w:p>
        </w:tc>
        <w:tc>
          <w:tcPr>
            <w:tcW w:type="dxa" w:w="1368"/>
            <w:vAlign w:val="top"/>
          </w:tcPr>
          <w:p>
            <w:pPr>
              <w:spacing w:after="20" w:before="20"/>
            </w:pPr>
            <w:r>
              <w:rPr>
                <w:rFonts w:ascii="Calibri" w:hAnsi="Calibri" w:cs="Calibri"/>
                <w:b w:val="0"/>
                <w:sz w:val="16"/>
              </w:rPr>
              <w:t>laboratories; presentation; admission note; hospital course; inpatient medications</w:t>
            </w:r>
          </w:p>
        </w:tc>
        <w:tc>
          <w:tcPr>
            <w:tcW w:type="dxa" w:w="1656"/>
            <w:vAlign w:val="top"/>
          </w:tcPr>
          <w:p>
            <w:pPr>
              <w:spacing w:after="20" w:before="20"/>
            </w:pPr>
            <w:r>
              <w:rPr>
                <w:rFonts w:ascii="Calibri" w:hAnsi="Calibri" w:cs="Calibri"/>
                <w:b w:val="0"/>
                <w:sz w:val="16"/>
              </w:rPr>
              <w:t>No sodium is stored. Hydrochlorothiazide is active at home and in the hospital. The course does not name a precipitant.</w:t>
            </w:r>
          </w:p>
        </w:tc>
        <w:tc>
          <w:tcPr>
            <w:tcW w:type="dxa" w:w="1656"/>
            <w:vAlign w:val="top"/>
          </w:tcPr>
          <w:p>
            <w:pPr>
              <w:spacing w:after="20" w:before="20"/>
            </w:pPr>
            <w:r>
              <w:rPr>
                <w:rFonts w:ascii="Calibri" w:hAnsi="Calibri" w:cs="Calibri"/>
                <w:b w:val="0"/>
                <w:sz w:val="16"/>
              </w:rPr>
              <w:t>Admission sodium is 128 mmol/L and discharge sodium is 135 mmol/L. Hydrochlorothiazide is on the home list and the inpatient row is held after the admission sodium. Confusion cleared. The note does not say whether to restart the drug.</w:t>
            </w:r>
          </w:p>
        </w:tc>
        <w:tc>
          <w:tcPr>
            <w:tcW w:type="dxa" w:w="1944"/>
            <w:vAlign w:val="top"/>
          </w:tcPr>
          <w:p>
            <w:pPr>
              <w:spacing w:after="20" w:before="20"/>
            </w:pPr>
            <w:r>
              <w:rPr>
                <w:rFonts w:ascii="Calibri" w:hAnsi="Calibri" w:cs="Calibri"/>
                <w:b w:val="0"/>
                <w:sz w:val="16"/>
              </w:rPr>
              <w:t>The review asked for a cause. Hydrochlorothiazide is already on the list, and thiazide hyponatremia is a recognized cause of neurologic symptoms. The sodium pair is the version 1 pair, kept only as a labeled synthetic addition. It is not a recovered source laboratory. The inpatient hold is visible evidence. The discharge decision is left for the resident. [E1] [E7] [E8] [E21]</w:t>
            </w:r>
          </w:p>
        </w:tc>
      </w:tr>
      <w:tr>
        <w:trPr>
          <w:cantSplit/>
        </w:trPr>
        <w:tc>
          <w:tcPr>
            <w:tcW w:type="dxa" w:w="1656"/>
            <w:vAlign w:val="top"/>
          </w:tcPr>
          <w:p>
            <w:pPr>
              <w:spacing w:after="20" w:before="20"/>
            </w:pPr>
            <w:r>
              <w:rPr>
                <w:rFonts w:ascii="Calibri" w:hAnsi="Calibri" w:cs="Calibri"/>
                <w:b w:val="0"/>
                <w:sz w:val="16"/>
              </w:rPr>
              <w:t>C1: “Medication list is fine but no changes that need to be made at discharge. Her creatinine changes so this might be considered clinically relevant or why the patient receives only 7 days of lisinopril.” C2 through the overall recommendation were not completed.</w:t>
            </w:r>
          </w:p>
        </w:tc>
        <w:tc>
          <w:tcPr>
            <w:tcW w:type="dxa" w:w="1512"/>
            <w:vAlign w:val="top"/>
          </w:tcPr>
          <w:p>
            <w:pPr>
              <w:spacing w:after="20" w:before="20"/>
            </w:pPr>
            <w:r>
              <w:rPr>
                <w:rFonts w:ascii="Calibri" w:hAnsi="Calibri" w:cs="Calibri"/>
                <w:b w:val="0"/>
                <w:sz w:val="16"/>
              </w:rPr>
              <w:t>The 7-day lisinopril supply was not restored. The reference duration remains 30 days. Holding lisinopril is an acceptable alternative. Later Round 1 items stay blank.</w:t>
            </w:r>
          </w:p>
        </w:tc>
        <w:tc>
          <w:tcPr>
            <w:tcW w:type="dxa" w:w="1368"/>
            <w:vAlign w:val="top"/>
          </w:tcPr>
          <w:p>
            <w:pPr>
              <w:spacing w:after="20" w:before="20"/>
            </w:pPr>
            <w:r>
              <w:rPr>
                <w:rFonts w:ascii="Calibri" w:hAnsi="Calibri" w:cs="Calibri"/>
                <w:b w:val="0"/>
                <w:sz w:val="16"/>
              </w:rPr>
              <w:t>reference_discharge_plan; hospital course; Round 1 record</w:t>
            </w:r>
          </w:p>
        </w:tc>
        <w:tc>
          <w:tcPr>
            <w:tcW w:type="dxa" w:w="1656"/>
            <w:vAlign w:val="top"/>
          </w:tcPr>
          <w:p>
            <w:pPr>
              <w:spacing w:after="20" w:before="20"/>
            </w:pPr>
            <w:r>
              <w:rPr>
                <w:rFonts w:ascii="Calibri" w:hAnsi="Calibri" w:cs="Calibri"/>
                <w:b w:val="0"/>
                <w:sz w:val="16"/>
              </w:rPr>
              <w:t>The reviewed readable case shortened lisinopril to 7 days. The clean evaluator duration is 30 days. Creatinine is 1.0 mg/dL then 1.2 mg/dL. C2 through the overall recommendation are blank.</w:t>
            </w:r>
          </w:p>
        </w:tc>
        <w:tc>
          <w:tcPr>
            <w:tcW w:type="dxa" w:w="1656"/>
            <w:vAlign w:val="top"/>
          </w:tcPr>
          <w:p>
            <w:pPr>
              <w:spacing w:after="20" w:before="20"/>
            </w:pPr>
            <w:r>
              <w:rPr>
                <w:rFonts w:ascii="Calibri" w:hAnsi="Calibri" w:cs="Calibri"/>
                <w:b w:val="0"/>
                <w:sz w:val="16"/>
              </w:rPr>
              <w:t>The reference continues lisinopril for 30 days. The resident chart states the creatinine pair and does not state a day supply. Hold is an acceptable alternative. Blank Round 1 items remain NOT COMPLETED IN ROUND 1.</w:t>
            </w:r>
          </w:p>
        </w:tc>
        <w:tc>
          <w:tcPr>
            <w:tcW w:type="dxa" w:w="1944"/>
            <w:vAlign w:val="top"/>
          </w:tcPr>
          <w:p>
            <w:pPr>
              <w:spacing w:after="20" w:before="20"/>
            </w:pPr>
            <w:r>
              <w:rPr>
                <w:rFonts w:ascii="Calibri" w:hAnsi="Calibri" w:cs="Calibri"/>
                <w:b w:val="0"/>
                <w:sz w:val="16"/>
              </w:rPr>
              <w:t>The 7-day supply is the discrepancy the reviewer was shown, not the clean duration. A creatinine rise of 0.2 mg/dL does not by itself select a 7-day supply. The comment that no discharge change was needed described a chart with no precipitant. The sodium addition, which answers the missing-cause comment, is what makes a hydrochlorothiazide decision visible. Blank boxes were not filled in. [E1] [E7]</w:t>
            </w:r>
          </w:p>
        </w:tc>
      </w:tr>
    </w:tbl>
    <w:p>
      <w:pPr>
        <w:spacing w:after="40"/>
      </w:pPr>
    </w:p>
    <w:p>
      <w:pPr>
        <w:pStyle w:val="Heading3"/>
      </w:pPr>
      <w:r>
        <w:rPr>
          <w:rFonts w:ascii="Calibri" w:hAnsi="Calibri"/>
          <w:color w:val="1F3A5F"/>
        </w:rPr>
        <w:t>Evidence references</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[E7] Clean pre-injection VAL-803 evaluator. Lisinopril, hydrochlorothiazide, atorvastatin, and metformin each have a 30-day duration. Creatinine 1.0 mg/dL then 1.2 mg/dL. Potassium 4.4 mmol/L then 4.2 mmol/L. Glucose 149 mg/dL then 129 mg/dL. No sodium is stored. The reviewed readable case, data/case_sets/seed_guided/readable/cases/VAL-803.md, gave lisinopril a 7-day supply. That shortened supply is the earlier discrepancy, not the clean duration.</w:t>
      </w:r>
    </w:p>
    <w:p>
      <w:pPr>
        <w:spacing w:after="120"/>
      </w:pPr>
      <w:r>
        <w:rPr>
          <w:rFonts w:ascii="Calibri" w:hAnsi="Calibri" w:cs="Calibri"/>
          <w:b w:val="0"/>
          <w:sz w:val="22"/>
        </w:rPr>
        <w:t>[E8] Hydrochlorothiazide tablet labeling, DailyMed setid 9f0beacd-4c41-432d-b7d6-e779ae4c1b99, states that thiazides can cause hyponatremia and electrolyte imbalance.</w:t>
      </w:r>
    </w:p>
    <w:p>
      <w:pPr>
        <w:spacing w:after="120"/>
      </w:pPr>
      <w:r>
        <w:rPr>
          <w:rFonts w:ascii="Calibri" w:hAnsi="Calibri" w:cs="Calibri"/>
          <w:b w:val="0"/>
          <w:sz w:val="22"/>
        </w:rPr>
        <w:t>[E21] Spasovski G, Vanholder R, Allolio B, et al. Clinical practice guideline on diagnosis and treatment of hyponatraemia. Eur J Endocrinol. 2014;170:G1-G47. doi:10.1530/EJE-13-1020. Thiazides are a recognized cause of hyponatremia, and hyponatremia can cause neurologic symptoms. This supports the plausibility of the added sodium pair. It does not show that those values were measured in the source chart.</w:t>
      </w:r>
    </w:p>
    <w:p>
      <w:pPr>
        <w:keepNext/>
        <w:pageBreakBefore/>
      </w:pPr>
      <w:r>
        <w:rPr>
          <w:rFonts w:ascii="Calibri" w:hAnsi="Calibri" w:cs="Calibri"/>
          <w:b/>
          <w:color w:val="1F3A5F"/>
          <w:sz w:val="32"/>
        </w:rPr>
        <w:t>CASE VAL-805</w:t>
      </w:r>
    </w:p>
    <w:p>
      <w:pPr>
        <w:spacing w:after="120"/>
      </w:pPr>
      <w:r>
        <w:rPr>
          <w:rFonts w:ascii="Calibri" w:hAnsi="Calibri" w:cs="Calibri"/>
          <w:b w:val="0"/>
          <w:sz w:val="22"/>
        </w:rPr>
        <w:t>Round 2 revised case, version 3. Prepared for re-review.</w:t>
      </w:r>
    </w:p>
    <w:p>
      <w:pPr>
        <w:pStyle w:val="Heading2"/>
      </w:pPr>
      <w:r>
        <w:rPr>
          <w:rFonts w:ascii="Calibri" w:hAnsi="Calibri"/>
          <w:color w:val="1F3A5F"/>
        </w:rPr>
        <w:t>RESIDENT-FACING CHART</w:t>
      </w:r>
    </w:p>
    <w:p>
      <w:pPr>
        <w:spacing w:after="120"/>
      </w:pPr>
      <w:r>
        <w:rPr>
          <w:rFonts w:ascii="Calibri" w:hAnsi="Calibri" w:cs="Calibri"/>
          <w:b w:val="0"/>
          <w:sz w:val="22"/>
        </w:rPr>
        <w:t>This opening chart is the same information the resident would see. It does not include the hidden reference.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68</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Female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Acute systolic (congestive) heart failure</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68-year-old woman admitted with dyspnea, edema, and orthopnea.</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68-year-old woman is admitted with acute systolic heart failure. Dyspnea, edema, and orthopnea have been present for one week. Home medicines are oral furosemide 40 mg once daily, atorvastatin, and metoprolol succinate 25 mg once daily. The inpatient furosemide order is the same oral dose. Weight is 81 kg on admission and 78 kg at discharge. Recorded dry weight is 73 kg.</w:t>
      </w:r>
    </w:p>
    <w:p>
      <w:pPr>
        <w:pStyle w:val="Heading3"/>
      </w:pPr>
      <w:r>
        <w:rPr>
          <w:rFonts w:ascii="Calibri" w:hAnsi="Calibri"/>
          <w:color w:val="1F3A5F"/>
        </w:rPr>
        <w:t>Admission note</w:t>
      </w:r>
    </w:p>
    <w:p>
      <w:pPr>
        <w:spacing w:after="120"/>
      </w:pPr>
      <w:r>
        <w:rPr>
          <w:rFonts w:ascii="Calibri" w:hAnsi="Calibri" w:cs="Calibri"/>
          <w:b w:val="0"/>
          <w:sz w:val="22"/>
        </w:rPr>
        <w:t>Admission note for a 68-year-old woman with acute systolic heart failure. Symptoms are dyspnea, edema, and orthopnea for one week. Home and inpatient furosemide orders are both oral 40 mg once daily. No echocardiogram is recorded.</w:t>
      </w:r>
    </w:p>
    <w:p>
      <w:pPr>
        <w:pStyle w:val="Heading2"/>
      </w:pPr>
      <w:r>
        <w:rPr>
          <w:rFonts w:ascii="Calibri" w:hAnsi="Calibri"/>
          <w:color w:val="1F3A5F"/>
        </w:rPr>
        <w:t>Hospital course</w:t>
      </w:r>
    </w:p>
    <w:p>
      <w:pPr>
        <w:spacing w:after="120"/>
      </w:pPr>
      <w:r>
        <w:rPr>
          <w:rFonts w:ascii="Calibri" w:hAnsi="Calibri" w:cs="Calibri"/>
          <w:b w:val="0"/>
          <w:sz w:val="22"/>
        </w:rPr>
        <w:t>Dyspnea, edema, and orthopnea were present for one week. The chest radiograph shows pulmonary edema without pneumonia. The only recorded furosemide order, at home and in the hospital, is 40 mg oral once daily. Weight is 81 kg on admission and 78 kg at discharge. Dry weight is 73 kg. One intake-and-output day is stored, hospital day 3, with intake 1418 mL, output 2463 mL, and net -1045 mL. Creatinine is 1.7 mg/dL then 0.9 mg/dL. Potassium is 4.7 mmol/L then 4.3 mmol/L. B-type natriuretic peptide is 1120 pg/mL then 369 pg/mL. Blood pressure is 109/82 mmHg then 110/84 mmHg. Oxygen saturation is 92 percent then 98 percent. No echocardiogram and no ejection fraction are recorded. Metoprolol succinate 25 mg daily is the recorded home and inpatient dose.</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Acute systolic (congestive) heart failure</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109/82</w:t>
            </w:r>
          </w:p>
        </w:tc>
        <w:tc>
          <w:tcPr>
            <w:tcW w:type="dxa" w:w="1440"/>
            <w:vAlign w:val="top"/>
          </w:tcPr>
          <w:p>
            <w:pPr>
              <w:spacing w:after="20" w:before="20"/>
            </w:pPr>
            <w:r>
              <w:rPr>
                <w:rFonts w:ascii="Calibri" w:hAnsi="Calibri" w:cs="Calibri"/>
                <w:b w:val="0"/>
                <w:sz w:val="20"/>
              </w:rPr>
              <w:t>93</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92.00 %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110/84</w:t>
            </w:r>
          </w:p>
        </w:tc>
        <w:tc>
          <w:tcPr>
            <w:tcW w:type="dxa" w:w="1440"/>
            <w:vAlign w:val="top"/>
          </w:tcPr>
          <w:p>
            <w:pPr>
              <w:spacing w:after="20" w:before="20"/>
            </w:pPr>
            <w:r>
              <w:rPr>
                <w:rFonts w:ascii="Calibri" w:hAnsi="Calibri" w:cs="Calibri"/>
                <w:b w:val="0"/>
                <w:sz w:val="20"/>
              </w:rPr>
              <w:t>69</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1.7</w:t>
            </w:r>
          </w:p>
        </w:tc>
        <w:tc>
          <w:tcPr>
            <w:tcW w:type="dxa" w:w="2448"/>
            <w:vAlign w:val="top"/>
          </w:tcPr>
          <w:p>
            <w:pPr>
              <w:spacing w:after="20" w:before="20"/>
            </w:pPr>
            <w:r>
              <w:rPr>
                <w:rFonts w:ascii="Calibri" w:hAnsi="Calibri" w:cs="Calibri"/>
                <w:b w:val="0"/>
                <w:sz w:val="20"/>
              </w:rPr>
              <w:t>0.9</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Potassium [Moles/volume] in Serum or Plasma</w:t>
            </w:r>
          </w:p>
        </w:tc>
        <w:tc>
          <w:tcPr>
            <w:tcW w:type="dxa" w:w="2448"/>
            <w:vAlign w:val="top"/>
          </w:tcPr>
          <w:p>
            <w:pPr>
              <w:spacing w:after="20" w:before="20"/>
            </w:pPr>
            <w:r>
              <w:rPr>
                <w:rFonts w:ascii="Calibri" w:hAnsi="Calibri" w:cs="Calibri"/>
                <w:b w:val="0"/>
                <w:sz w:val="20"/>
              </w:rPr>
              <w:t>4.7</w:t>
            </w:r>
          </w:p>
        </w:tc>
        <w:tc>
          <w:tcPr>
            <w:tcW w:type="dxa" w:w="2448"/>
            <w:vAlign w:val="top"/>
          </w:tcPr>
          <w:p>
            <w:pPr>
              <w:spacing w:after="20" w:before="20"/>
            </w:pPr>
            <w:r>
              <w:rPr>
                <w:rFonts w:ascii="Calibri" w:hAnsi="Calibri" w:cs="Calibri"/>
                <w:b w:val="0"/>
                <w:sz w:val="20"/>
              </w:rPr>
              <w:t>4.3</w:t>
            </w:r>
          </w:p>
        </w:tc>
        <w:tc>
          <w:tcPr>
            <w:tcW w:type="dxa" w:w="1152"/>
            <w:vAlign w:val="top"/>
          </w:tcPr>
          <w:p>
            <w:pPr>
              <w:spacing w:after="20" w:before="20"/>
            </w:pPr>
            <w:r>
              <w:rPr>
                <w:rFonts w:ascii="Calibri" w:hAnsi="Calibri" w:cs="Calibri"/>
                <w:b w:val="0"/>
                <w:sz w:val="20"/>
              </w:rPr>
              <w:t>mmol/L</w:t>
            </w:r>
          </w:p>
        </w:tc>
      </w:tr>
      <w:tr>
        <w:trPr>
          <w:cantSplit/>
        </w:trPr>
        <w:tc>
          <w:tcPr>
            <w:tcW w:type="dxa" w:w="3744"/>
            <w:vAlign w:val="top"/>
          </w:tcPr>
          <w:p>
            <w:pPr>
              <w:spacing w:after="20" w:before="20"/>
            </w:pPr>
            <w:r>
              <w:rPr>
                <w:rFonts w:ascii="Calibri" w:hAnsi="Calibri" w:cs="Calibri"/>
                <w:b w:val="0"/>
                <w:sz w:val="20"/>
              </w:rPr>
              <w:t>Natriuretic peptide B [Mass/volume] in Serum or Plasma</w:t>
            </w:r>
          </w:p>
        </w:tc>
        <w:tc>
          <w:tcPr>
            <w:tcW w:type="dxa" w:w="2448"/>
            <w:vAlign w:val="top"/>
          </w:tcPr>
          <w:p>
            <w:pPr>
              <w:spacing w:after="20" w:before="20"/>
            </w:pPr>
            <w:r>
              <w:rPr>
                <w:rFonts w:ascii="Calibri" w:hAnsi="Calibri" w:cs="Calibri"/>
                <w:b w:val="0"/>
                <w:sz w:val="20"/>
              </w:rPr>
              <w:t>1120.0</w:t>
            </w:r>
          </w:p>
        </w:tc>
        <w:tc>
          <w:tcPr>
            <w:tcW w:type="dxa" w:w="2448"/>
            <w:vAlign w:val="top"/>
          </w:tcPr>
          <w:p>
            <w:pPr>
              <w:spacing w:after="20" w:before="20"/>
            </w:pPr>
            <w:r>
              <w:rPr>
                <w:rFonts w:ascii="Calibri" w:hAnsi="Calibri" w:cs="Calibri"/>
                <w:b w:val="0"/>
                <w:sz w:val="20"/>
              </w:rPr>
              <w:t>369.0</w:t>
            </w:r>
          </w:p>
        </w:tc>
        <w:tc>
          <w:tcPr>
            <w:tcW w:type="dxa" w:w="1152"/>
            <w:vAlign w:val="top"/>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81.000</w:t>
            </w:r>
          </w:p>
        </w:tc>
        <w:tc>
          <w:tcPr>
            <w:tcW w:type="dxa" w:w="3312"/>
            <w:vAlign w:val="top"/>
          </w:tcPr>
          <w:p>
            <w:pPr>
              <w:spacing w:after="20" w:before="20"/>
            </w:pPr>
            <w:r>
              <w:rPr>
                <w:rFonts w:ascii="Calibri" w:hAnsi="Calibri" w:cs="Calibri"/>
                <w:b w:val="0"/>
                <w:sz w:val="20"/>
              </w:rPr>
            </w:r>
          </w:p>
        </w:tc>
      </w:tr>
      <w:tr>
        <w:trPr>
          <w:cantSplit/>
        </w:trPr>
        <w:tc>
          <w:tcPr>
            <w:tcW w:type="dxa" w:w="3168"/>
            <w:vAlign w:val="top"/>
          </w:tcPr>
          <w:p>
            <w:pPr>
              <w:spacing w:after="20" w:before="20"/>
            </w:pPr>
            <w:r>
              <w:rPr>
                <w:rFonts w:ascii="Calibri" w:hAnsi="Calibri" w:cs="Calibri"/>
                <w:b w:val="0"/>
                <w:sz w:val="20"/>
              </w:rPr>
              <w:t>discharge</w:t>
            </w:r>
          </w:p>
        </w:tc>
        <w:tc>
          <w:tcPr>
            <w:tcW w:type="dxa" w:w="3312"/>
            <w:vAlign w:val="top"/>
          </w:tcPr>
          <w:p>
            <w:pPr>
              <w:spacing w:after="20" w:before="20"/>
            </w:pPr>
            <w:r>
              <w:rPr>
                <w:rFonts w:ascii="Calibri" w:hAnsi="Calibri" w:cs="Calibri"/>
                <w:b w:val="0"/>
                <w:sz w:val="20"/>
              </w:rPr>
              <w:t>78.000</w:t>
            </w:r>
          </w:p>
        </w:tc>
        <w:tc>
          <w:tcPr>
            <w:tcW w:type="dxa" w:w="3312"/>
            <w:vAlign w:val="top"/>
          </w:tcPr>
          <w:p>
            <w:pPr>
              <w:spacing w:after="20" w:before="20"/>
            </w:pPr>
            <w:r>
              <w:rPr>
                <w:rFonts w:ascii="Calibri" w:hAnsi="Calibri" w:cs="Calibri"/>
                <w:b w:val="0"/>
                <w:sz w:val="20"/>
              </w:rPr>
              <w:t>73.000</w:t>
            </w:r>
          </w:p>
        </w:tc>
      </w:tr>
    </w:tbl>
    <w:p>
      <w:pPr>
        <w:spacing w:after="40"/>
      </w:pP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vAlign w:val="top"/>
          </w:tcPr>
          <w:p>
            <w:pPr>
              <w:spacing w:after="20" w:before="20"/>
            </w:pPr>
            <w:r>
              <w:rPr>
                <w:rFonts w:ascii="Calibri" w:hAnsi="Calibri" w:cs="Calibri"/>
                <w:b w:val="0"/>
                <w:sz w:val="20"/>
              </w:rPr>
              <w:t>hospital day 3</w:t>
            </w:r>
          </w:p>
        </w:tc>
        <w:tc>
          <w:tcPr>
            <w:tcW w:type="dxa" w:w="2448"/>
            <w:vAlign w:val="top"/>
          </w:tcPr>
          <w:p>
            <w:pPr>
              <w:spacing w:after="20" w:before="20"/>
            </w:pPr>
            <w:r>
              <w:rPr>
                <w:rFonts w:ascii="Calibri" w:hAnsi="Calibri" w:cs="Calibri"/>
                <w:b w:val="0"/>
                <w:sz w:val="20"/>
              </w:rPr>
              <w:t>1418</w:t>
            </w:r>
          </w:p>
        </w:tc>
        <w:tc>
          <w:tcPr>
            <w:tcW w:type="dxa" w:w="2448"/>
            <w:vAlign w:val="top"/>
          </w:tcPr>
          <w:p>
            <w:pPr>
              <w:spacing w:after="20" w:before="20"/>
            </w:pPr>
            <w:r>
              <w:rPr>
                <w:rFonts w:ascii="Calibri" w:hAnsi="Calibri" w:cs="Calibri"/>
                <w:b w:val="0"/>
                <w:sz w:val="20"/>
              </w:rPr>
              <w:t>2463</w:t>
            </w:r>
          </w:p>
        </w:tc>
        <w:tc>
          <w:tcPr>
            <w:tcW w:type="dxa" w:w="2448"/>
            <w:vAlign w:val="top"/>
          </w:tcPr>
          <w:p>
            <w:pPr>
              <w:spacing w:after="20" w:before="20"/>
            </w:pPr>
            <w:r>
              <w:rPr>
                <w:rFonts w:ascii="Calibri" w:hAnsi="Calibri" w:cs="Calibri"/>
                <w:b w:val="0"/>
                <w:sz w:val="20"/>
              </w:rPr>
              <w:t>-1045</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24 HR metoprolol succinate 25 MG Extended Release Oral Tablet</w:t>
            </w:r>
          </w:p>
        </w:tc>
        <w:tc>
          <w:tcPr>
            <w:tcW w:type="dxa" w:w="1296"/>
            <w:vAlign w:val="top"/>
          </w:tcPr>
          <w:p>
            <w:pPr>
              <w:spacing w:after="20" w:before="20"/>
            </w:pPr>
            <w:r>
              <w:rPr>
                <w:rFonts w:ascii="Calibri" w:hAnsi="Calibri" w:cs="Calibri"/>
                <w:b w:val="0"/>
                <w:sz w:val="20"/>
              </w:rPr>
              <w:t>25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systolic (congestive) heart failure</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furosemide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24 HR metoprolol succinate 25 MG Extended Release Oral Tablet</w:t>
            </w:r>
          </w:p>
        </w:tc>
        <w:tc>
          <w:tcPr>
            <w:tcW w:type="dxa" w:w="1296"/>
            <w:vAlign w:val="top"/>
          </w:tcPr>
          <w:p>
            <w:pPr>
              <w:spacing w:after="20" w:before="20"/>
            </w:pPr>
            <w:r>
              <w:rPr>
                <w:rFonts w:ascii="Calibri" w:hAnsi="Calibri" w:cs="Calibri"/>
                <w:b w:val="0"/>
                <w:sz w:val="20"/>
              </w:rPr>
              <w:t>25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systolic (congestive) heart failure</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furosemide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vAlign w:val="top"/>
          </w:tcPr>
          <w:p>
            <w:pPr>
              <w:spacing w:after="20" w:before="20"/>
            </w:pPr>
            <w:r>
              <w:rPr>
                <w:rFonts w:ascii="Calibri" w:hAnsi="Calibri" w:cs="Calibri"/>
                <w:b w:val="0"/>
                <w:sz w:val="20"/>
              </w:rPr>
              <w:t>Chest radiograph</w:t>
            </w:r>
          </w:p>
        </w:tc>
        <w:tc>
          <w:tcPr>
            <w:tcW w:type="dxa" w:w="3264"/>
            <w:vAlign w:val="top"/>
          </w:tcPr>
          <w:p>
            <w:pPr>
              <w:spacing w:after="20" w:before="20"/>
            </w:pPr>
            <w:r>
              <w:rPr>
                <w:rFonts w:ascii="Calibri" w:hAnsi="Calibri" w:cs="Calibri"/>
                <w:b w:val="0"/>
                <w:sz w:val="20"/>
              </w:rPr>
              <w:t>admission</w:t>
            </w:r>
          </w:p>
        </w:tc>
        <w:tc>
          <w:tcPr>
            <w:tcW w:type="dxa" w:w="3264"/>
            <w:vAlign w:val="top"/>
          </w:tcPr>
          <w:p>
            <w:pPr>
              <w:spacing w:after="20" w:before="20"/>
            </w:pPr>
            <w:r>
              <w:rPr>
                <w:rFonts w:ascii="Calibri" w:hAnsi="Calibri" w:cs="Calibri"/>
                <w:b w:val="0"/>
                <w:sz w:val="20"/>
              </w:rPr>
              <w:t>Pulmonary edema without pneumonia.</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Service</w:t>
            </w:r>
          </w:p>
        </w:tc>
        <w:tc>
          <w:tcPr>
            <w:tcW w:type="dxa" w:w="3264"/>
            <w:shd w:val="clear" w:color="auto" w:fill="D9E2F3"/>
          </w:tcPr>
          <w:p>
            <w:pPr>
              <w:spacing w:after="20" w:before="20"/>
            </w:pPr>
            <w:r>
              <w:rPr>
                <w:rFonts w:ascii="Calibri" w:hAnsi="Calibri" w:cs="Calibri"/>
                <w:b/>
                <w:sz w:val="20"/>
              </w:rPr>
              <w:t>Assessment</w:t>
            </w:r>
          </w:p>
        </w:tc>
        <w:tc>
          <w:tcPr>
            <w:tcW w:type="dxa" w:w="3264"/>
            <w:shd w:val="clear" w:color="auto" w:fill="D9E2F3"/>
          </w:tcPr>
          <w:p>
            <w:pPr>
              <w:spacing w:after="20" w:before="20"/>
            </w:pPr>
            <w:r>
              <w:rPr>
                <w:rFonts w:ascii="Calibri" w:hAnsi="Calibri" w:cs="Calibri"/>
                <w:b/>
                <w:sz w:val="20"/>
              </w:rPr>
              <w:t>Recommendation</w:t>
            </w:r>
          </w:p>
        </w:tc>
      </w:tr>
      <w:tr>
        <w:trPr>
          <w:cantSplit/>
        </w:trPr>
        <w:tc>
          <w:tcPr>
            <w:tcW w:type="dxa" w:w="3264"/>
            <w:vAlign w:val="top"/>
          </w:tcPr>
          <w:p>
            <w:pPr>
              <w:spacing w:after="20" w:before="20"/>
            </w:pPr>
            <w:r>
              <w:rPr>
                <w:rFonts w:ascii="Calibri" w:hAnsi="Calibri" w:cs="Calibri"/>
                <w:b w:val="0"/>
                <w:sz w:val="20"/>
              </w:rPr>
              <w:t>cardiology</w:t>
            </w:r>
          </w:p>
        </w:tc>
        <w:tc>
          <w:tcPr>
            <w:tcW w:type="dxa" w:w="3264"/>
            <w:vAlign w:val="top"/>
          </w:tcPr>
          <w:p>
            <w:pPr>
              <w:spacing w:after="20" w:before="20"/>
            </w:pPr>
            <w:r>
              <w:rPr>
                <w:rFonts w:ascii="Calibri" w:hAnsi="Calibri" w:cs="Calibri"/>
                <w:b w:val="0"/>
                <w:sz w:val="20"/>
              </w:rPr>
              <w:t>Pulmonary edema is present on the chest radiograph. No ejection fraction is recorded.</w:t>
            </w:r>
          </w:p>
        </w:tc>
        <w:tc>
          <w:tcPr>
            <w:tcW w:type="dxa" w:w="3264"/>
            <w:vAlign w:val="top"/>
          </w:tcPr>
          <w:p>
            <w:pPr>
              <w:spacing w:after="20" w:before="20"/>
            </w:pPr>
            <w:r>
              <w:rPr>
                <w:rFonts w:ascii="Calibri" w:hAnsi="Calibri" w:cs="Calibri"/>
                <w:b w:val="0"/>
                <w:sz w:val="20"/>
              </w:rPr>
              <w:t>No echocardiogram is recorded. This consultation does not record a medication order.</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Heart-failure clinic follow-up</w:t>
            </w:r>
          </w:p>
        </w:tc>
        <w:tc>
          <w:tcPr>
            <w:tcW w:type="dxa" w:w="3264"/>
            <w:vAlign w:val="top"/>
          </w:tcPr>
          <w:p>
            <w:pPr>
              <w:spacing w:after="20" w:before="20"/>
            </w:pPr>
            <w:r>
              <w:rPr>
                <w:rFonts w:ascii="Calibri" w:hAnsi="Calibri" w:cs="Calibri"/>
                <w:b w:val="0"/>
                <w:sz w:val="20"/>
              </w:rPr>
              <w:t>7 days</w:t>
            </w:r>
          </w:p>
        </w:tc>
        <w:tc>
          <w:tcPr>
            <w:tcW w:type="dxa" w:w="3264"/>
            <w:vAlign w:val="top"/>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5 C1 Presentation and demographics 1"/>
                <w:tag w:val="VAL-805-c1-Presentation and demographics-1"/>
                <w:id w:val="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Presentation and demographics 2"/>
                <w:tag w:val="VAL-805-c1-Presentation and demographics-2"/>
                <w:id w:val="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Presentation and demographics 3"/>
                <w:tag w:val="VAL-805-c1-Presentation and demographics-3"/>
                <w:id w:val="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Presentation and demographics 4"/>
                <w:tag w:val="VAL-805-c1-Presentation and demographics-4"/>
                <w:id w:val="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5 C1 Fit between presentation and diagnosis 1"/>
                <w:tag w:val="VAL-805-c1-Fit between presentation and diagnosis-1"/>
                <w:id w:val="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Fit between presentation and diagnosis 2"/>
                <w:tag w:val="VAL-805-c1-Fit between presentation and diagnosis-2"/>
                <w:id w:val="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Fit between presentation and diagnosis 3"/>
                <w:tag w:val="VAL-805-c1-Fit between presentation and diagnosis-3"/>
                <w:id w:val="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Fit between presentation and diagnosis 4"/>
                <w:tag w:val="VAL-805-c1-Fit between presentation and diagnosis-4"/>
                <w:id w:val="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5 C1 Vital signs 1"/>
                <w:tag w:val="VAL-805-c1-Vital signs-1"/>
                <w:id w:val="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Vital signs 2"/>
                <w:tag w:val="VAL-805-c1-Vital signs-2"/>
                <w:id w:val="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Vital signs 3"/>
                <w:tag w:val="VAL-805-c1-Vital signs-3"/>
                <w:id w:val="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Vital signs 4"/>
                <w:tag w:val="VAL-805-c1-Vital signs-4"/>
                <w:id w:val="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5 C1 Laboratory findings 1"/>
                <w:tag w:val="VAL-805-c1-Laboratory findings-1"/>
                <w:id w:val="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Laboratory findings 2"/>
                <w:tag w:val="VAL-805-c1-Laboratory findings-2"/>
                <w:id w:val="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Laboratory findings 3"/>
                <w:tag w:val="VAL-805-c1-Laboratory findings-3"/>
                <w:id w:val="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Laboratory findings 4"/>
                <w:tag w:val="VAL-805-c1-Laboratory findings-4"/>
                <w:id w:val="1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5 C1 Medication regimen 1"/>
                <w:tag w:val="VAL-805-c1-Medication regimen-1"/>
                <w:id w:val="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Medication regimen 2"/>
                <w:tag w:val="VAL-805-c1-Medication regimen-2"/>
                <w:id w:val="1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Medication regimen 3"/>
                <w:tag w:val="VAL-805-c1-Medication regimen-3"/>
                <w:id w:val="1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Medication regimen 4"/>
                <w:tag w:val="VAL-805-c1-Medication regimen-4"/>
                <w:id w:val="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5 C1 Hospital course 1"/>
                <w:tag w:val="VAL-805-c1-Hospital course-1"/>
                <w:id w:val="1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Hospital course 2"/>
                <w:tag w:val="VAL-805-c1-Hospital course-2"/>
                <w:id w:val="1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Hospital course 3"/>
                <w:tag w:val="VAL-805-c1-Hospital course-3"/>
                <w:id w:val="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Hospital course 4"/>
                <w:tag w:val="VAL-805-c1-Hospital course-4"/>
                <w:id w:val="1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5 C1 Chart consistency 1"/>
                <w:tag w:val="VAL-805-c1-Chart consistency-1"/>
                <w:id w:val="1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Chart consistency 2"/>
                <w:tag w:val="VAL-805-c1-Chart consistency-2"/>
                <w:id w:val="2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Chart consistency 3"/>
                <w:tag w:val="VAL-805-c1-Chart consistency-3"/>
                <w:id w:val="2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Chart consistency 4"/>
                <w:tag w:val="VAL-805-c1-Chart consistency-4"/>
                <w:id w:val="2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5 C1 Discharge context and follow-up 1"/>
                <w:tag w:val="VAL-805-c1-Discharge context and follow-up-1"/>
                <w:id w:val="2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Discharge context and follow-up 2"/>
                <w:tag w:val="VAL-805-c1-Discharge context and follow-up-2"/>
                <w:id w:val="2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Discharge context and follow-up 3"/>
                <w:tag w:val="VAL-805-c1-Discharge context and follow-up-3"/>
                <w:id w:val="2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Discharge context and follow-up 4"/>
                <w:tag w:val="VAL-805-c1-Discharge context and follow-up-4"/>
                <w:id w:val="2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5 c1-overall Pass"/>
                <w:tag w:val="VAL-805-c1-overall-Pass"/>
                <w:id w:val="2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5 c1-overall Fail"/>
                <w:tag w:val="VAL-805-c1-overall-Fail"/>
                <w:id w:val="2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5-c1-comment"/>
              <w:id w:val="20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5 c2 Pass"/>
                <w:tag w:val="VAL-805-c2-Pass"/>
                <w:id w:val="2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5 c2 Fail"/>
                <w:tag w:val="VAL-805-c2-Fail"/>
                <w:id w:val="2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5-c2-comment"/>
              <w:id w:val="21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24 HR metoprolol succinate 25 MG Extended Release Oral Tablet</w:t>
            </w:r>
          </w:p>
        </w:tc>
        <w:tc>
          <w:tcPr>
            <w:tcW w:type="dxa" w:w="1152"/>
            <w:vAlign w:val="top"/>
          </w:tcPr>
          <w:p>
            <w:pPr>
              <w:spacing w:after="20" w:before="20"/>
            </w:pPr>
            <w:r>
              <w:rPr>
                <w:rFonts w:ascii="Calibri" w:hAnsi="Calibri" w:cs="Calibri"/>
                <w:b w:val="0"/>
                <w:sz w:val="20"/>
              </w:rPr>
              <w:t>25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Acute systolic (congestive) heart failure</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furosemide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Acute systolic (congestive) heart failure</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furosemide 40 MG Oral Tablet</w:t>
            </w:r>
          </w:p>
        </w:tc>
        <w:tc>
          <w:tcPr>
            <w:tcW w:type="dxa" w:w="2016"/>
            <w:vAlign w:val="top"/>
          </w:tcPr>
          <w:p>
            <w:pPr>
              <w:spacing w:after="20" w:before="20"/>
            </w:pPr>
            <w:r>
              <w:rPr>
                <w:rFonts w:ascii="Calibri" w:hAnsi="Calibri" w:cs="Calibri"/>
                <w:b w:val="0"/>
                <w:sz w:val="20"/>
              </w:rPr>
              <w:t>modify</w:t>
            </w:r>
          </w:p>
        </w:tc>
        <w:tc>
          <w:tcPr>
            <w:tcW w:type="dxa" w:w="4608"/>
            <w:vAlign w:val="top"/>
          </w:tcPr>
          <w:p>
            <w:pPr>
              <w:spacing w:after="20" w:before="20"/>
            </w:pPr>
            <w:r>
              <w:rPr>
                <w:rFonts w:ascii="Calibri" w:hAnsi="Calibri" w:cs="Calibri"/>
                <w:b w:val="0"/>
                <w:sz w:val="20"/>
              </w:rPr>
              <w:t>Increasing the loop diuretic, or deferring discharge until weight is closer to 73 kg, is acceptable. No intravenous dose is stored, so no numeric intravenous dose is specified. REQUIRES_CLINICIAN_DECISION for the increased dose.</w:t>
            </w:r>
          </w:p>
        </w:tc>
      </w:tr>
      <w:tr>
        <w:trPr>
          <w:cantSplit/>
        </w:trPr>
        <w:tc>
          <w:tcPr>
            <w:tcW w:type="dxa" w:w="3168"/>
            <w:vAlign w:val="top"/>
          </w:tcPr>
          <w:p>
            <w:pPr>
              <w:spacing w:after="20" w:before="20"/>
            </w:pPr>
            <w:r>
              <w:rPr>
                <w:rFonts w:ascii="Calibri" w:hAnsi="Calibri" w:cs="Calibri"/>
                <w:b w:val="0"/>
                <w:sz w:val="20"/>
              </w:rPr>
              <w:t>Additional systolic heart-failure therapy (ACE inhibitor, ARNI, SGLT2 inhibitor, or MRA)</w:t>
            </w:r>
          </w:p>
        </w:tc>
        <w:tc>
          <w:tcPr>
            <w:tcW w:type="dxa" w:w="2016"/>
            <w:vAlign w:val="top"/>
          </w:tcPr>
          <w:p>
            <w:pPr>
              <w:spacing w:after="20" w:before="20"/>
            </w:pPr>
            <w:r>
              <w:rPr>
                <w:rFonts w:ascii="Calibri" w:hAnsi="Calibri" w:cs="Calibri"/>
                <w:b w:val="0"/>
                <w:sz w:val="20"/>
              </w:rPr>
              <w:t>start</w:t>
            </w:r>
          </w:p>
        </w:tc>
        <w:tc>
          <w:tcPr>
            <w:tcW w:type="dxa" w:w="4608"/>
            <w:vAlign w:val="top"/>
          </w:tcPr>
          <w:p>
            <w:pPr>
              <w:spacing w:after="20" w:before="20"/>
            </w:pPr>
            <w:r>
              <w:rPr>
                <w:rFonts w:ascii="Calibri" w:hAnsi="Calibri" w:cs="Calibri"/>
                <w:b w:val="0"/>
                <w:sz w:val="20"/>
              </w:rPr>
              <w:t>An additional class is acceptable and is not required. Discharge creatinine is 0.9 mg/dL and potassium is 4.3 mmol/L. No ejection fraction is recorded.</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Discharge weight is 78 kg and dry weight is 73 kg. The only recorded furosemide order is 40 mg oral once daily. Creatinine is 0.9 mg/dL, potassium is 4.3 mmol/L, and blood pressure is 110/84 mmHg. No ejection fraction is recorded. Should that oral dose be continued, increased, or should discharge wait? Are an ACE inhibitor, ARNI, SGLT2 inhibitor, or mineralocorticoid-receptor antagonist required, or only acceptable?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05-adjudication"/>
              <w:id w:val="21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5 c3 Pass"/>
                <w:tag w:val="VAL-805-c3-Pass"/>
                <w:id w:val="2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5 c3 Fail"/>
                <w:tag w:val="VAL-805-c3-Fail"/>
                <w:id w:val="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5 c4 No"/>
                <w:tag w:val="VAL-805-c4-No"/>
                <w:id w:val="2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5 c4 Yes"/>
                <w:tag w:val="VAL-805-c4-Yes"/>
                <w:id w:val="2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5 c5-issue No"/>
                <w:tag w:val="VAL-805-c5-issue-No"/>
                <w:id w:val="2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5 c5-issue Yes"/>
                <w:tag w:val="VAL-805-c5-issue-Yes"/>
                <w:id w:val="2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5 c5-leak No"/>
                <w:tag w:val="VAL-805-c5-leak-No"/>
                <w:id w:val="2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5 c5-leak Yes"/>
                <w:tag w:val="VAL-805-c5-leak-Yes"/>
                <w:id w:val="2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5-c5-comment"/>
              <w:id w:val="22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5 c6 Easy"/>
                <w:tag w:val="VAL-805-c6-Easy"/>
                <w:id w:val="2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5 c6 Moderate"/>
                <w:tag w:val="VAL-805-c6-Moderate"/>
                <w:id w:val="2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5 c6 Hard"/>
                <w:tag w:val="VAL-805-c6-Hard"/>
                <w:id w:val="2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5 c6 Inappropriate or outlier"/>
                <w:tag w:val="VAL-805-c6-Inappropriate or outlier"/>
                <w:id w:val="2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5 overall Accept"/>
                <w:tag w:val="VAL-805-overall-Accept"/>
                <w:id w:val="2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5 overall Revise"/>
                <w:tag w:val="VAL-805-overall-Revise"/>
                <w:id w:val="2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5 overall Exclude"/>
                <w:tag w:val="VAL-805-overall-Exclude"/>
                <w:id w:val="2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5-overall-comment"/>
              <w:id w:val="23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5-reviewer"/>
          <w:id w:val="23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5-date"/>
          <w:id w:val="23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 — source selected more than one score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Clinical presentation was mostly clear and understandable. The vitals and lab trends make sense. The weight should be closer to dry weight at the time of discharge. The medications during hospitalization would not be the same as the home regimen - the lasix would be given IV and increased. Additionally, it would be more realistic to have several days of input and output data, as well as data on what medications the patient received during the hospitalization. It would be helpful to have either notes from cardiology or echocardiogram data and require the trainee to add additional medications to the patient’s regimen or adjust their dose of lasix.</w:t>
            </w:r>
          </w:p>
        </w:tc>
      </w:tr>
    </w:tbl>
    <w:p>
      <w:pPr>
        <w:spacing w:after="40"/>
      </w:pPr>
    </w:p>
    <w:p>
      <w:pPr>
        <w:spacing w:after="120"/>
      </w:pPr>
      <w:r>
        <w:rPr>
          <w:rFonts w:ascii="Calibri" w:hAnsi="Calibri" w:cs="Calibri"/>
          <w:b w:val="0"/>
          <w:sz w:val="22"/>
        </w:rPr>
        <w:t>C2 question: Does this case appropriately contain no deliberately introduced medication-reconciliation or transition-of-care problem?</w:t>
      </w:r>
    </w:p>
    <w:p>
      <w:pPr>
        <w:spacing w:after="120"/>
      </w:pPr>
      <w:r>
        <w:rPr>
          <w:rFonts w:ascii="Calibri" w:hAnsi="Calibri" w:cs="Calibri"/>
          <w:b w:val="0"/>
          <w:sz w:val="22"/>
        </w:rPr>
        <w:t>C2: Pass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C3 question: Does the case avoid misleading cues suggesting that an error must exist?</w:t>
      </w:r>
    </w:p>
    <w:p>
      <w:pPr>
        <w:spacing w:after="120"/>
      </w:pPr>
      <w:r>
        <w:rPr>
          <w:rFonts w:ascii="Calibri" w:hAnsi="Calibri" w:cs="Calibri"/>
          <w:b w:val="0"/>
          <w:sz w:val="22"/>
        </w:rPr>
        <w:t>C3: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The discharge weight not being close to the patient’s dry weight is confusing and suggests that the patient is not in fact ready for discharge</w:t>
            </w:r>
          </w:p>
        </w:tc>
      </w:tr>
    </w:tbl>
    <w:p>
      <w:pPr>
        <w:spacing w:after="40"/>
      </w:pPr>
    </w:p>
    <w:p>
      <w:pPr>
        <w:spacing w:after="120"/>
      </w:pPr>
      <w:r>
        <w:rPr>
          <w:rFonts w:ascii="Calibri" w:hAnsi="Calibri" w:cs="Calibri"/>
          <w:b w:val="0"/>
          <w:sz w:val="22"/>
        </w:rPr>
        <w:t>C4 question: Does the case contain any clinically meaningful medication-reconciliation or transition-of-care problem that should not be present?</w:t>
      </w:r>
    </w:p>
    <w:p>
      <w:pPr>
        <w:spacing w:after="120"/>
      </w:pPr>
      <w:r>
        <w:rPr>
          <w:rFonts w:ascii="Calibri" w:hAnsi="Calibri" w:cs="Calibri"/>
          <w:b w:val="0"/>
          <w:sz w:val="22"/>
        </w:rPr>
        <w:t>C4: Pass</w:t>
      </w:r>
    </w:p>
    <w:p>
      <w:pPr>
        <w:spacing w:after="120"/>
      </w:pPr>
      <w:r>
        <w:rPr>
          <w:rFonts w:ascii="Calibri" w:hAnsi="Calibri" w:cs="Calibri"/>
          <w:b w:val="0"/>
          <w:sz w:val="22"/>
        </w:rPr>
        <w:t>C4 issue: NOT COMPLETED IN ROUND 1</w:t>
      </w:r>
    </w:p>
    <w:p>
      <w:pPr>
        <w:spacing w:after="120"/>
      </w:pPr>
      <w:r>
        <w:rPr>
          <w:rFonts w:ascii="Calibri" w:hAnsi="Calibri" w:cs="Calibri"/>
          <w:b w:val="0"/>
          <w:sz w:val="22"/>
        </w:rPr>
        <w:t>C4 location: NOT COMPLETED IN ROUND 1</w:t>
      </w:r>
    </w:p>
    <w:p>
      <w:pPr>
        <w:spacing w:after="120"/>
      </w:pPr>
      <w:r>
        <w:rPr>
          <w:rFonts w:ascii="Calibri" w:hAnsi="Calibri" w:cs="Calibri"/>
          <w:b w:val="0"/>
          <w:sz w:val="22"/>
        </w:rPr>
        <w:t>C4 clinical meaning: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C5: Moderate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Overall recommendation: Revise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We need to add further details to the hospital course so there is a greater understanding of what diuresis the patient was receiving during the hospitalization (should not be the same as the patient’s home regimen). The trainee should have to make decisions on additional medications that should be added to the patient’s regimen – i.e. other GDMT such as ACE/ARB, SGLT2i, MRA</w:t>
            </w:r>
          </w:p>
        </w:tc>
      </w:tr>
    </w:tbl>
    <w:p>
      <w:pPr>
        <w:spacing w:after="40"/>
      </w:pPr>
    </w:p>
    <w:p>
      <w:pPr>
        <w:spacing w:after="120"/>
      </w:pPr>
      <w:r>
        <w:rPr>
          <w:rFonts w:ascii="Calibri" w:hAnsi="Calibri" w:cs="Calibri"/>
          <w:b w:val="0"/>
          <w:sz w:val="22"/>
        </w:rPr>
        <w:t>Reviewer: KO. Date: 10/5/2026.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Fail. “The weight should be closer to dry weight at the time of discharge.” C3 Fail: “The discharge weight not being close to the patient’s dry weight is confusing and suggests that the patient is not in fact ready for discharge.”</w:t>
            </w:r>
          </w:p>
        </w:tc>
        <w:tc>
          <w:tcPr>
            <w:tcW w:type="dxa" w:w="1512"/>
            <w:vAlign w:val="top"/>
          </w:tcPr>
          <w:p>
            <w:pPr>
              <w:spacing w:after="20" w:before="20"/>
            </w:pPr>
            <w:r>
              <w:rPr>
                <w:rFonts w:ascii="Calibri" w:hAnsi="Calibri" w:cs="Calibri"/>
                <w:b w:val="0"/>
                <w:sz w:val="16"/>
              </w:rPr>
              <w:t>The recorded weights were kept. The reference does not treat oral furosemide continuation as completed decongestion. Increasing the diuretic, without a fabricated dose, is an acceptable alternative.</w:t>
            </w:r>
          </w:p>
        </w:tc>
        <w:tc>
          <w:tcPr>
            <w:tcW w:type="dxa" w:w="1368"/>
            <w:vAlign w:val="top"/>
          </w:tcPr>
          <w:p>
            <w:pPr>
              <w:spacing w:after="20" w:before="20"/>
            </w:pPr>
            <w:r>
              <w:rPr>
                <w:rFonts w:ascii="Calibri" w:hAnsi="Calibri" w:cs="Calibri"/>
                <w:b w:val="0"/>
                <w:sz w:val="16"/>
              </w:rPr>
              <w:t>weights; hospital course; reference_discharge_plan; acceptable alternatives</w:t>
            </w:r>
          </w:p>
        </w:tc>
        <w:tc>
          <w:tcPr>
            <w:tcW w:type="dxa" w:w="1656"/>
            <w:vAlign w:val="top"/>
          </w:tcPr>
          <w:p>
            <w:pPr>
              <w:spacing w:after="20" w:before="20"/>
            </w:pPr>
            <w:r>
              <w:rPr>
                <w:rFonts w:ascii="Calibri" w:hAnsi="Calibri" w:cs="Calibri"/>
                <w:b w:val="0"/>
                <w:sz w:val="16"/>
              </w:rPr>
              <w:t>Admission weight 81 kg, discharge weight 78 kg, dry weight 73 kg. The clean reference continues furosemide 40 mg oral once daily with no alternative.</w:t>
            </w:r>
          </w:p>
        </w:tc>
        <w:tc>
          <w:tcPr>
            <w:tcW w:type="dxa" w:w="1656"/>
            <w:vAlign w:val="top"/>
          </w:tcPr>
          <w:p>
            <w:pPr>
              <w:spacing w:after="20" w:before="20"/>
            </w:pPr>
            <w:r>
              <w:rPr>
                <w:rFonts w:ascii="Calibri" w:hAnsi="Calibri" w:cs="Calibri"/>
                <w:b w:val="0"/>
                <w:sz w:val="16"/>
              </w:rPr>
              <w:t>The same weights remain. The course states them. The reference still lists the recorded oral dose, and the action is clinically ambiguous. A dose increase with no numeric intravenous dose, and deferring discharge, are acceptable.</w:t>
            </w:r>
          </w:p>
        </w:tc>
        <w:tc>
          <w:tcPr>
            <w:tcW w:type="dxa" w:w="1944"/>
            <w:vAlign w:val="top"/>
          </w:tcPr>
          <w:p>
            <w:pPr>
              <w:spacing w:after="20" w:before="20"/>
            </w:pPr>
            <w:r>
              <w:rPr>
                <w:rFonts w:ascii="Calibri" w:hAnsi="Calibri" w:cs="Calibri"/>
                <w:b w:val="0"/>
                <w:sz w:val="16"/>
              </w:rPr>
              <w:t>Version 1 replaced these weights with 86 kg, 83 kg, and 80 kg and set dry weight to 80 kg. Those numbers are not in the source. The review is right that 78 kg is not 73 kg. Changing the reference claim is supported. Inventing a new weight series is not. [E1] [E9] [E12]</w:t>
            </w:r>
          </w:p>
        </w:tc>
      </w:tr>
      <w:tr>
        <w:trPr>
          <w:cantSplit/>
        </w:trPr>
        <w:tc>
          <w:tcPr>
            <w:tcW w:type="dxa" w:w="1656"/>
            <w:vAlign w:val="top"/>
          </w:tcPr>
          <w:p>
            <w:pPr>
              <w:spacing w:after="20" w:before="20"/>
            </w:pPr>
            <w:r>
              <w:rPr>
                <w:rFonts w:ascii="Calibri" w:hAnsi="Calibri" w:cs="Calibri"/>
                <w:b w:val="0"/>
                <w:sz w:val="16"/>
              </w:rPr>
              <w:t>Medication-regimen scores 2 and 3 are both selected. “The medications during hospitalization would not be the same as the home regimen - the lasix would be given IV and increased.” Overall: “should not be the same as the patient’s home regimen.” “We need to add further details to the hospital course so there is a greater understanding of what diuresis the patient was receiving.”</w:t>
            </w:r>
          </w:p>
        </w:tc>
        <w:tc>
          <w:tcPr>
            <w:tcW w:type="dxa" w:w="1512"/>
            <w:vAlign w:val="top"/>
          </w:tcPr>
          <w:p>
            <w:pPr>
              <w:spacing w:after="20" w:before="20"/>
            </w:pPr>
            <w:r>
              <w:rPr>
                <w:rFonts w:ascii="Calibri" w:hAnsi="Calibri" w:cs="Calibri"/>
                <w:b w:val="0"/>
                <w:sz w:val="16"/>
              </w:rPr>
              <w:t>No intravenous dose was added. The course states that the only recorded order is 40 mg oral once daily. The increased dose is an acceptable alternative without a number.</w:t>
            </w:r>
          </w:p>
        </w:tc>
        <w:tc>
          <w:tcPr>
            <w:tcW w:type="dxa" w:w="1368"/>
            <w:vAlign w:val="top"/>
          </w:tcPr>
          <w:p>
            <w:pPr>
              <w:spacing w:after="20" w:before="20"/>
            </w:pPr>
            <w:r>
              <w:rPr>
                <w:rFonts w:ascii="Calibri" w:hAnsi="Calibri" w:cs="Calibri"/>
                <w:b w:val="0"/>
                <w:sz w:val="16"/>
              </w:rPr>
              <w:t>inpatient medications; hospital course; reference_discharge_plan</w:t>
            </w:r>
          </w:p>
        </w:tc>
        <w:tc>
          <w:tcPr>
            <w:tcW w:type="dxa" w:w="1656"/>
            <w:vAlign w:val="top"/>
          </w:tcPr>
          <w:p>
            <w:pPr>
              <w:spacing w:after="20" w:before="20"/>
            </w:pPr>
            <w:r>
              <w:rPr>
                <w:rFonts w:ascii="Calibri" w:hAnsi="Calibri" w:cs="Calibri"/>
                <w:b w:val="0"/>
                <w:sz w:val="16"/>
              </w:rPr>
              <w:t>Home and inpatient furosemide are 40 mg oral once daily.</w:t>
            </w:r>
          </w:p>
        </w:tc>
        <w:tc>
          <w:tcPr>
            <w:tcW w:type="dxa" w:w="1656"/>
            <w:vAlign w:val="top"/>
          </w:tcPr>
          <w:p>
            <w:pPr>
              <w:spacing w:after="20" w:before="20"/>
            </w:pPr>
            <w:r>
              <w:rPr>
                <w:rFonts w:ascii="Calibri" w:hAnsi="Calibri" w:cs="Calibri"/>
                <w:b w:val="0"/>
                <w:sz w:val="16"/>
              </w:rPr>
              <w:t>The same oral order remains. The course says no other furosemide order is recorded. The reference does not invent an intravenous dose.</w:t>
            </w:r>
          </w:p>
        </w:tc>
        <w:tc>
          <w:tcPr>
            <w:tcW w:type="dxa" w:w="1944"/>
            <w:vAlign w:val="top"/>
          </w:tcPr>
          <w:p>
            <w:pPr>
              <w:spacing w:after="20" w:before="20"/>
            </w:pPr>
            <w:r>
              <w:rPr>
                <w:rFonts w:ascii="Calibri" w:hAnsi="Calibri" w:cs="Calibri"/>
                <w:b w:val="0"/>
                <w:sz w:val="16"/>
              </w:rPr>
              <w:t>Intravenous loop diuretic treatment is usual in congested heart failure. The project regimen FUROSEMIDE_40_DAILY is oral 40 mg once daily and excludes the injection product. No repository regimen encodes an intravenous dose for this case. Selecting 40 mg intravenous twice daily would repeat the version 1 invention. The dose increase therefore remains a clinician decision. [E1] [E9] [E10] [E11]</w:t>
            </w:r>
          </w:p>
        </w:tc>
      </w:tr>
      <w:tr>
        <w:trPr>
          <w:cantSplit/>
        </w:trPr>
        <w:tc>
          <w:tcPr>
            <w:tcW w:type="dxa" w:w="1656"/>
            <w:vAlign w:val="top"/>
          </w:tcPr>
          <w:p>
            <w:pPr>
              <w:spacing w:after="20" w:before="20"/>
            </w:pPr>
            <w:r>
              <w:rPr>
                <w:rFonts w:ascii="Calibri" w:hAnsi="Calibri" w:cs="Calibri"/>
                <w:b w:val="0"/>
                <w:sz w:val="16"/>
              </w:rPr>
              <w:t>“it would be more realistic to have several days of input and output data, as well as data on what medications the patient received during the hospitalization.”</w:t>
            </w:r>
          </w:p>
        </w:tc>
        <w:tc>
          <w:tcPr>
            <w:tcW w:type="dxa" w:w="1512"/>
            <w:vAlign w:val="top"/>
          </w:tcPr>
          <w:p>
            <w:pPr>
              <w:spacing w:after="20" w:before="20"/>
            </w:pPr>
            <w:r>
              <w:rPr>
                <w:rFonts w:ascii="Calibri" w:hAnsi="Calibri" w:cs="Calibri"/>
                <w:b w:val="0"/>
                <w:sz w:val="16"/>
              </w:rPr>
              <w:t>The single stored intake-and-output day was kept and written into the course. No additional days were created.</w:t>
            </w:r>
          </w:p>
        </w:tc>
        <w:tc>
          <w:tcPr>
            <w:tcW w:type="dxa" w:w="1368"/>
            <w:vAlign w:val="top"/>
          </w:tcPr>
          <w:p>
            <w:pPr>
              <w:spacing w:after="20" w:before="20"/>
            </w:pPr>
            <w:r>
              <w:rPr>
                <w:rFonts w:ascii="Calibri" w:hAnsi="Calibri" w:cs="Calibri"/>
                <w:b w:val="0"/>
                <w:sz w:val="16"/>
              </w:rPr>
              <w:t>intake and output; hospital course</w:t>
            </w:r>
          </w:p>
        </w:tc>
        <w:tc>
          <w:tcPr>
            <w:tcW w:type="dxa" w:w="1656"/>
            <w:vAlign w:val="top"/>
          </w:tcPr>
          <w:p>
            <w:pPr>
              <w:spacing w:after="20" w:before="20"/>
            </w:pPr>
            <w:r>
              <w:rPr>
                <w:rFonts w:ascii="Calibri" w:hAnsi="Calibri" w:cs="Calibri"/>
                <w:b w:val="0"/>
                <w:sz w:val="16"/>
              </w:rPr>
              <w:t>Hospital day 3 only: intake 1418 mL, output 2463 mL, net -1045 mL.</w:t>
            </w:r>
          </w:p>
        </w:tc>
        <w:tc>
          <w:tcPr>
            <w:tcW w:type="dxa" w:w="1656"/>
            <w:vAlign w:val="top"/>
          </w:tcPr>
          <w:p>
            <w:pPr>
              <w:spacing w:after="20" w:before="20"/>
            </w:pPr>
            <w:r>
              <w:rPr>
                <w:rFonts w:ascii="Calibri" w:hAnsi="Calibri" w:cs="Calibri"/>
                <w:b w:val="0"/>
                <w:sz w:val="16"/>
              </w:rPr>
              <w:t>The same day is stated in the course. No hospital day 1 or day 2 balance was added.</w:t>
            </w:r>
          </w:p>
        </w:tc>
        <w:tc>
          <w:tcPr>
            <w:tcW w:type="dxa" w:w="1944"/>
            <w:vAlign w:val="top"/>
          </w:tcPr>
          <w:p>
            <w:pPr>
              <w:spacing w:after="20" w:before="20"/>
            </w:pPr>
            <w:r>
              <w:rPr>
                <w:rFonts w:ascii="Calibri" w:hAnsi="Calibri" w:cs="Calibri"/>
                <w:b w:val="0"/>
                <w:sz w:val="16"/>
              </w:rPr>
              <w:t>Version 1 replaced this day with three invented balances. The source has one day. A more realistic series is not a license to replace the recorded day. [E1] [E9]</w:t>
            </w:r>
          </w:p>
        </w:tc>
      </w:tr>
      <w:tr>
        <w:trPr>
          <w:cantSplit/>
        </w:trPr>
        <w:tc>
          <w:tcPr>
            <w:tcW w:type="dxa" w:w="1656"/>
            <w:vAlign w:val="top"/>
          </w:tcPr>
          <w:p>
            <w:pPr>
              <w:spacing w:after="20" w:before="20"/>
            </w:pPr>
            <w:r>
              <w:rPr>
                <w:rFonts w:ascii="Calibri" w:hAnsi="Calibri" w:cs="Calibri"/>
                <w:b w:val="0"/>
                <w:sz w:val="16"/>
              </w:rPr>
              <w:t>“It would be helpful to have either notes from cardiology or echocardiogram data and require the trainee to add additional medications to the patient’s regimen or adjust their dose of lasix.” Overall: “The trainee should have to make decisions on additional medications that should be added to the patient’s regimen – i.e. other GDMT such as ACE/ARB, SGLT2i, MRA.” C2 Pass, with no comment. C4 Pass, with no issue and no comment. C5 Moderate, with no comment. Overall Revise.</w:t>
            </w:r>
          </w:p>
        </w:tc>
        <w:tc>
          <w:tcPr>
            <w:tcW w:type="dxa" w:w="1512"/>
            <w:vAlign w:val="top"/>
          </w:tcPr>
          <w:p>
            <w:pPr>
              <w:spacing w:after="20" w:before="20"/>
            </w:pPr>
            <w:r>
              <w:rPr>
                <w:rFonts w:ascii="Calibri" w:hAnsi="Calibri" w:cs="Calibri"/>
                <w:b w:val="0"/>
                <w:sz w:val="16"/>
              </w:rPr>
              <w:t>No ejection fraction was added. The cardiology line no longer tells the resident to continue a plan. Additional therapy is an acceptable alternative and is not required. Blank comments stay blank.</w:t>
            </w:r>
          </w:p>
        </w:tc>
        <w:tc>
          <w:tcPr>
            <w:tcW w:type="dxa" w:w="1368"/>
            <w:vAlign w:val="top"/>
          </w:tcPr>
          <w:p>
            <w:pPr>
              <w:spacing w:after="20" w:before="20"/>
            </w:pPr>
            <w:r>
              <w:rPr>
                <w:rFonts w:ascii="Calibri" w:hAnsi="Calibri" w:cs="Calibri"/>
                <w:b w:val="0"/>
                <w:sz w:val="16"/>
              </w:rPr>
              <w:t>consultations; imaging; reference_discharge_plan; acceptable alternatives</w:t>
            </w:r>
          </w:p>
        </w:tc>
        <w:tc>
          <w:tcPr>
            <w:tcW w:type="dxa" w:w="1656"/>
            <w:vAlign w:val="top"/>
          </w:tcPr>
          <w:p>
            <w:pPr>
              <w:spacing w:after="20" w:before="20"/>
            </w:pPr>
            <w:r>
              <w:rPr>
                <w:rFonts w:ascii="Calibri" w:hAnsi="Calibri" w:cs="Calibri"/>
                <w:b w:val="0"/>
                <w:sz w:val="16"/>
              </w:rPr>
              <w:t>The cardiology recommendation says to continue the intended heart-failure and diuretic plan. No ejection fraction is stored.</w:t>
            </w:r>
          </w:p>
        </w:tc>
        <w:tc>
          <w:tcPr>
            <w:tcW w:type="dxa" w:w="1656"/>
            <w:vAlign w:val="top"/>
          </w:tcPr>
          <w:p>
            <w:pPr>
              <w:spacing w:after="20" w:before="20"/>
            </w:pPr>
            <w:r>
              <w:rPr>
                <w:rFonts w:ascii="Calibri" w:hAnsi="Calibri" w:cs="Calibri"/>
                <w:b w:val="0"/>
                <w:sz w:val="16"/>
              </w:rPr>
              <w:t>The consultation does not record a medication order. No ejection fraction is on the chart. An ACE inhibitor, ARNI, SGLT2 inhibitor, or mineralocorticoid-receptor antagonist may be started and is not required.</w:t>
            </w:r>
          </w:p>
        </w:tc>
        <w:tc>
          <w:tcPr>
            <w:tcW w:type="dxa" w:w="1944"/>
            <w:vAlign w:val="top"/>
          </w:tcPr>
          <w:p>
            <w:pPr>
              <w:spacing w:after="20" w:before="20"/>
            </w:pPr>
            <w:r>
              <w:rPr>
                <w:rFonts w:ascii="Calibri" w:hAnsi="Calibri" w:cs="Calibri"/>
                <w:b w:val="0"/>
                <w:sz w:val="16"/>
              </w:rPr>
              <w:t>Guideline-directed therapy depends on systolic function that this chart does not record. Version 1’s ejection fraction of 30 percent is not restored, and the codebook does not ask about it. The resident still has a diuretic decision and an optional additional class, using the recorded creatinine, potassium, and blood pressure. Blank C2, C4, and C5 comments were not invented. [E1] [E9] [E10]</w:t>
            </w:r>
          </w:p>
        </w:tc>
      </w:tr>
    </w:tbl>
    <w:p>
      <w:pPr>
        <w:spacing w:after="40"/>
      </w:pPr>
    </w:p>
    <w:p>
      <w:pPr>
        <w:pStyle w:val="Heading3"/>
      </w:pPr>
      <w:r>
        <w:rPr>
          <w:rFonts w:ascii="Calibri" w:hAnsi="Calibri"/>
          <w:color w:val="1F3A5F"/>
        </w:rPr>
        <w:t>Evidence references</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[E9] Clean pre-injection VAL-805. Furosemide 40 mg oral once daily at home and in the hospital. Weights 81 kg on admission, 78 kg at discharge, dry weight 73 kg. Hospital day 3 intake 1418 mL, output 2463 mL, net -1045 mL. Blood pressure 109/82 mmHg then 110/84 mmHg. Creatinine 1.7 mg/dL then 0.9 mg/dL. Potassium 4.7 mmol/L then 4.3 mmol/L. B-type natriuretic peptide 1120 pg/mL then 369 pg/mL. Oxygen saturation 92 percent then 98 percent. Chest radiograph shows pulmonary edema. No ejection fraction is stored.</w:t>
      </w:r>
    </w:p>
    <w:p>
      <w:pPr>
        <w:spacing w:after="120"/>
      </w:pPr>
      <w:r>
        <w:rPr>
          <w:rFonts w:ascii="Calibri" w:hAnsi="Calibri" w:cs="Calibri"/>
          <w:b w:val="0"/>
          <w:sz w:val="22"/>
        </w:rPr>
        <w:t>[E10] Heidenreich PA, Bozkurt B, Aguilar D, et al. 2022 AHA/ACC/HFSA Guideline for the Management of Heart Failure. Circulation. 2022;145:e895-e1032. doi:10.1161/CIR.0000000000001063. Supports intravenous loop-diuretic treatment of congestion and the role of additional therapy in systolic heart failure. It was not used to invent an intravenous dose, a weight, or an ejection fraction.</w:t>
      </w:r>
    </w:p>
    <w:p>
      <w:pPr>
        <w:spacing w:after="120"/>
      </w:pPr>
      <w:r>
        <w:rPr>
          <w:rFonts w:ascii="Calibri" w:hAnsi="Calibri" w:cs="Calibri"/>
          <w:b w:val="0"/>
          <w:sz w:val="22"/>
        </w:rPr>
        <w:t>[E11] Repository regimen FUROSEMIDE_40_DAILY in data/bootstrap/medication_regimens.json. Dose 40 mg, route oral, frequency once daily. The entry excludes the injection product. DailyMed setid 571a52ed-5258-46d5-a0d2-9a984cf73895. This is the charted oral dose. It does not supply an intravenous order.</w:t>
      </w:r>
    </w:p>
    <w:p>
      <w:pPr>
        <w:spacing w:after="120"/>
      </w:pPr>
      <w:r>
        <w:rPr>
          <w:rFonts w:ascii="Calibri" w:hAnsi="Calibri" w:cs="Calibri"/>
          <w:b w:val="0"/>
          <w:sz w:val="22"/>
        </w:rPr>
        <w:t>[E12] Mullens W, Damman K, Harjola VP, et al. The use of diuretics in heart failure with congestion — a position statement from the Heart Failure Association of the ESC. Eur J Heart Fail. 2019;21:137-155. doi:10.1002/ejhf.1369. Supports judging decongestion with weight and urine output. It was not used to replace the recorded weights.</w:t>
      </w:r>
    </w:p>
    <w:p>
      <w:pPr>
        <w:keepNext/>
        <w:pageBreakBefore/>
      </w:pPr>
      <w:r>
        <w:rPr>
          <w:rFonts w:ascii="Calibri" w:hAnsi="Calibri" w:cs="Calibri"/>
          <w:b/>
          <w:color w:val="1F3A5F"/>
          <w:sz w:val="32"/>
        </w:rPr>
        <w:t>CASE VAL-809</w:t>
      </w:r>
    </w:p>
    <w:p>
      <w:pPr>
        <w:spacing w:after="120"/>
      </w:pPr>
      <w:r>
        <w:rPr>
          <w:rFonts w:ascii="Calibri" w:hAnsi="Calibri" w:cs="Calibri"/>
          <w:b w:val="0"/>
          <w:sz w:val="22"/>
        </w:rPr>
        <w:t>Round 2 revised case, version 3. Prepared for re-review.</w:t>
      </w:r>
    </w:p>
    <w:p>
      <w:pPr>
        <w:pStyle w:val="Heading2"/>
      </w:pPr>
      <w:r>
        <w:rPr>
          <w:rFonts w:ascii="Calibri" w:hAnsi="Calibri"/>
          <w:color w:val="1F3A5F"/>
        </w:rPr>
        <w:t>RESIDENT-FACING CHART</w:t>
      </w:r>
    </w:p>
    <w:p>
      <w:pPr>
        <w:spacing w:after="120"/>
      </w:pPr>
      <w:r>
        <w:rPr>
          <w:rFonts w:ascii="Calibri" w:hAnsi="Calibri" w:cs="Calibri"/>
          <w:b w:val="0"/>
          <w:sz w:val="22"/>
        </w:rPr>
        <w:t>This opening chart is the same information the resident would see. It does not include the hidden reference.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82</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Acute and subacute infective endocarditis</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82-year-old man admitted with fatigue, a reported home fever, and a vegetation.</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An 82-year-old man is admitted with infective endocarditis. Fatigue has been present for one week. He reported a temperature of 38.4°C at home the evening before admission. Recorded hospital temperatures are 36.80°C on admission and 36.80°C at discharge. Poor dentition is noted. No prosthetic valve is recorded. Home medicines are lisinopril and atorvastatin. Ceftriaxone 2000 mg intravenously once daily was started during the admission. Transthoracic echocardiogram shows a mobile echodensity consistent with a vegetation and preserved ventricular function. Admission blood culture grew gram-positive cocci. A later culture showed no growth. Creatinine is 1.3 mg/dL on admission and 0.8 mg/dL at discharge. No creatinine from before this admission is recorded.</w:t>
      </w:r>
    </w:p>
    <w:p>
      <w:pPr>
        <w:pStyle w:val="Heading3"/>
      </w:pPr>
      <w:r>
        <w:rPr>
          <w:rFonts w:ascii="Calibri" w:hAnsi="Calibri"/>
          <w:color w:val="1F3A5F"/>
        </w:rPr>
        <w:t>Admission note</w:t>
      </w:r>
    </w:p>
    <w:p>
      <w:pPr>
        <w:spacing w:after="120"/>
      </w:pPr>
      <w:r>
        <w:rPr>
          <w:rFonts w:ascii="Calibri" w:hAnsi="Calibri" w:cs="Calibri"/>
          <w:b w:val="0"/>
          <w:sz w:val="22"/>
        </w:rPr>
        <w:t>An 82-year-old man is admitted with infective endocarditis. Fatigue has been present for one week. He reported a temperature of 38.4°C at home the evening before admission. Recorded hospital temperatures are 36.80°C on admission and 36.80°C at discharge. Poor dentition is noted. No prosthetic valve is recorded. Home medicines are lisinopril and atorvastatin. Ceftriaxone 2000 mg intravenously once daily was started during the admission. Transthoracic echocardiogram shows a mobile echodensity consistent with a vegetation and preserved ventricular function. Admission blood culture grew gram-positive cocci. A later culture showed no growth. Creatinine is 1.3 mg/dL on admission and 0.8 mg/dL at discharge. No creatinine from before this admission is recorded.</w:t>
      </w:r>
    </w:p>
    <w:p>
      <w:pPr>
        <w:pStyle w:val="Heading2"/>
      </w:pPr>
      <w:r>
        <w:rPr>
          <w:rFonts w:ascii="Calibri" w:hAnsi="Calibri"/>
          <w:color w:val="1F3A5F"/>
        </w:rPr>
        <w:t>Hospital course</w:t>
      </w:r>
    </w:p>
    <w:p>
      <w:pPr>
        <w:spacing w:after="120"/>
      </w:pPr>
      <w:r>
        <w:rPr>
          <w:rFonts w:ascii="Calibri" w:hAnsi="Calibri" w:cs="Calibri"/>
          <w:b w:val="0"/>
          <w:sz w:val="22"/>
        </w:rPr>
        <w:t>Ceftriaxone 2000 mg intravenously once daily was given during the admission. The echocardiogram shows a vegetation with preserved ventricular function. Blood culture grew gram-positive cocci, and a later culture showed no growth. A temperature of 38.4°C was reported at home the evening before admission. Recorded temperatures are 36.80°C on admission and at discharge. Poor dentition is noted. No prosthetic valve is recorded. Creatinine is 1.3 mg/dL then 0.8 mg/dL. Lisinopril is on the inpatient list. No creatinine from before this admission is recorded.</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Acute and subacute infective endocarditis</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127/86</w:t>
            </w:r>
          </w:p>
        </w:tc>
        <w:tc>
          <w:tcPr>
            <w:tcW w:type="dxa" w:w="1440"/>
            <w:vAlign w:val="top"/>
          </w:tcPr>
          <w:p>
            <w:pPr>
              <w:spacing w:after="20" w:before="20"/>
            </w:pPr>
            <w:r>
              <w:rPr>
                <w:rFonts w:ascii="Calibri" w:hAnsi="Calibri" w:cs="Calibri"/>
                <w:b w:val="0"/>
                <w:sz w:val="20"/>
              </w:rPr>
              <w:t>74</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139/85</w:t>
            </w:r>
          </w:p>
        </w:tc>
        <w:tc>
          <w:tcPr>
            <w:tcW w:type="dxa" w:w="1440"/>
            <w:vAlign w:val="top"/>
          </w:tcPr>
          <w:p>
            <w:pPr>
              <w:spacing w:after="20" w:before="20"/>
            </w:pPr>
            <w:r>
              <w:rPr>
                <w:rFonts w:ascii="Calibri" w:hAnsi="Calibri" w:cs="Calibri"/>
                <w:b w:val="0"/>
                <w:sz w:val="20"/>
              </w:rPr>
              <w:t>80</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96.00 %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1.3</w:t>
            </w:r>
          </w:p>
        </w:tc>
        <w:tc>
          <w:tcPr>
            <w:tcW w:type="dxa" w:w="2448"/>
            <w:vAlign w:val="top"/>
          </w:tcPr>
          <w:p>
            <w:pPr>
              <w:spacing w:after="20" w:before="20"/>
            </w:pPr>
            <w:r>
              <w:rPr>
                <w:rFonts w:ascii="Calibri" w:hAnsi="Calibri" w:cs="Calibri"/>
                <w:b w:val="0"/>
                <w:sz w:val="20"/>
              </w:rPr>
              <w:t>0.8</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Hemoglobin [Mass/volume] in Blood by Oximetry</w:t>
            </w:r>
          </w:p>
        </w:tc>
        <w:tc>
          <w:tcPr>
            <w:tcW w:type="dxa" w:w="2448"/>
            <w:vAlign w:val="top"/>
          </w:tcPr>
          <w:p>
            <w:pPr>
              <w:spacing w:after="20" w:before="20"/>
            </w:pPr>
            <w:r>
              <w:rPr>
                <w:rFonts w:ascii="Calibri" w:hAnsi="Calibri" w:cs="Calibri"/>
                <w:b w:val="0"/>
                <w:sz w:val="20"/>
              </w:rPr>
              <w:t>13.1</w:t>
            </w:r>
          </w:p>
        </w:tc>
        <w:tc>
          <w:tcPr>
            <w:tcW w:type="dxa" w:w="2448"/>
            <w:vAlign w:val="top"/>
          </w:tcPr>
          <w:p>
            <w:pPr>
              <w:spacing w:after="20" w:before="20"/>
            </w:pPr>
            <w:r>
              <w:rPr>
                <w:rFonts w:ascii="Calibri" w:hAnsi="Calibri" w:cs="Calibri"/>
                <w:b w:val="0"/>
                <w:sz w:val="20"/>
              </w:rPr>
              <w:t>12.9</w:t>
            </w:r>
          </w:p>
        </w:tc>
        <w:tc>
          <w:tcPr>
            <w:tcW w:type="dxa" w:w="1152"/>
            <w:vAlign w:val="top"/>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70.000</w:t>
            </w:r>
          </w:p>
        </w:tc>
        <w:tc>
          <w:tcPr>
            <w:tcW w:type="dxa" w:w="3312"/>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ceftriaxone 2000 MG Injection</w:t>
            </w:r>
          </w:p>
        </w:tc>
        <w:tc>
          <w:tcPr>
            <w:tcW w:type="dxa" w:w="1296"/>
            <w:vAlign w:val="top"/>
          </w:tcPr>
          <w:p>
            <w:pPr>
              <w:spacing w:after="20" w:before="20"/>
            </w:pPr>
            <w:r>
              <w:rPr>
                <w:rFonts w:ascii="Calibri" w:hAnsi="Calibri" w:cs="Calibri"/>
                <w:b w:val="0"/>
                <w:sz w:val="20"/>
              </w:rPr>
              <w:t>2000 MG</w:t>
            </w:r>
          </w:p>
        </w:tc>
        <w:tc>
          <w:tcPr>
            <w:tcW w:type="dxa" w:w="1152"/>
            <w:vAlign w:val="top"/>
          </w:tcPr>
          <w:p>
            <w:pPr>
              <w:spacing w:after="20" w:before="20"/>
            </w:pPr>
            <w:r>
              <w:rPr>
                <w:rFonts w:ascii="Calibri" w:hAnsi="Calibri" w:cs="Calibri"/>
                <w:b w:val="0"/>
                <w:sz w:val="20"/>
              </w:rPr>
              <w:t>intravenous</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and subacute infective endocarditis; Note: Started during this admission.</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vAlign w:val="top"/>
          </w:tcPr>
          <w:p>
            <w:pPr>
              <w:spacing w:after="20" w:before="20"/>
            </w:pPr>
            <w:r>
              <w:rPr>
                <w:rFonts w:ascii="Calibri" w:hAnsi="Calibri" w:cs="Calibri"/>
                <w:b w:val="0"/>
                <w:sz w:val="20"/>
              </w:rPr>
              <w:t>Transthoracic echocardiogram</w:t>
            </w:r>
          </w:p>
        </w:tc>
        <w:tc>
          <w:tcPr>
            <w:tcW w:type="dxa" w:w="3264"/>
            <w:vAlign w:val="top"/>
          </w:tcPr>
          <w:p>
            <w:pPr>
              <w:spacing w:after="20" w:before="20"/>
            </w:pPr>
            <w:r>
              <w:rPr>
                <w:rFonts w:ascii="Calibri" w:hAnsi="Calibri" w:cs="Calibri"/>
                <w:b w:val="0"/>
                <w:sz w:val="20"/>
              </w:rPr>
              <w:t>inpatient</w:t>
            </w:r>
          </w:p>
        </w:tc>
        <w:tc>
          <w:tcPr>
            <w:tcW w:type="dxa" w:w="3264"/>
            <w:vAlign w:val="top"/>
          </w:tcPr>
          <w:p>
            <w:pPr>
              <w:spacing w:after="20" w:before="20"/>
            </w:pPr>
            <w:r>
              <w:rPr>
                <w:rFonts w:ascii="Calibri" w:hAnsi="Calibri" w:cs="Calibri"/>
                <w:b w:val="0"/>
                <w:sz w:val="20"/>
              </w:rPr>
              <w:t>Mobile echodensity consistent with a vegetation; ventricular function preserved.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Service</w:t>
            </w:r>
          </w:p>
        </w:tc>
        <w:tc>
          <w:tcPr>
            <w:tcW w:type="dxa" w:w="3264"/>
            <w:shd w:val="clear" w:color="auto" w:fill="D9E2F3"/>
          </w:tcPr>
          <w:p>
            <w:pPr>
              <w:spacing w:after="20" w:before="20"/>
            </w:pPr>
            <w:r>
              <w:rPr>
                <w:rFonts w:ascii="Calibri" w:hAnsi="Calibri" w:cs="Calibri"/>
                <w:b/>
                <w:sz w:val="20"/>
              </w:rPr>
              <w:t>Assessment</w:t>
            </w:r>
          </w:p>
        </w:tc>
        <w:tc>
          <w:tcPr>
            <w:tcW w:type="dxa" w:w="3264"/>
            <w:shd w:val="clear" w:color="auto" w:fill="D9E2F3"/>
          </w:tcPr>
          <w:p>
            <w:pPr>
              <w:spacing w:after="20" w:before="20"/>
            </w:pPr>
            <w:r>
              <w:rPr>
                <w:rFonts w:ascii="Calibri" w:hAnsi="Calibri" w:cs="Calibri"/>
                <w:b/>
                <w:sz w:val="20"/>
              </w:rPr>
              <w:t>Recommendation</w:t>
            </w:r>
          </w:p>
        </w:tc>
      </w:tr>
      <w:tr>
        <w:trPr>
          <w:cantSplit/>
        </w:trPr>
        <w:tc>
          <w:tcPr>
            <w:tcW w:type="dxa" w:w="3264"/>
            <w:vAlign w:val="top"/>
          </w:tcPr>
          <w:p>
            <w:pPr>
              <w:spacing w:after="20" w:before="20"/>
            </w:pPr>
            <w:r>
              <w:rPr>
                <w:rFonts w:ascii="Calibri" w:hAnsi="Calibri" w:cs="Calibri"/>
                <w:b w:val="0"/>
                <w:sz w:val="20"/>
              </w:rPr>
              <w:t>infectious disease</w:t>
            </w:r>
          </w:p>
        </w:tc>
        <w:tc>
          <w:tcPr>
            <w:tcW w:type="dxa" w:w="3264"/>
            <w:vAlign w:val="top"/>
          </w:tcPr>
          <w:p>
            <w:pPr>
              <w:spacing w:after="20" w:before="20"/>
            </w:pPr>
            <w:r>
              <w:rPr>
                <w:rFonts w:ascii="Calibri" w:hAnsi="Calibri" w:cs="Calibri"/>
                <w:b w:val="0"/>
                <w:sz w:val="20"/>
              </w:rPr>
              <w:t>Fatigue, a reported home temperature, poor dentition, and a vegetation are recorded.</w:t>
            </w:r>
          </w:p>
        </w:tc>
        <w:tc>
          <w:tcPr>
            <w:tcW w:type="dxa" w:w="3264"/>
            <w:vAlign w:val="top"/>
          </w:tcPr>
          <w:p>
            <w:pPr>
              <w:spacing w:after="20" w:before="20"/>
            </w:pPr>
            <w:r>
              <w:rPr>
                <w:rFonts w:ascii="Calibri" w:hAnsi="Calibri" w:cs="Calibri"/>
                <w:b w:val="0"/>
                <w:sz w:val="20"/>
              </w:rPr>
              <w:t>A vegetation is present. The admission blood culture grew gram-positive cocci. A later blood culture showed no growth.</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Infectious-disease follow-up</w:t>
            </w:r>
          </w:p>
        </w:tc>
        <w:tc>
          <w:tcPr>
            <w:tcW w:type="dxa" w:w="3264"/>
            <w:vAlign w:val="top"/>
          </w:tcPr>
          <w:p>
            <w:pPr>
              <w:spacing w:after="20" w:before="20"/>
            </w:pPr>
            <w:r>
              <w:rPr>
                <w:rFonts w:ascii="Calibri" w:hAnsi="Calibri" w:cs="Calibri"/>
                <w:b w:val="0"/>
                <w:sz w:val="20"/>
              </w:rPr>
              <w:t>14 days</w:t>
            </w:r>
          </w:p>
        </w:tc>
        <w:tc>
          <w:tcPr>
            <w:tcW w:type="dxa" w:w="3264"/>
            <w:vAlign w:val="top"/>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9 C1 Presentation and demographics 1"/>
                <w:tag w:val="VAL-809-c1-Presentation and demographics-1"/>
                <w:id w:val="2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Presentation and demographics 2"/>
                <w:tag w:val="VAL-809-c1-Presentation and demographics-2"/>
                <w:id w:val="2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Presentation and demographics 3"/>
                <w:tag w:val="VAL-809-c1-Presentation and demographics-3"/>
                <w:id w:val="2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Presentation and demographics 4"/>
                <w:tag w:val="VAL-809-c1-Presentation and demographics-4"/>
                <w:id w:val="2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9 C1 Fit between presentation and diagnosis 1"/>
                <w:tag w:val="VAL-809-c1-Fit between presentation and diagnosis-1"/>
                <w:id w:val="2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Fit between presentation and diagnosis 2"/>
                <w:tag w:val="VAL-809-c1-Fit between presentation and diagnosis-2"/>
                <w:id w:val="2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Fit between presentation and diagnosis 3"/>
                <w:tag w:val="VAL-809-c1-Fit between presentation and diagnosis-3"/>
                <w:id w:val="2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Fit between presentation and diagnosis 4"/>
                <w:tag w:val="VAL-809-c1-Fit between presentation and diagnosis-4"/>
                <w:id w:val="2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9 C1 Vital signs 1"/>
                <w:tag w:val="VAL-809-c1-Vital signs-1"/>
                <w:id w:val="2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Vital signs 2"/>
                <w:tag w:val="VAL-809-c1-Vital signs-2"/>
                <w:id w:val="2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Vital signs 3"/>
                <w:tag w:val="VAL-809-c1-Vital signs-3"/>
                <w:id w:val="2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Vital signs 4"/>
                <w:tag w:val="VAL-809-c1-Vital signs-4"/>
                <w:id w:val="2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9 C1 Laboratory findings 1"/>
                <w:tag w:val="VAL-809-c1-Laboratory findings-1"/>
                <w:id w:val="2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Laboratory findings 2"/>
                <w:tag w:val="VAL-809-c1-Laboratory findings-2"/>
                <w:id w:val="2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Laboratory findings 3"/>
                <w:tag w:val="VAL-809-c1-Laboratory findings-3"/>
                <w:id w:val="2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Laboratory findings 4"/>
                <w:tag w:val="VAL-809-c1-Laboratory findings-4"/>
                <w:id w:val="2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9 C1 Medication regimen 1"/>
                <w:tag w:val="VAL-809-c1-Medication regimen-1"/>
                <w:id w:val="2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Medication regimen 2"/>
                <w:tag w:val="VAL-809-c1-Medication regimen-2"/>
                <w:id w:val="2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Medication regimen 3"/>
                <w:tag w:val="VAL-809-c1-Medication regimen-3"/>
                <w:id w:val="2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Medication regimen 4"/>
                <w:tag w:val="VAL-809-c1-Medication regimen-4"/>
                <w:id w:val="2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9 C1 Hospital course 1"/>
                <w:tag w:val="VAL-809-c1-Hospital course-1"/>
                <w:id w:val="2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Hospital course 2"/>
                <w:tag w:val="VAL-809-c1-Hospital course-2"/>
                <w:id w:val="2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Hospital course 3"/>
                <w:tag w:val="VAL-809-c1-Hospital course-3"/>
                <w:id w:val="2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Hospital course 4"/>
                <w:tag w:val="VAL-809-c1-Hospital course-4"/>
                <w:id w:val="2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9 C1 Chart consistency 1"/>
                <w:tag w:val="VAL-809-c1-Chart consistency-1"/>
                <w:id w:val="2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Chart consistency 2"/>
                <w:tag w:val="VAL-809-c1-Chart consistency-2"/>
                <w:id w:val="2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Chart consistency 3"/>
                <w:tag w:val="VAL-809-c1-Chart consistency-3"/>
                <w:id w:val="2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Chart consistency 4"/>
                <w:tag w:val="VAL-809-c1-Chart consistency-4"/>
                <w:id w:val="2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9 C1 Discharge context and follow-up 1"/>
                <w:tag w:val="VAL-809-c1-Discharge context and follow-up-1"/>
                <w:id w:val="2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Discharge context and follow-up 2"/>
                <w:tag w:val="VAL-809-c1-Discharge context and follow-up-2"/>
                <w:id w:val="2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Discharge context and follow-up 3"/>
                <w:tag w:val="VAL-809-c1-Discharge context and follow-up-3"/>
                <w:id w:val="2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Discharge context and follow-up 4"/>
                <w:tag w:val="VAL-809-c1-Discharge context and follow-up-4"/>
                <w:id w:val="2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9 c1-overall Pass"/>
                <w:tag w:val="VAL-809-c1-overall-Pass"/>
                <w:id w:val="2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9 c1-overall Fail"/>
                <w:tag w:val="VAL-809-c1-overall-Fail"/>
                <w:id w:val="2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9-c1-comment"/>
              <w:id w:val="26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9 c2 Pass"/>
                <w:tag w:val="VAL-809-c2-Pass"/>
                <w:id w:val="2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9 c2 Fail"/>
                <w:tag w:val="VAL-809-c2-Fail"/>
                <w:id w:val="2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9-c2-comment"/>
              <w:id w:val="27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start</w:t>
            </w:r>
          </w:p>
        </w:tc>
        <w:tc>
          <w:tcPr>
            <w:tcW w:type="dxa" w:w="2592"/>
            <w:vAlign w:val="top"/>
          </w:tcPr>
          <w:p>
            <w:pPr>
              <w:spacing w:after="20" w:before="20"/>
            </w:pPr>
            <w:r>
              <w:rPr>
                <w:rFonts w:ascii="Calibri" w:hAnsi="Calibri" w:cs="Calibri"/>
                <w:b w:val="0"/>
                <w:sz w:val="20"/>
              </w:rPr>
              <w:t>ceftriaxone 2000 MG Injection</w:t>
            </w:r>
          </w:p>
        </w:tc>
        <w:tc>
          <w:tcPr>
            <w:tcW w:type="dxa" w:w="1152"/>
            <w:vAlign w:val="top"/>
          </w:tcPr>
          <w:p>
            <w:pPr>
              <w:spacing w:after="20" w:before="20"/>
            </w:pPr>
            <w:r>
              <w:rPr>
                <w:rFonts w:ascii="Calibri" w:hAnsi="Calibri" w:cs="Calibri"/>
                <w:b w:val="0"/>
                <w:sz w:val="20"/>
              </w:rPr>
              <w:t>2000 MG</w:t>
            </w:r>
          </w:p>
        </w:tc>
        <w:tc>
          <w:tcPr>
            <w:tcW w:type="dxa" w:w="1008"/>
            <w:vAlign w:val="top"/>
          </w:tcPr>
          <w:p>
            <w:pPr>
              <w:spacing w:after="20" w:before="20"/>
            </w:pPr>
            <w:r>
              <w:rPr>
                <w:rFonts w:ascii="Calibri" w:hAnsi="Calibri" w:cs="Calibri"/>
                <w:b w:val="0"/>
                <w:sz w:val="20"/>
              </w:rPr>
              <w:t>intravenous</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Acute and subacute infective endocarditis</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lisinopril 10 MG Oral Tablet</w:t>
            </w:r>
          </w:p>
        </w:tc>
        <w:tc>
          <w:tcPr>
            <w:tcW w:type="dxa" w:w="1152"/>
            <w:vAlign w:val="top"/>
          </w:tcPr>
          <w:p>
            <w:pPr>
              <w:spacing w:after="20" w:before="20"/>
            </w:pPr>
            <w:r>
              <w:rPr>
                <w:rFonts w:ascii="Calibri" w:hAnsi="Calibri" w:cs="Calibri"/>
                <w:b w:val="0"/>
                <w:sz w:val="20"/>
              </w:rPr>
              <w:t>10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lisinopril 10 MG Oral Tablet</w:t>
            </w:r>
          </w:p>
        </w:tc>
        <w:tc>
          <w:tcPr>
            <w:tcW w:type="dxa" w:w="2016"/>
            <w:vAlign w:val="top"/>
          </w:tcPr>
          <w:p>
            <w:pPr>
              <w:spacing w:after="20" w:before="20"/>
            </w:pPr>
            <w:r>
              <w:rPr>
                <w:rFonts w:ascii="Calibri" w:hAnsi="Calibri" w:cs="Calibri"/>
                <w:b w:val="0"/>
                <w:sz w:val="20"/>
              </w:rPr>
              <w:t>hold</w:t>
            </w:r>
          </w:p>
        </w:tc>
        <w:tc>
          <w:tcPr>
            <w:tcW w:type="dxa" w:w="4608"/>
            <w:vAlign w:val="top"/>
          </w:tcPr>
          <w:p>
            <w:pPr>
              <w:spacing w:after="20" w:before="20"/>
            </w:pPr>
            <w:r>
              <w:rPr>
                <w:rFonts w:ascii="Calibri" w:hAnsi="Calibri" w:cs="Calibri"/>
                <w:b w:val="0"/>
                <w:sz w:val="20"/>
              </w:rPr>
              <w:t>Hold is acceptable if creatinine 1.3 mg/dL is judged to be acute kidney injury. No prior baseline is recorded, so the reference does not require a hold.</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Recorded temperatures are 36.80°C on admission and at discharge. A temperature of 38.4°C was reported at home the evening before admission. Poor dentition is noted. No prosthetic valve is recorded. The culture grew gram-positive cocci. Creatinine is 1.3 mg/dL then 0.8 mg/dL, and no earlier creatinine is recorded. No remaining antibiotic duration is recorded. Should ceftriaxone be continued, and should lisinopril be continued or held?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09-adjudication"/>
              <w:id w:val="27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9 c3 Pass"/>
                <w:tag w:val="VAL-809-c3-Pass"/>
                <w:id w:val="2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9 c3 Fail"/>
                <w:tag w:val="VAL-809-c3-Fail"/>
                <w:id w:val="2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9 c4 No"/>
                <w:tag w:val="VAL-809-c4-No"/>
                <w:id w:val="2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9 c4 Yes"/>
                <w:tag w:val="VAL-809-c4-Yes"/>
                <w:id w:val="2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9 c5-issue No"/>
                <w:tag w:val="VAL-809-c5-issue-No"/>
                <w:id w:val="2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9 c5-issue Yes"/>
                <w:tag w:val="VAL-809-c5-issue-Yes"/>
                <w:id w:val="2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9 c5-leak No"/>
                <w:tag w:val="VAL-809-c5-leak-No"/>
                <w:id w:val="2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9 c5-leak Yes"/>
                <w:tag w:val="VAL-809-c5-leak-Yes"/>
                <w:id w:val="2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9-c5-comment"/>
              <w:id w:val="28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9 c6 Easy"/>
                <w:tag w:val="VAL-809-c6-Easy"/>
                <w:id w:val="2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9 c6 Moderate"/>
                <w:tag w:val="VAL-809-c6-Moderate"/>
                <w:id w:val="2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9 c6 Hard"/>
                <w:tag w:val="VAL-809-c6-Hard"/>
                <w:id w:val="2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9 c6 Inappropriate or outlier"/>
                <w:tag w:val="VAL-809-c6-Inappropriate or outlier"/>
                <w:id w:val="2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9 overall Accept"/>
                <w:tag w:val="VAL-809-overall-Accept"/>
                <w:id w:val="2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9 overall Revise"/>
                <w:tag w:val="VAL-809-overall-Revise"/>
                <w:id w:val="2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9 overall Exclude"/>
                <w:tag w:val="VAL-809-overall-Exclude"/>
                <w:id w:val="2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9-overall-comment"/>
              <w:id w:val="28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9-reviewer"/>
          <w:id w:val="28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9-date"/>
          <w:id w:val="29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Presentation – requires more details, should present with fevers, have a history of mechanical valve or poor dentition that would predispose to endocarditis</w:t>
              <w:br/>
              <w:t>Labs/meds – AKI was unexplained and lisinopril was continued despite AKI</w:t>
            </w:r>
          </w:p>
        </w:tc>
      </w:tr>
    </w:tbl>
    <w:p>
      <w:pPr>
        <w:spacing w:after="40"/>
      </w:pPr>
    </w:p>
    <w:p>
      <w:pPr>
        <w:spacing w:after="120"/>
      </w:pPr>
      <w:r>
        <w:rPr>
          <w:rFonts w:ascii="Calibri" w:hAnsi="Calibri" w:cs="Calibri"/>
          <w:b w:val="0"/>
          <w:sz w:val="22"/>
        </w:rPr>
        <w:t>C2 question: Does this case appropriately contain no deliberately introduced medication-reconciliation or transition-of-care problem?</w:t>
      </w:r>
    </w:p>
    <w:p>
      <w:pPr>
        <w:spacing w:after="120"/>
      </w:pPr>
      <w:r>
        <w:rPr>
          <w:rFonts w:ascii="Calibri" w:hAnsi="Calibri" w:cs="Calibri"/>
          <w:b w:val="0"/>
          <w:sz w:val="22"/>
        </w:rPr>
        <w:t>C2: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Lisinopril was continued despite the patient having an AKI</w:t>
            </w:r>
          </w:p>
        </w:tc>
      </w:tr>
    </w:tbl>
    <w:p>
      <w:pPr>
        <w:spacing w:after="40"/>
      </w:pPr>
    </w:p>
    <w:p>
      <w:pPr>
        <w:spacing w:after="120"/>
      </w:pPr>
      <w:r>
        <w:rPr>
          <w:rFonts w:ascii="Calibri" w:hAnsi="Calibri" w:cs="Calibri"/>
          <w:b w:val="0"/>
          <w:sz w:val="22"/>
        </w:rPr>
        <w:t>C3 question: Does the case avoid misleading cues suggesting that an error must exist?</w:t>
      </w:r>
    </w:p>
    <w:p>
      <w:pPr>
        <w:spacing w:after="120"/>
      </w:pPr>
      <w:r>
        <w:rPr>
          <w:rFonts w:ascii="Calibri" w:hAnsi="Calibri" w:cs="Calibri"/>
          <w:b w:val="0"/>
          <w:sz w:val="22"/>
        </w:rPr>
        <w:t>C3: Pass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C4 question: Does the case contain any clinically meaningful medication-reconciliation or transition-of-care problem that should not be present?</w:t>
      </w:r>
    </w:p>
    <w:p>
      <w:pPr>
        <w:spacing w:after="120"/>
      </w:pPr>
      <w:r>
        <w:rPr>
          <w:rFonts w:ascii="Calibri" w:hAnsi="Calibri" w:cs="Calibri"/>
          <w:b w:val="0"/>
          <w:sz w:val="22"/>
        </w:rPr>
        <w:t>C4: Fail</w:t>
      </w:r>
    </w:p>
    <w:p>
      <w:pPr>
        <w:spacing w:after="120"/>
      </w:pPr>
      <w:r>
        <w:rPr>
          <w:rFonts w:ascii="Calibri" w:hAnsi="Calibri" w:cs="Calibri"/>
          <w:b w:val="0"/>
          <w:sz w:val="22"/>
        </w:rPr>
        <w:t>C4 issue: Lisinopril - AKI</w:t>
      </w:r>
    </w:p>
    <w:p>
      <w:pPr>
        <w:spacing w:after="120"/>
      </w:pPr>
      <w:r>
        <w:rPr>
          <w:rFonts w:ascii="Calibri" w:hAnsi="Calibri" w:cs="Calibri"/>
          <w:b w:val="0"/>
          <w:sz w:val="22"/>
        </w:rPr>
        <w:t>C4 location: Medications</w:t>
      </w:r>
    </w:p>
    <w:p>
      <w:pPr>
        <w:spacing w:after="120"/>
      </w:pPr>
      <w:r>
        <w:rPr>
          <w:rFonts w:ascii="Calibri" w:hAnsi="Calibri" w:cs="Calibri"/>
          <w:b w:val="0"/>
          <w:sz w:val="22"/>
        </w:rPr>
        <w:t>C4 clinical meaning: Should not be continued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C5: Inappropriate / outlier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Error in the case as described above</w:t>
            </w:r>
          </w:p>
        </w:tc>
      </w:tr>
    </w:tbl>
    <w:p>
      <w:pPr>
        <w:spacing w:after="40"/>
      </w:pPr>
    </w:p>
    <w:p>
      <w:pPr>
        <w:spacing w:after="120"/>
      </w:pPr>
      <w:r>
        <w:rPr>
          <w:rFonts w:ascii="Calibri" w:hAnsi="Calibri" w:cs="Calibri"/>
          <w:b w:val="0"/>
          <w:sz w:val="22"/>
        </w:rPr>
        <w:t>Overall recommendation: Revise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Revise clinical scenario to add more details. Would have fevers/chills/predisposition to endocarditis. Lisinopril should be held if the patient has an AKI. Patient of this age would be very likely to have more than 2 home medications, would like to have more detail and complexity overall to this case.</w:t>
            </w:r>
          </w:p>
        </w:tc>
      </w:tr>
    </w:tbl>
    <w:p>
      <w:pPr>
        <w:spacing w:after="40"/>
      </w:pPr>
    </w:p>
    <w:p>
      <w:pPr>
        <w:spacing w:after="120"/>
      </w:pPr>
      <w:r>
        <w:rPr>
          <w:rFonts w:ascii="Calibri" w:hAnsi="Calibri" w:cs="Calibri"/>
          <w:b w:val="0"/>
          <w:sz w:val="22"/>
        </w:rPr>
        <w:t>Reviewer: KO. Date: 10/5/26.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Fail. “Presentation – requires more details, should present with fevers, have a history of mechanical valve or poor dentition that would predispose to endocarditis.” Overall: “Would have fevers/chills/predisposition to endocarditis.”</w:t>
            </w:r>
          </w:p>
        </w:tc>
        <w:tc>
          <w:tcPr>
            <w:tcW w:type="dxa" w:w="1512"/>
            <w:vAlign w:val="top"/>
          </w:tcPr>
          <w:p>
            <w:pPr>
              <w:spacing w:after="20" w:before="20"/>
            </w:pPr>
            <w:r>
              <w:rPr>
                <w:rFonts w:ascii="Calibri" w:hAnsi="Calibri" w:cs="Calibri"/>
                <w:b w:val="0"/>
                <w:sz w:val="16"/>
              </w:rPr>
              <w:t>A reported home temperature of 38.4°C and poor dentition were added and labeled synthetic. The recorded temperatures stay 36.80°C. No prosthetic valve, dental extraction, murmur, or species name was added.</w:t>
            </w:r>
          </w:p>
        </w:tc>
        <w:tc>
          <w:tcPr>
            <w:tcW w:type="dxa" w:w="1368"/>
            <w:vAlign w:val="top"/>
          </w:tcPr>
          <w:p>
            <w:pPr>
              <w:spacing w:after="20" w:before="20"/>
            </w:pPr>
            <w:r>
              <w:rPr>
                <w:rFonts w:ascii="Calibri" w:hAnsi="Calibri" w:cs="Calibri"/>
                <w:b w:val="0"/>
                <w:sz w:val="16"/>
              </w:rPr>
              <w:t>presentation; admission note; hospital course; vital signs; microbiology</w:t>
            </w:r>
          </w:p>
        </w:tc>
        <w:tc>
          <w:tcPr>
            <w:tcW w:type="dxa" w:w="1656"/>
            <w:vAlign w:val="top"/>
          </w:tcPr>
          <w:p>
            <w:pPr>
              <w:spacing w:after="20" w:before="20"/>
            </w:pPr>
            <w:r>
              <w:rPr>
                <w:rFonts w:ascii="Calibri" w:hAnsi="Calibri" w:cs="Calibri"/>
                <w:b w:val="0"/>
                <w:sz w:val="16"/>
              </w:rPr>
              <w:t>Temperature 36.80°C on admission and at discharge. Symptom fatigue. Organism gram-positive cocci. Vegetation present. No valve or dental history.</w:t>
            </w:r>
          </w:p>
        </w:tc>
        <w:tc>
          <w:tcPr>
            <w:tcW w:type="dxa" w:w="1656"/>
            <w:vAlign w:val="top"/>
          </w:tcPr>
          <w:p>
            <w:pPr>
              <w:spacing w:after="20" w:before="20"/>
            </w:pPr>
            <w:r>
              <w:rPr>
                <w:rFonts w:ascii="Calibri" w:hAnsi="Calibri" w:cs="Calibri"/>
                <w:b w:val="0"/>
                <w:sz w:val="16"/>
              </w:rPr>
              <w:t>The vital table still shows 36.80°C at both time points. The history adds a reported home temperature of 38.4°C the evening before admission and poor dentition. No prosthetic valve is recorded. The organism remains gram-positive cocci.</w:t>
            </w:r>
          </w:p>
        </w:tc>
        <w:tc>
          <w:tcPr>
            <w:tcW w:type="dxa" w:w="1944"/>
            <w:vAlign w:val="top"/>
          </w:tcPr>
          <w:p>
            <w:pPr>
              <w:spacing w:after="20" w:before="20"/>
            </w:pPr>
            <w:r>
              <w:rPr>
                <w:rFonts w:ascii="Calibri" w:hAnsi="Calibri" w:cs="Calibri"/>
                <w:b w:val="0"/>
                <w:sz w:val="16"/>
              </w:rPr>
              <w:t>Fever and a predisposition are part of the endocarditis picture the reviewer asked for. Replacing 36.80°C with 38.6°C would erase a source vital. A mechanical valve was specifically not added. A dental extraction and viridans group streptococcus are version 1 inventions and are not restored. Poor dentition is the predisposition the comment allowed. Both additions are synthetic. [E1] [E13] [E14]</w:t>
            </w:r>
          </w:p>
        </w:tc>
      </w:tr>
      <w:tr>
        <w:trPr>
          <w:cantSplit/>
        </w:trPr>
        <w:tc>
          <w:tcPr>
            <w:tcW w:type="dxa" w:w="1656"/>
            <w:vAlign w:val="top"/>
          </w:tcPr>
          <w:p>
            <w:pPr>
              <w:spacing w:after="20" w:before="20"/>
            </w:pPr>
            <w:r>
              <w:rPr>
                <w:rFonts w:ascii="Calibri" w:hAnsi="Calibri" w:cs="Calibri"/>
                <w:b w:val="0"/>
                <w:sz w:val="16"/>
              </w:rPr>
              <w:t>C1: “AKI was unexplained and lisinopril was continued despite AKI.” C2 Fail: “Lisinopril was continued despite the patient having an AKI.” C4 Fail. Issue: “Lisinopril - AKI.” Meaning: “Should not be continued.” Overall: “Lisinopril should be held if the patient has an AKI.”</w:t>
            </w:r>
          </w:p>
        </w:tc>
        <w:tc>
          <w:tcPr>
            <w:tcW w:type="dxa" w:w="1512"/>
            <w:vAlign w:val="top"/>
          </w:tcPr>
          <w:p>
            <w:pPr>
              <w:spacing w:after="20" w:before="20"/>
            </w:pPr>
            <w:r>
              <w:rPr>
                <w:rFonts w:ascii="Calibri" w:hAnsi="Calibri" w:cs="Calibri"/>
                <w:b w:val="0"/>
                <w:sz w:val="16"/>
              </w:rPr>
              <w:t>The creatinine pair is stated, including the absence of a pre-admission value. The reference continues lisinopril. Hold is an acceptable alternative.</w:t>
            </w:r>
          </w:p>
        </w:tc>
        <w:tc>
          <w:tcPr>
            <w:tcW w:type="dxa" w:w="1368"/>
            <w:vAlign w:val="top"/>
          </w:tcPr>
          <w:p>
            <w:pPr>
              <w:spacing w:after="20" w:before="20"/>
            </w:pPr>
            <w:r>
              <w:rPr>
                <w:rFonts w:ascii="Calibri" w:hAnsi="Calibri" w:cs="Calibri"/>
                <w:b w:val="0"/>
                <w:sz w:val="16"/>
              </w:rPr>
              <w:t>laboratories; hospital course; reference_discharge_plan; acceptable alternatives</w:t>
            </w:r>
          </w:p>
        </w:tc>
        <w:tc>
          <w:tcPr>
            <w:tcW w:type="dxa" w:w="1656"/>
            <w:vAlign w:val="top"/>
          </w:tcPr>
          <w:p>
            <w:pPr>
              <w:spacing w:after="20" w:before="20"/>
            </w:pPr>
            <w:r>
              <w:rPr>
                <w:rFonts w:ascii="Calibri" w:hAnsi="Calibri" w:cs="Calibri"/>
                <w:b w:val="0"/>
                <w:sz w:val="16"/>
              </w:rPr>
              <w:t>Creatinine 1.3 mg/dL then 0.8 mg/dL, not discussed as a baseline problem. The clean reference continues lisinopril.</w:t>
            </w:r>
          </w:p>
        </w:tc>
        <w:tc>
          <w:tcPr>
            <w:tcW w:type="dxa" w:w="1656"/>
            <w:vAlign w:val="top"/>
          </w:tcPr>
          <w:p>
            <w:pPr>
              <w:spacing w:after="20" w:before="20"/>
            </w:pPr>
            <w:r>
              <w:rPr>
                <w:rFonts w:ascii="Calibri" w:hAnsi="Calibri" w:cs="Calibri"/>
                <w:b w:val="0"/>
                <w:sz w:val="16"/>
              </w:rPr>
              <w:t>The course states 1.3 mg/dL then 0.8 mg/dL and states that no earlier creatinine is recorded. Lisinopril remains on the inpatient list. Hold is acceptable if 1.3 mg/dL is judged to be acute kidney injury.</w:t>
            </w:r>
          </w:p>
        </w:tc>
        <w:tc>
          <w:tcPr>
            <w:tcW w:type="dxa" w:w="1944"/>
            <w:vAlign w:val="top"/>
          </w:tcPr>
          <w:p>
            <w:pPr>
              <w:spacing w:after="20" w:before="20"/>
            </w:pPr>
            <w:r>
              <w:rPr>
                <w:rFonts w:ascii="Calibri" w:hAnsi="Calibri" w:cs="Calibri"/>
                <w:b w:val="0"/>
                <w:sz w:val="16"/>
              </w:rPr>
              <w:t>The comment says to hold lisinopril if the patient has acute kidney injury. The chart shows a fall to 0.8 mg/dL and no creatinine from before admission. Treating 0.8 mg/dL as a known baseline would invent the version 1 history. The hold is acceptable. It is not required by a baseline the chart does not have. [E1] [E6] [E13]</w:t>
            </w:r>
          </w:p>
        </w:tc>
      </w:tr>
      <w:tr>
        <w:trPr>
          <w:cantSplit/>
        </w:trPr>
        <w:tc>
          <w:tcPr>
            <w:tcW w:type="dxa" w:w="1656"/>
            <w:vAlign w:val="top"/>
          </w:tcPr>
          <w:p>
            <w:pPr>
              <w:spacing w:after="20" w:before="20"/>
            </w:pPr>
            <w:r>
              <w:rPr>
                <w:rFonts w:ascii="Calibri" w:hAnsi="Calibri" w:cs="Calibri"/>
                <w:b w:val="0"/>
                <w:sz w:val="16"/>
              </w:rPr>
              <w:t>Overall: “Patient of this age would be very likely to have more than 2 home medications, would like to have more detail and complexity overall to this case.” C3 Pass, with no comment. C5 Inappropriate / outlier: “Error in the case as described above.” Overall Revise.</w:t>
            </w:r>
          </w:p>
        </w:tc>
        <w:tc>
          <w:tcPr>
            <w:tcW w:type="dxa" w:w="1512"/>
            <w:vAlign w:val="top"/>
          </w:tcPr>
          <w:p>
            <w:pPr>
              <w:spacing w:after="20" w:before="20"/>
            </w:pPr>
            <w:r>
              <w:rPr>
                <w:rFonts w:ascii="Calibri" w:hAnsi="Calibri" w:cs="Calibri"/>
                <w:b w:val="0"/>
                <w:sz w:val="16"/>
              </w:rPr>
              <w:t>No home medicine was added. The infectious-disease line no longer says to complete a planned course. Ceftriaxone remains the inpatient start, and the reference starts it without a fabricated duration.</w:t>
            </w:r>
          </w:p>
        </w:tc>
        <w:tc>
          <w:tcPr>
            <w:tcW w:type="dxa" w:w="1368"/>
            <w:vAlign w:val="top"/>
          </w:tcPr>
          <w:p>
            <w:pPr>
              <w:spacing w:after="20" w:before="20"/>
            </w:pPr>
            <w:r>
              <w:rPr>
                <w:rFonts w:ascii="Calibri" w:hAnsi="Calibri" w:cs="Calibri"/>
                <w:b w:val="0"/>
                <w:sz w:val="16"/>
              </w:rPr>
              <w:t>home medications; consultations; hospital course; reference_discharge_plan</w:t>
            </w:r>
          </w:p>
        </w:tc>
        <w:tc>
          <w:tcPr>
            <w:tcW w:type="dxa" w:w="1656"/>
            <w:vAlign w:val="top"/>
          </w:tcPr>
          <w:p>
            <w:pPr>
              <w:spacing w:after="20" w:before="20"/>
            </w:pPr>
            <w:r>
              <w:rPr>
                <w:rFonts w:ascii="Calibri" w:hAnsi="Calibri" w:cs="Calibri"/>
                <w:b w:val="0"/>
                <w:sz w:val="16"/>
              </w:rPr>
              <w:t>Home medicines are lisinopril and atorvastatin. The infectious-disease recommendation says to complete the planned parenteral course. The clean reference starts ceftriaxone with no duration.</w:t>
            </w:r>
          </w:p>
        </w:tc>
        <w:tc>
          <w:tcPr>
            <w:tcW w:type="dxa" w:w="1656"/>
            <w:vAlign w:val="top"/>
          </w:tcPr>
          <w:p>
            <w:pPr>
              <w:spacing w:after="20" w:before="20"/>
            </w:pPr>
            <w:r>
              <w:rPr>
                <w:rFonts w:ascii="Calibri" w:hAnsi="Calibri" w:cs="Calibri"/>
                <w:b w:val="0"/>
                <w:sz w:val="16"/>
              </w:rPr>
              <w:t>The home list is unchanged. The consultation states the vegetation and the culture results and does not name a discharge duration. The reference starts ceftriaxone 2000 mg intravenous once daily with no duration.</w:t>
            </w:r>
          </w:p>
        </w:tc>
        <w:tc>
          <w:tcPr>
            <w:tcW w:type="dxa" w:w="1944"/>
            <w:vAlign w:val="top"/>
          </w:tcPr>
          <w:p>
            <w:pPr>
              <w:spacing w:after="20" w:before="20"/>
            </w:pPr>
            <w:r>
              <w:rPr>
                <w:rFonts w:ascii="Calibri" w:hAnsi="Calibri" w:cs="Calibri"/>
                <w:b w:val="0"/>
                <w:sz w:val="16"/>
              </w:rPr>
              <w:t>A longer home list would be an invented medication history. The antibiotic decision is supported by the vegetation, the culture, and the inpatient start. The source does not record how many days remain, and version 1’s four-week duration is not restored. Blank C3 and C4 comments stay blank. [E1] [E13] [E15]</w:t>
            </w:r>
          </w:p>
        </w:tc>
      </w:tr>
    </w:tbl>
    <w:p>
      <w:pPr>
        <w:spacing w:after="40"/>
      </w:pPr>
    </w:p>
    <w:p>
      <w:pPr>
        <w:pStyle w:val="Heading3"/>
      </w:pPr>
      <w:r>
        <w:rPr>
          <w:rFonts w:ascii="Calibri" w:hAnsi="Calibri"/>
          <w:color w:val="1F3A5F"/>
        </w:rPr>
        <w:t>Evidence references</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[E6] KDIGO Clinical Practice Guideline for Acute Kidney Injury. Kidney Int Suppl. 2012;2:1-138. Supports reassessing ACE-inhibitor exposure when kidney function may be worse than baseline. It does not create a baseline that was not measured, and it does not set a creatinine threshold for this chart.</w:t>
      </w:r>
    </w:p>
    <w:p>
      <w:pPr>
        <w:spacing w:after="120"/>
      </w:pPr>
      <w:r>
        <w:rPr>
          <w:rFonts w:ascii="Calibri" w:hAnsi="Calibri" w:cs="Calibri"/>
          <w:b w:val="0"/>
          <w:sz w:val="22"/>
        </w:rPr>
        <w:t>[E13] Clean pre-injection VAL-809. Temperature 36.80°C on admission and at discharge. Presenting symptom fatigue. Blood culture with gram-positive cocci, later culture with no growth. Echocardiogram vegetation with preserved ventricular function. Creatinine 1.3 mg/dL then 0.8 mg/dL. Ceftriaxone 2000 mg intravenous once daily started during the admission. No valve history, dental history, murmur, or pre-admission creatinine is stored.</w:t>
      </w:r>
    </w:p>
    <w:p>
      <w:pPr>
        <w:spacing w:after="120"/>
      </w:pPr>
      <w:r>
        <w:rPr>
          <w:rFonts w:ascii="Calibri" w:hAnsi="Calibri" w:cs="Calibri"/>
          <w:b w:val="0"/>
          <w:sz w:val="22"/>
        </w:rPr>
        <w:t>[E14] Baddour LM, Wilson WR, Bayer AS, et al. Infective Endocarditis in Adults: Diagnosis, Antimicrobial Therapy, and Management of Complications. AHA Scientific Statement. Circulation. 2015;132:1435-1486. doi:10.1161/CIR.0000000000000296. Fever and a predisposing condition, including poor dentition, are part of the clinical picture of endocarditis. The statement was not used to replace the recorded temperature of 36.80°C, to add a prosthetic valve, or to rename gram-positive cocci.</w:t>
      </w:r>
    </w:p>
    <w:p>
      <w:pPr>
        <w:spacing w:after="120"/>
      </w:pPr>
      <w:r>
        <w:rPr>
          <w:rFonts w:ascii="Calibri" w:hAnsi="Calibri" w:cs="Calibri"/>
          <w:b w:val="0"/>
          <w:sz w:val="22"/>
        </w:rPr>
        <w:t>[E15] Repository regimen CEFTRIAXONE_ENDOCARDITIS_OPAT. Ceftriaxone 2000 mg intravenous once daily. Supports the dose already charted. It does not supply a remaining duration for this case.</w:t>
      </w:r>
    </w:p>
    <w:p>
      <w:pPr>
        <w:keepNext/>
        <w:pageBreakBefore/>
      </w:pPr>
      <w:r>
        <w:rPr>
          <w:rFonts w:ascii="Calibri" w:hAnsi="Calibri" w:cs="Calibri"/>
          <w:b/>
          <w:color w:val="1F3A5F"/>
          <w:sz w:val="32"/>
        </w:rPr>
        <w:t>CASE VAL-813</w:t>
      </w:r>
    </w:p>
    <w:p>
      <w:pPr>
        <w:spacing w:after="120"/>
      </w:pPr>
      <w:r>
        <w:rPr>
          <w:rFonts w:ascii="Calibri" w:hAnsi="Calibri" w:cs="Calibri"/>
          <w:b w:val="0"/>
          <w:sz w:val="22"/>
        </w:rPr>
        <w:t>Round 2 revised case, version 3. Prepared for re-review.</w:t>
      </w:r>
    </w:p>
    <w:p>
      <w:pPr>
        <w:pStyle w:val="Heading2"/>
      </w:pPr>
      <w:r>
        <w:rPr>
          <w:rFonts w:ascii="Calibri" w:hAnsi="Calibri"/>
          <w:color w:val="1F3A5F"/>
        </w:rPr>
        <w:t>RESIDENT-FACING CHART</w:t>
      </w:r>
    </w:p>
    <w:p>
      <w:pPr>
        <w:spacing w:after="120"/>
      </w:pPr>
      <w:r>
        <w:rPr>
          <w:rFonts w:ascii="Calibri" w:hAnsi="Calibri" w:cs="Calibri"/>
          <w:b w:val="0"/>
          <w:sz w:val="22"/>
        </w:rPr>
        <w:t>This opening chart is the same information the resident would see. It does not include the hidden reference.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64</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Female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Other cytomegaloviral diseases</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64-year-old woman with a kidney transplant admitted with diarrhea.</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64-year-old woman with a kidney transplant is admitted with diarrhea for several days. Home medicines are tacrolimus 1 mg every 12 hours, amlodipine 5 mg daily, and atorvastatin 40 mg daily. She was not taking valganciclovir before admission. The admission viral-load review detected CMV viral burden.</w:t>
      </w:r>
    </w:p>
    <w:p>
      <w:pPr>
        <w:pStyle w:val="Heading3"/>
      </w:pPr>
      <w:r>
        <w:rPr>
          <w:rFonts w:ascii="Calibri" w:hAnsi="Calibri"/>
          <w:color w:val="1F3A5F"/>
        </w:rPr>
        <w:t>Admission note</w:t>
      </w:r>
    </w:p>
    <w:p>
      <w:pPr>
        <w:spacing w:after="120"/>
      </w:pPr>
      <w:r>
        <w:rPr>
          <w:rFonts w:ascii="Calibri" w:hAnsi="Calibri" w:cs="Calibri"/>
          <w:b w:val="0"/>
          <w:sz w:val="22"/>
        </w:rPr>
        <w:t>A 64-year-old woman with a kidney transplant is admitted with diarrhea for several days. Home medicines are tacrolimus 1 mg every 12 hours, amlodipine 5 mg daily, and atorvastatin 40 mg daily. She was not taking valganciclovir before admission. The admission viral-load review detected CMV viral burden.</w:t>
      </w:r>
    </w:p>
    <w:p>
      <w:pPr>
        <w:pStyle w:val="Heading2"/>
      </w:pPr>
      <w:r>
        <w:rPr>
          <w:rFonts w:ascii="Calibri" w:hAnsi="Calibri"/>
          <w:color w:val="1F3A5F"/>
        </w:rPr>
        <w:t>Hospital course</w:t>
      </w:r>
    </w:p>
    <w:p>
      <w:pPr>
        <w:spacing w:after="120"/>
      </w:pPr>
      <w:r>
        <w:rPr>
          <w:rFonts w:ascii="Calibri" w:hAnsi="Calibri" w:cs="Calibri"/>
          <w:b w:val="0"/>
          <w:sz w:val="22"/>
        </w:rPr>
        <w:t>The admission viral-load review detected CMV viral burden. Valganciclovir 900 mg orally twice daily, given as 450 mg tablets, was started after that result. A later review showed a lower viral burden. Diarrhea improved. Tacrolimus 1 mg every 12 hours was given through the stay at the same dose. Creatinine is 1.2 mg/dL then 1.0 mg/dL. Potassium is 4.7 mmol/L then 3.9 mmol/L. No cause for the potassium change is recorded. No tacrolimus trough is recorded.</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Other cytomegaloviral diseases</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Kidney transplant status</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147/80</w:t>
            </w:r>
          </w:p>
        </w:tc>
        <w:tc>
          <w:tcPr>
            <w:tcW w:type="dxa" w:w="1440"/>
            <w:vAlign w:val="top"/>
          </w:tcPr>
          <w:p>
            <w:pPr>
              <w:spacing w:after="20" w:before="20"/>
            </w:pPr>
            <w:r>
              <w:rPr>
                <w:rFonts w:ascii="Calibri" w:hAnsi="Calibri" w:cs="Calibri"/>
                <w:b w:val="0"/>
                <w:sz w:val="20"/>
              </w:rPr>
              <w:t>73</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134/80</w:t>
            </w:r>
          </w:p>
        </w:tc>
        <w:tc>
          <w:tcPr>
            <w:tcW w:type="dxa" w:w="1440"/>
            <w:vAlign w:val="top"/>
          </w:tcPr>
          <w:p>
            <w:pPr>
              <w:spacing w:after="20" w:before="20"/>
            </w:pPr>
            <w:r>
              <w:rPr>
                <w:rFonts w:ascii="Calibri" w:hAnsi="Calibri" w:cs="Calibri"/>
                <w:b w:val="0"/>
                <w:sz w:val="20"/>
              </w:rPr>
              <w:t>84</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1.2</w:t>
            </w:r>
          </w:p>
        </w:tc>
        <w:tc>
          <w:tcPr>
            <w:tcW w:type="dxa" w:w="2448"/>
            <w:vAlign w:val="top"/>
          </w:tcPr>
          <w:p>
            <w:pPr>
              <w:spacing w:after="20" w:before="20"/>
            </w:pPr>
            <w:r>
              <w:rPr>
                <w:rFonts w:ascii="Calibri" w:hAnsi="Calibri" w:cs="Calibri"/>
                <w:b w:val="0"/>
                <w:sz w:val="20"/>
              </w:rPr>
              <w:t>1.0</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Potassium [Moles/volume] in Serum or Plasma</w:t>
            </w:r>
          </w:p>
        </w:tc>
        <w:tc>
          <w:tcPr>
            <w:tcW w:type="dxa" w:w="2448"/>
            <w:vAlign w:val="top"/>
          </w:tcPr>
          <w:p>
            <w:pPr>
              <w:spacing w:after="20" w:before="20"/>
            </w:pPr>
            <w:r>
              <w:rPr>
                <w:rFonts w:ascii="Calibri" w:hAnsi="Calibri" w:cs="Calibri"/>
                <w:b w:val="0"/>
                <w:sz w:val="20"/>
              </w:rPr>
              <w:t>4.7</w:t>
            </w:r>
          </w:p>
        </w:tc>
        <w:tc>
          <w:tcPr>
            <w:tcW w:type="dxa" w:w="2448"/>
            <w:vAlign w:val="top"/>
          </w:tcPr>
          <w:p>
            <w:pPr>
              <w:spacing w:after="20" w:before="20"/>
            </w:pPr>
            <w:r>
              <w:rPr>
                <w:rFonts w:ascii="Calibri" w:hAnsi="Calibri" w:cs="Calibri"/>
                <w:b w:val="0"/>
                <w:sz w:val="20"/>
              </w:rPr>
              <w:t>3.9</w:t>
            </w:r>
          </w:p>
        </w:tc>
        <w:tc>
          <w:tcPr>
            <w:tcW w:type="dxa" w:w="1152"/>
            <w:vAlign w:val="top"/>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68.000</w:t>
            </w:r>
          </w:p>
        </w:tc>
        <w:tc>
          <w:tcPr>
            <w:tcW w:type="dxa" w:w="3312"/>
            <w:vAlign w:val="top"/>
          </w:tcPr>
          <w:p>
            <w:pPr>
              <w:spacing w:after="20" w:before="20"/>
            </w:pPr>
            <w:r>
              <w:rPr>
                <w:rFonts w:ascii="Calibri" w:hAnsi="Calibri" w:cs="Calibri"/>
                <w:b w:val="0"/>
                <w:sz w:val="20"/>
              </w:rPr>
            </w:r>
          </w:p>
        </w:tc>
      </w:tr>
      <w:tr>
        <w:trPr>
          <w:cantSplit/>
        </w:trPr>
        <w:tc>
          <w:tcPr>
            <w:tcW w:type="dxa" w:w="3168"/>
            <w:vAlign w:val="top"/>
          </w:tcPr>
          <w:p>
            <w:pPr>
              <w:spacing w:after="20" w:before="20"/>
            </w:pPr>
            <w:r>
              <w:rPr>
                <w:rFonts w:ascii="Calibri" w:hAnsi="Calibri" w:cs="Calibri"/>
                <w:b w:val="0"/>
                <w:sz w:val="20"/>
              </w:rPr>
              <w:t>discharge</w:t>
            </w:r>
          </w:p>
        </w:tc>
        <w:tc>
          <w:tcPr>
            <w:tcW w:type="dxa" w:w="3312"/>
            <w:vAlign w:val="top"/>
          </w:tcPr>
          <w:p>
            <w:pPr>
              <w:spacing w:after="20" w:before="20"/>
            </w:pPr>
            <w:r>
              <w:rPr>
                <w:rFonts w:ascii="Calibri" w:hAnsi="Calibri" w:cs="Calibri"/>
                <w:b w:val="0"/>
                <w:sz w:val="20"/>
              </w:rPr>
              <w:t>66.000</w:t>
            </w:r>
          </w:p>
        </w:tc>
        <w:tc>
          <w:tcPr>
            <w:tcW w:type="dxa" w:w="3312"/>
            <w:vAlign w:val="top"/>
          </w:tcPr>
          <w:p>
            <w:pPr>
              <w:spacing w:after="20" w:before="20"/>
            </w:pPr>
            <w:r>
              <w:rPr>
                <w:rFonts w:ascii="Calibri" w:hAnsi="Calibri" w:cs="Calibri"/>
                <w:b w:val="0"/>
                <w:sz w:val="20"/>
              </w:rPr>
              <w:t>63.000</w:t>
            </w:r>
          </w:p>
        </w:tc>
      </w:tr>
    </w:tbl>
    <w:p>
      <w:pPr>
        <w:spacing w:after="40"/>
      </w:pP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vAlign w:val="top"/>
          </w:tcPr>
          <w:p>
            <w:pPr>
              <w:spacing w:after="20" w:before="20"/>
            </w:pPr>
            <w:r>
              <w:rPr>
                <w:rFonts w:ascii="Calibri" w:hAnsi="Calibri" w:cs="Calibri"/>
                <w:b w:val="0"/>
                <w:sz w:val="20"/>
              </w:rPr>
              <w:t>hospital day 5</w:t>
            </w:r>
          </w:p>
        </w:tc>
        <w:tc>
          <w:tcPr>
            <w:tcW w:type="dxa" w:w="2448"/>
            <w:vAlign w:val="top"/>
          </w:tcPr>
          <w:p>
            <w:pPr>
              <w:spacing w:after="20" w:before="20"/>
            </w:pPr>
            <w:r>
              <w:rPr>
                <w:rFonts w:ascii="Calibri" w:hAnsi="Calibri" w:cs="Calibri"/>
                <w:b w:val="0"/>
                <w:sz w:val="20"/>
              </w:rPr>
              <w:t>1655</w:t>
            </w:r>
          </w:p>
        </w:tc>
        <w:tc>
          <w:tcPr>
            <w:tcW w:type="dxa" w:w="2448"/>
            <w:vAlign w:val="top"/>
          </w:tcPr>
          <w:p>
            <w:pPr>
              <w:spacing w:after="20" w:before="20"/>
            </w:pPr>
            <w:r>
              <w:rPr>
                <w:rFonts w:ascii="Calibri" w:hAnsi="Calibri" w:cs="Calibri"/>
                <w:b w:val="0"/>
                <w:sz w:val="20"/>
              </w:rPr>
              <w:t>1812</w:t>
            </w:r>
          </w:p>
        </w:tc>
        <w:tc>
          <w:tcPr>
            <w:tcW w:type="dxa" w:w="2448"/>
            <w:vAlign w:val="top"/>
          </w:tcPr>
          <w:p>
            <w:pPr>
              <w:spacing w:after="20" w:before="20"/>
            </w:pPr>
            <w:r>
              <w:rPr>
                <w:rFonts w:ascii="Calibri" w:hAnsi="Calibri" w:cs="Calibri"/>
                <w:b w:val="0"/>
                <w:sz w:val="20"/>
              </w:rPr>
              <w:t>-157</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BX Rating tacrolimus 1 MG Oral Capsule</w:t>
            </w:r>
          </w:p>
        </w:tc>
        <w:tc>
          <w:tcPr>
            <w:tcW w:type="dxa" w:w="1296"/>
            <w:vAlign w:val="top"/>
          </w:tcPr>
          <w:p>
            <w:pPr>
              <w:spacing w:after="20" w:before="20"/>
            </w:pPr>
            <w:r>
              <w:rPr>
                <w:rFonts w:ascii="Calibri" w:hAnsi="Calibri" w:cs="Calibri"/>
                <w:b w:val="0"/>
                <w:sz w:val="20"/>
              </w:rPr>
              <w:t>1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every 12 hours</w:t>
            </w:r>
          </w:p>
        </w:tc>
        <w:tc>
          <w:tcPr>
            <w:tcW w:type="dxa" w:w="2736"/>
            <w:vAlign w:val="top"/>
          </w:tcPr>
          <w:p>
            <w:pPr>
              <w:spacing w:after="20" w:before="20"/>
            </w:pPr>
            <w:r>
              <w:rPr>
                <w:rFonts w:ascii="Calibri" w:hAnsi="Calibri" w:cs="Calibri"/>
                <w:b w:val="0"/>
                <w:sz w:val="20"/>
              </w:rPr>
              <w:t>Indication: Kidney transplant status</w:t>
            </w:r>
          </w:p>
        </w:tc>
      </w:tr>
      <w:tr>
        <w:trPr>
          <w:cantSplit/>
        </w:trPr>
        <w:tc>
          <w:tcPr>
            <w:tcW w:type="dxa" w:w="3024"/>
            <w:vAlign w:val="top"/>
          </w:tcPr>
          <w:p>
            <w:pPr>
              <w:spacing w:after="20" w:before="20"/>
            </w:pPr>
            <w:r>
              <w:rPr>
                <w:rFonts w:ascii="Calibri" w:hAnsi="Calibri" w:cs="Calibri"/>
                <w:b w:val="0"/>
                <w:sz w:val="20"/>
              </w:rPr>
              <w:t>amlodipine 5 MG Oral Tablet</w:t>
            </w:r>
          </w:p>
        </w:tc>
        <w:tc>
          <w:tcPr>
            <w:tcW w:type="dxa" w:w="1296"/>
            <w:vAlign w:val="top"/>
          </w:tcPr>
          <w:p>
            <w:pPr>
              <w:spacing w:after="20" w:before="20"/>
            </w:pPr>
            <w:r>
              <w:rPr>
                <w:rFonts w:ascii="Calibri" w:hAnsi="Calibri" w:cs="Calibri"/>
                <w:b w:val="0"/>
                <w:sz w:val="20"/>
              </w:rPr>
              <w:t>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BX Rating tacrolimus 1 MG Oral Capsule</w:t>
            </w:r>
          </w:p>
        </w:tc>
        <w:tc>
          <w:tcPr>
            <w:tcW w:type="dxa" w:w="1296"/>
            <w:vAlign w:val="top"/>
          </w:tcPr>
          <w:p>
            <w:pPr>
              <w:spacing w:after="20" w:before="20"/>
            </w:pPr>
            <w:r>
              <w:rPr>
                <w:rFonts w:ascii="Calibri" w:hAnsi="Calibri" w:cs="Calibri"/>
                <w:b w:val="0"/>
                <w:sz w:val="20"/>
              </w:rPr>
              <w:t>1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every 12 hours</w:t>
            </w:r>
          </w:p>
        </w:tc>
        <w:tc>
          <w:tcPr>
            <w:tcW w:type="dxa" w:w="2736"/>
            <w:vAlign w:val="top"/>
          </w:tcPr>
          <w:p>
            <w:pPr>
              <w:spacing w:after="20" w:before="20"/>
            </w:pPr>
            <w:r>
              <w:rPr>
                <w:rFonts w:ascii="Calibri" w:hAnsi="Calibri" w:cs="Calibri"/>
                <w:b w:val="0"/>
                <w:sz w:val="20"/>
              </w:rPr>
              <w:t>Indication: Kidney transplant status</w:t>
            </w:r>
          </w:p>
        </w:tc>
      </w:tr>
      <w:tr>
        <w:trPr>
          <w:cantSplit/>
        </w:trPr>
        <w:tc>
          <w:tcPr>
            <w:tcW w:type="dxa" w:w="3024"/>
            <w:vAlign w:val="top"/>
          </w:tcPr>
          <w:p>
            <w:pPr>
              <w:spacing w:after="20" w:before="20"/>
            </w:pPr>
            <w:r>
              <w:rPr>
                <w:rFonts w:ascii="Calibri" w:hAnsi="Calibri" w:cs="Calibri"/>
                <w:b w:val="0"/>
                <w:sz w:val="20"/>
              </w:rPr>
              <w:t>amlodipine 5 MG Oral Tablet</w:t>
            </w:r>
          </w:p>
        </w:tc>
        <w:tc>
          <w:tcPr>
            <w:tcW w:type="dxa" w:w="1296"/>
            <w:vAlign w:val="top"/>
          </w:tcPr>
          <w:p>
            <w:pPr>
              <w:spacing w:after="20" w:before="20"/>
            </w:pPr>
            <w:r>
              <w:rPr>
                <w:rFonts w:ascii="Calibri" w:hAnsi="Calibri" w:cs="Calibri"/>
                <w:b w:val="0"/>
                <w:sz w:val="20"/>
              </w:rPr>
              <w:t>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valganciclovir 450 MG Oral Tablet</w:t>
            </w:r>
          </w:p>
        </w:tc>
        <w:tc>
          <w:tcPr>
            <w:tcW w:type="dxa" w:w="1296"/>
            <w:vAlign w:val="top"/>
          </w:tcPr>
          <w:p>
            <w:pPr>
              <w:spacing w:after="20" w:before="20"/>
            </w:pPr>
            <w:r>
              <w:rPr>
                <w:rFonts w:ascii="Calibri" w:hAnsi="Calibri" w:cs="Calibri"/>
                <w:b w:val="0"/>
                <w:sz w:val="20"/>
              </w:rPr>
              <w:t>900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Other cytomegaloviral diseases; Note: Started after the admission viral-load result. Given as 450 MG tablets.</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4896"/>
            <w:shd w:val="clear" w:color="auto" w:fill="D9E2F3"/>
          </w:tcPr>
          <w:p>
            <w:pPr>
              <w:spacing w:after="20" w:before="20"/>
            </w:pPr>
            <w:r>
              <w:rPr>
                <w:rFonts w:ascii="Calibri" w:hAnsi="Calibri" w:cs="Calibri"/>
                <w:b/>
                <w:sz w:val="20"/>
              </w:rPr>
              <w:t>Procedure</w:t>
            </w:r>
          </w:p>
        </w:tc>
        <w:tc>
          <w:tcPr>
            <w:tcW w:type="dxa" w:w="4896"/>
            <w:shd w:val="clear" w:color="auto" w:fill="D9E2F3"/>
          </w:tcPr>
          <w:p>
            <w:pPr>
              <w:spacing w:after="20" w:before="20"/>
            </w:pPr>
            <w:r>
              <w:rPr>
                <w:rFonts w:ascii="Calibri" w:hAnsi="Calibri" w:cs="Calibri"/>
                <w:b/>
                <w:sz w:val="20"/>
              </w:rPr>
              <w:t>Findings</w:t>
            </w:r>
          </w:p>
        </w:tc>
      </w:tr>
      <w:tr>
        <w:trPr>
          <w:cantSplit/>
        </w:trPr>
        <w:tc>
          <w:tcPr>
            <w:tcW w:type="dxa" w:w="4896"/>
            <w:vAlign w:val="top"/>
          </w:tcPr>
          <w:p>
            <w:pPr>
              <w:spacing w:after="20" w:before="20"/>
            </w:pPr>
            <w:r>
              <w:rPr>
                <w:rFonts w:ascii="Calibri" w:hAnsi="Calibri" w:cs="Calibri"/>
                <w:b w:val="0"/>
                <w:sz w:val="20"/>
              </w:rPr>
              <w:t>CMV viral-load review</w:t>
            </w:r>
          </w:p>
        </w:tc>
        <w:tc>
          <w:tcPr>
            <w:tcW w:type="dxa" w:w="4896"/>
            <w:vAlign w:val="top"/>
          </w:tcPr>
          <w:p>
            <w:pPr>
              <w:spacing w:after="20" w:before="20"/>
            </w:pPr>
            <w:r>
              <w:rPr>
                <w:rFonts w:ascii="Calibri" w:hAnsi="Calibri" w:cs="Calibri"/>
                <w:b w:val="0"/>
                <w:sz w:val="20"/>
              </w:rPr>
              <w:t>CMV viral burden was detected and supported antiviral treatment.</w:t>
            </w:r>
          </w:p>
        </w:tc>
      </w:tr>
      <w:tr>
        <w:trPr>
          <w:cantSplit/>
        </w:trPr>
        <w:tc>
          <w:tcPr>
            <w:tcW w:type="dxa" w:w="4896"/>
            <w:vAlign w:val="top"/>
          </w:tcPr>
          <w:p>
            <w:pPr>
              <w:spacing w:after="20" w:before="20"/>
            </w:pPr>
            <w:r>
              <w:rPr>
                <w:rFonts w:ascii="Calibri" w:hAnsi="Calibri" w:cs="Calibri"/>
                <w:b w:val="0"/>
                <w:sz w:val="20"/>
              </w:rPr>
              <w:t>CMV viral-load review</w:t>
            </w:r>
          </w:p>
        </w:tc>
        <w:tc>
          <w:tcPr>
            <w:tcW w:type="dxa" w:w="4896"/>
            <w:vAlign w:val="top"/>
          </w:tcPr>
          <w:p>
            <w:pPr>
              <w:spacing w:after="20" w:before="20"/>
            </w:pPr>
            <w:r>
              <w:rPr>
                <w:rFonts w:ascii="Calibri" w:hAnsi="Calibri" w:cs="Calibri"/>
                <w:b w:val="0"/>
                <w:sz w:val="20"/>
              </w:rPr>
              <w:t>CMV viral burden was lower than the admission result.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Service</w:t>
            </w:r>
          </w:p>
        </w:tc>
        <w:tc>
          <w:tcPr>
            <w:tcW w:type="dxa" w:w="3264"/>
            <w:shd w:val="clear" w:color="auto" w:fill="D9E2F3"/>
          </w:tcPr>
          <w:p>
            <w:pPr>
              <w:spacing w:after="20" w:before="20"/>
            </w:pPr>
            <w:r>
              <w:rPr>
                <w:rFonts w:ascii="Calibri" w:hAnsi="Calibri" w:cs="Calibri"/>
                <w:b/>
                <w:sz w:val="20"/>
              </w:rPr>
              <w:t>Assessment</w:t>
            </w:r>
          </w:p>
        </w:tc>
        <w:tc>
          <w:tcPr>
            <w:tcW w:type="dxa" w:w="3264"/>
            <w:shd w:val="clear" w:color="auto" w:fill="D9E2F3"/>
          </w:tcPr>
          <w:p>
            <w:pPr>
              <w:spacing w:after="20" w:before="20"/>
            </w:pPr>
            <w:r>
              <w:rPr>
                <w:rFonts w:ascii="Calibri" w:hAnsi="Calibri" w:cs="Calibri"/>
                <w:b/>
                <w:sz w:val="20"/>
              </w:rPr>
              <w:t>Recommendation</w:t>
            </w:r>
          </w:p>
        </w:tc>
      </w:tr>
      <w:tr>
        <w:trPr>
          <w:cantSplit/>
        </w:trPr>
        <w:tc>
          <w:tcPr>
            <w:tcW w:type="dxa" w:w="3264"/>
            <w:vAlign w:val="top"/>
          </w:tcPr>
          <w:p>
            <w:pPr>
              <w:spacing w:after="20" w:before="20"/>
            </w:pPr>
            <w:r>
              <w:rPr>
                <w:rFonts w:ascii="Calibri" w:hAnsi="Calibri" w:cs="Calibri"/>
                <w:b w:val="0"/>
                <w:sz w:val="20"/>
              </w:rPr>
              <w:t>transplant</w:t>
            </w:r>
          </w:p>
        </w:tc>
        <w:tc>
          <w:tcPr>
            <w:tcW w:type="dxa" w:w="3264"/>
            <w:vAlign w:val="top"/>
          </w:tcPr>
          <w:p>
            <w:pPr>
              <w:spacing w:after="20" w:before="20"/>
            </w:pPr>
            <w:r>
              <w:rPr>
                <w:rFonts w:ascii="Calibri" w:hAnsi="Calibri" w:cs="Calibri"/>
                <w:b w:val="0"/>
                <w:sz w:val="20"/>
              </w:rPr>
              <w:t>Kidney transplant. The recorded immunosuppressant dose was given through the stay.</w:t>
            </w:r>
          </w:p>
        </w:tc>
        <w:tc>
          <w:tcPr>
            <w:tcW w:type="dxa" w:w="3264"/>
            <w:vAlign w:val="top"/>
          </w:tcPr>
          <w:p>
            <w:pPr>
              <w:spacing w:after="20" w:before="20"/>
            </w:pPr>
            <w:r>
              <w:rPr>
                <w:rFonts w:ascii="Calibri" w:hAnsi="Calibri" w:cs="Calibri"/>
                <w:b w:val="0"/>
                <w:sz w:val="20"/>
              </w:rPr>
              <w:t>Tacrolimus 1 mg every 12 hours is the recorded immunosuppressant. No other immunosuppressant is on the medication list. No trough is recorded.</w:t>
            </w:r>
          </w:p>
        </w:tc>
      </w:tr>
      <w:tr>
        <w:trPr>
          <w:cantSplit/>
        </w:trPr>
        <w:tc>
          <w:tcPr>
            <w:tcW w:type="dxa" w:w="3264"/>
            <w:vAlign w:val="top"/>
          </w:tcPr>
          <w:p>
            <w:pPr>
              <w:spacing w:after="20" w:before="20"/>
            </w:pPr>
            <w:r>
              <w:rPr>
                <w:rFonts w:ascii="Calibri" w:hAnsi="Calibri" w:cs="Calibri"/>
                <w:b w:val="0"/>
                <w:sz w:val="20"/>
              </w:rPr>
              <w:t>infectious disease</w:t>
            </w:r>
          </w:p>
        </w:tc>
        <w:tc>
          <w:tcPr>
            <w:tcW w:type="dxa" w:w="3264"/>
            <w:vAlign w:val="top"/>
          </w:tcPr>
          <w:p>
            <w:pPr>
              <w:spacing w:after="20" w:before="20"/>
            </w:pPr>
            <w:r>
              <w:rPr>
                <w:rFonts w:ascii="Calibri" w:hAnsi="Calibri" w:cs="Calibri"/>
                <w:b w:val="0"/>
                <w:sz w:val="20"/>
              </w:rPr>
              <w:t>Diarrhea improved after the antiviral was started.</w:t>
            </w:r>
          </w:p>
        </w:tc>
        <w:tc>
          <w:tcPr>
            <w:tcW w:type="dxa" w:w="3264"/>
            <w:vAlign w:val="top"/>
          </w:tcPr>
          <w:p>
            <w:pPr>
              <w:spacing w:after="20" w:before="20"/>
            </w:pPr>
            <w:r>
              <w:rPr>
                <w:rFonts w:ascii="Calibri" w:hAnsi="Calibri" w:cs="Calibri"/>
                <w:b w:val="0"/>
                <w:sz w:val="20"/>
              </w:rPr>
              <w:t>The admission viral-load review detected CMV. Valganciclovir was started after that result.</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Transplant clinic follow-up</w:t>
            </w:r>
          </w:p>
        </w:tc>
        <w:tc>
          <w:tcPr>
            <w:tcW w:type="dxa" w:w="3264"/>
            <w:vAlign w:val="top"/>
          </w:tcPr>
          <w:p>
            <w:pPr>
              <w:spacing w:after="20" w:before="20"/>
            </w:pPr>
            <w:r>
              <w:rPr>
                <w:rFonts w:ascii="Calibri" w:hAnsi="Calibri" w:cs="Calibri"/>
                <w:b w:val="0"/>
                <w:sz w:val="20"/>
              </w:rPr>
              <w:t>7 days</w:t>
            </w:r>
          </w:p>
        </w:tc>
        <w:tc>
          <w:tcPr>
            <w:tcW w:type="dxa" w:w="3264"/>
            <w:vAlign w:val="top"/>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13 C1 Presentation and demographics 1"/>
                <w:tag w:val="VAL-813-c1-Presentation and demographics-1"/>
                <w:id w:val="2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Presentation and demographics 2"/>
                <w:tag w:val="VAL-813-c1-Presentation and demographics-2"/>
                <w:id w:val="2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Presentation and demographics 3"/>
                <w:tag w:val="VAL-813-c1-Presentation and demographics-3"/>
                <w:id w:val="2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Presentation and demographics 4"/>
                <w:tag w:val="VAL-813-c1-Presentation and demographics-4"/>
                <w:id w:val="2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13 C1 Fit between presentation and diagnosis 1"/>
                <w:tag w:val="VAL-813-c1-Fit between presentation and diagnosis-1"/>
                <w:id w:val="2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Fit between presentation and diagnosis 2"/>
                <w:tag w:val="VAL-813-c1-Fit between presentation and diagnosis-2"/>
                <w:id w:val="2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Fit between presentation and diagnosis 3"/>
                <w:tag w:val="VAL-813-c1-Fit between presentation and diagnosis-3"/>
                <w:id w:val="2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Fit between presentation and diagnosis 4"/>
                <w:tag w:val="VAL-813-c1-Fit between presentation and diagnosis-4"/>
                <w:id w:val="2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13 C1 Vital signs 1"/>
                <w:tag w:val="VAL-813-c1-Vital signs-1"/>
                <w:id w:val="2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Vital signs 2"/>
                <w:tag w:val="VAL-813-c1-Vital signs-2"/>
                <w:id w:val="3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Vital signs 3"/>
                <w:tag w:val="VAL-813-c1-Vital signs-3"/>
                <w:id w:val="3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Vital signs 4"/>
                <w:tag w:val="VAL-813-c1-Vital signs-4"/>
                <w:id w:val="3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13 C1 Laboratory findings 1"/>
                <w:tag w:val="VAL-813-c1-Laboratory findings-1"/>
                <w:id w:val="3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Laboratory findings 2"/>
                <w:tag w:val="VAL-813-c1-Laboratory findings-2"/>
                <w:id w:val="3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Laboratory findings 3"/>
                <w:tag w:val="VAL-813-c1-Laboratory findings-3"/>
                <w:id w:val="3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Laboratory findings 4"/>
                <w:tag w:val="VAL-813-c1-Laboratory findings-4"/>
                <w:id w:val="3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13 C1 Medication regimen 1"/>
                <w:tag w:val="VAL-813-c1-Medication regimen-1"/>
                <w:id w:val="3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Medication regimen 2"/>
                <w:tag w:val="VAL-813-c1-Medication regimen-2"/>
                <w:id w:val="3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Medication regimen 3"/>
                <w:tag w:val="VAL-813-c1-Medication regimen-3"/>
                <w:id w:val="3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Medication regimen 4"/>
                <w:tag w:val="VAL-813-c1-Medication regimen-4"/>
                <w:id w:val="3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13 C1 Hospital course 1"/>
                <w:tag w:val="VAL-813-c1-Hospital course-1"/>
                <w:id w:val="3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Hospital course 2"/>
                <w:tag w:val="VAL-813-c1-Hospital course-2"/>
                <w:id w:val="3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Hospital course 3"/>
                <w:tag w:val="VAL-813-c1-Hospital course-3"/>
                <w:id w:val="3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Hospital course 4"/>
                <w:tag w:val="VAL-813-c1-Hospital course-4"/>
                <w:id w:val="3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13 C1 Chart consistency 1"/>
                <w:tag w:val="VAL-813-c1-Chart consistency-1"/>
                <w:id w:val="3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Chart consistency 2"/>
                <w:tag w:val="VAL-813-c1-Chart consistency-2"/>
                <w:id w:val="3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Chart consistency 3"/>
                <w:tag w:val="VAL-813-c1-Chart consistency-3"/>
                <w:id w:val="3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Chart consistency 4"/>
                <w:tag w:val="VAL-813-c1-Chart consistency-4"/>
                <w:id w:val="3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13 C1 Discharge context and follow-up 1"/>
                <w:tag w:val="VAL-813-c1-Discharge context and follow-up-1"/>
                <w:id w:val="3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Discharge context and follow-up 2"/>
                <w:tag w:val="VAL-813-c1-Discharge context and follow-up-2"/>
                <w:id w:val="3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Discharge context and follow-up 3"/>
                <w:tag w:val="VAL-813-c1-Discharge context and follow-up-3"/>
                <w:id w:val="3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Discharge context and follow-up 4"/>
                <w:tag w:val="VAL-813-c1-Discharge context and follow-up-4"/>
                <w:id w:val="3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13 c1-overall Pass"/>
                <w:tag w:val="VAL-813-c1-overall-Pass"/>
                <w:id w:val="3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13 c1-overall Fail"/>
                <w:tag w:val="VAL-813-c1-overall-Fail"/>
                <w:id w:val="3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13-c1-comment"/>
              <w:id w:val="32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13 c2 Pass"/>
                <w:tag w:val="VAL-813-c2-Pass"/>
                <w:id w:val="3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13 c2 Fail"/>
                <w:tag w:val="VAL-813-c2-Fail"/>
                <w:id w:val="3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13-c2-comment"/>
              <w:id w:val="32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BX Rating tacrolimus 1 MG Oral Capsule</w:t>
            </w:r>
          </w:p>
        </w:tc>
        <w:tc>
          <w:tcPr>
            <w:tcW w:type="dxa" w:w="1152"/>
            <w:vAlign w:val="top"/>
          </w:tcPr>
          <w:p>
            <w:pPr>
              <w:spacing w:after="20" w:before="20"/>
            </w:pPr>
            <w:r>
              <w:rPr>
                <w:rFonts w:ascii="Calibri" w:hAnsi="Calibri" w:cs="Calibri"/>
                <w:b w:val="0"/>
                <w:sz w:val="20"/>
              </w:rPr>
              <w:t>1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every 12 hours</w:t>
            </w:r>
          </w:p>
        </w:tc>
        <w:tc>
          <w:tcPr>
            <w:tcW w:type="dxa" w:w="2304"/>
            <w:vAlign w:val="top"/>
          </w:tcPr>
          <w:p>
            <w:pPr>
              <w:spacing w:after="20" w:before="20"/>
            </w:pPr>
            <w:r>
              <w:rPr>
                <w:rFonts w:ascii="Calibri" w:hAnsi="Calibri" w:cs="Calibri"/>
                <w:b w:val="0"/>
                <w:sz w:val="20"/>
              </w:rPr>
              <w:t>Kidney transplant status</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amlodipine 5 MG Oral Tablet</w:t>
            </w:r>
          </w:p>
        </w:tc>
        <w:tc>
          <w:tcPr>
            <w:tcW w:type="dxa" w:w="1152"/>
            <w:vAlign w:val="top"/>
          </w:tcPr>
          <w:p>
            <w:pPr>
              <w:spacing w:after="20" w:before="20"/>
            </w:pPr>
            <w:r>
              <w:rPr>
                <w:rFonts w:ascii="Calibri" w:hAnsi="Calibri" w:cs="Calibri"/>
                <w:b w:val="0"/>
                <w:sz w:val="20"/>
              </w:rPr>
              <w:t>5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start</w:t>
            </w:r>
          </w:p>
        </w:tc>
        <w:tc>
          <w:tcPr>
            <w:tcW w:type="dxa" w:w="2592"/>
            <w:vAlign w:val="top"/>
          </w:tcPr>
          <w:p>
            <w:pPr>
              <w:spacing w:after="20" w:before="20"/>
            </w:pPr>
            <w:r>
              <w:rPr>
                <w:rFonts w:ascii="Calibri" w:hAnsi="Calibri" w:cs="Calibri"/>
                <w:b w:val="0"/>
                <w:sz w:val="20"/>
              </w:rPr>
              <w:t>valganciclovir 450 MG Oral Tablet</w:t>
            </w:r>
          </w:p>
        </w:tc>
        <w:tc>
          <w:tcPr>
            <w:tcW w:type="dxa" w:w="1152"/>
            <w:vAlign w:val="top"/>
          </w:tcPr>
          <w:p>
            <w:pPr>
              <w:spacing w:after="20" w:before="20"/>
            </w:pPr>
            <w:r>
              <w:rPr>
                <w:rFonts w:ascii="Calibri" w:hAnsi="Calibri" w:cs="Calibri"/>
                <w:b w:val="0"/>
                <w:sz w:val="20"/>
              </w:rPr>
              <w:t>900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twice daily</w:t>
            </w:r>
          </w:p>
        </w:tc>
        <w:tc>
          <w:tcPr>
            <w:tcW w:type="dxa" w:w="2304"/>
            <w:vAlign w:val="top"/>
          </w:tcPr>
          <w:p>
            <w:pPr>
              <w:spacing w:after="20" w:before="20"/>
            </w:pPr>
            <w:r>
              <w:rPr>
                <w:rFonts w:ascii="Calibri" w:hAnsi="Calibri" w:cs="Calibri"/>
                <w:b w:val="0"/>
                <w:sz w:val="20"/>
              </w:rPr>
              <w:t>Other cytomegaloviral diseases</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BX Rating tacrolimus 1 MG Oral Capsule</w:t>
            </w:r>
          </w:p>
        </w:tc>
        <w:tc>
          <w:tcPr>
            <w:tcW w:type="dxa" w:w="2016"/>
            <w:vAlign w:val="top"/>
          </w:tcPr>
          <w:p>
            <w:pPr>
              <w:spacing w:after="20" w:before="20"/>
            </w:pPr>
            <w:r>
              <w:rPr>
                <w:rFonts w:ascii="Calibri" w:hAnsi="Calibri" w:cs="Calibri"/>
                <w:b w:val="0"/>
                <w:sz w:val="20"/>
              </w:rPr>
              <w:t>modify</w:t>
            </w:r>
          </w:p>
        </w:tc>
        <w:tc>
          <w:tcPr>
            <w:tcW w:type="dxa" w:w="4608"/>
            <w:vAlign w:val="top"/>
          </w:tcPr>
          <w:p>
            <w:pPr>
              <w:spacing w:after="20" w:before="20"/>
            </w:pPr>
            <w:r>
              <w:rPr>
                <w:rFonts w:ascii="Calibri" w:hAnsi="Calibri" w:cs="Calibri"/>
                <w:b w:val="0"/>
                <w:sz w:val="20"/>
              </w:rPr>
              <w:t>A temporary reduction is acceptable if the transplant service documents one. No trough and no reduction are recorded, so the reference continues 1 mg every 12 hours.</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Valganciclovir was not a home medicine. It was started at 900 mg twice daily after the admission viral-load result. Creatinine is 1.2 mg/dL then 1.0 mg/dL. Tacrolimus is 1 mg every 12 hours, and no trough is recorded. Potassium is 4.7 mmol/L then 3.9 mmol/L, and no cause is recorded. Should tacrolimus be continued or temporarily reduced?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13-adjudication"/>
              <w:id w:val="32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13 c3 Pass"/>
                <w:tag w:val="VAL-813-c3-Pass"/>
                <w:id w:val="3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13 c3 Fail"/>
                <w:tag w:val="VAL-813-c3-Fail"/>
                <w:id w:val="3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13 c4 No"/>
                <w:tag w:val="VAL-813-c4-No"/>
                <w:id w:val="3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13 c4 Yes"/>
                <w:tag w:val="VAL-813-c4-Yes"/>
                <w:id w:val="3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13 c5-issue No"/>
                <w:tag w:val="VAL-813-c5-issue-No"/>
                <w:id w:val="3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13 c5-issue Yes"/>
                <w:tag w:val="VAL-813-c5-issue-Yes"/>
                <w:id w:val="3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13 c5-leak No"/>
                <w:tag w:val="VAL-813-c5-leak-No"/>
                <w:id w:val="3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13 c5-leak Yes"/>
                <w:tag w:val="VAL-813-c5-leak-Yes"/>
                <w:id w:val="3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13-c5-comment"/>
              <w:id w:val="33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13 c6 Easy"/>
                <w:tag w:val="VAL-813-c6-Easy"/>
                <w:id w:val="3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13 c6 Moderate"/>
                <w:tag w:val="VAL-813-c6-Moderate"/>
                <w:id w:val="3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13 c6 Hard"/>
                <w:tag w:val="VAL-813-c6-Hard"/>
                <w:id w:val="3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13 c6 Inappropriate or outlier"/>
                <w:tag w:val="VAL-813-c6-Inappropriate or outlier"/>
                <w:id w:val="3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13 overall Accept"/>
                <w:tag w:val="VAL-813-overall-Accept"/>
                <w:id w:val="3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13 overall Revise"/>
                <w:tag w:val="VAL-813-overall-Revise"/>
                <w:id w:val="3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13 overall Exclude"/>
                <w:tag w:val="VAL-813-overall-Exclude"/>
                <w:id w:val="3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13-overall-comment"/>
              <w:id w:val="34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13-reviewer"/>
          <w:id w:val="34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13-date"/>
          <w:id w:val="348"/>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Patient is admitted for new diagnosis of CMV colitis, but was already on treatment for this (valganciclovir) prior to admission, which does not make sense. This medication would be started after diagnosis during the hospitalization. The medications are much too simplified for a post transplant patient. The labs are incomplete and the patient has a change in potassium without obvious cause or indication.</w:t>
            </w:r>
          </w:p>
        </w:tc>
      </w:tr>
    </w:tbl>
    <w:p>
      <w:pPr>
        <w:spacing w:after="40"/>
      </w:pPr>
    </w:p>
    <w:p>
      <w:pPr>
        <w:spacing w:after="120"/>
      </w:pPr>
      <w:r>
        <w:rPr>
          <w:rFonts w:ascii="Calibri" w:hAnsi="Calibri" w:cs="Calibri"/>
          <w:b w:val="0"/>
          <w:sz w:val="22"/>
        </w:rPr>
        <w:t>C2 question: Does this case appropriately contain no deliberately introduced medication-reconciliation or transition-of-care problem?</w:t>
      </w:r>
    </w:p>
    <w:p>
      <w:pPr>
        <w:spacing w:after="120"/>
      </w:pPr>
      <w:r>
        <w:rPr>
          <w:rFonts w:ascii="Calibri" w:hAnsi="Calibri" w:cs="Calibri"/>
          <w:b w:val="0"/>
          <w:sz w:val="22"/>
        </w:rPr>
        <w:t>C2: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Since the patient was on valganciclovir on admission, it would make you think that you need to change to an alternative regimen to appropriately treat the CMV</w:t>
            </w:r>
          </w:p>
        </w:tc>
      </w:tr>
    </w:tbl>
    <w:p>
      <w:pPr>
        <w:spacing w:after="40"/>
      </w:pPr>
    </w:p>
    <w:p>
      <w:pPr>
        <w:spacing w:after="120"/>
      </w:pPr>
      <w:r>
        <w:rPr>
          <w:rFonts w:ascii="Calibri" w:hAnsi="Calibri" w:cs="Calibri"/>
          <w:b w:val="0"/>
          <w:sz w:val="22"/>
        </w:rPr>
        <w:t>C3 question: Does the case avoid misleading cues suggesting that an error must exist?</w:t>
      </w:r>
    </w:p>
    <w:p>
      <w:pPr>
        <w:spacing w:after="120"/>
      </w:pPr>
      <w:r>
        <w:rPr>
          <w:rFonts w:ascii="Calibri" w:hAnsi="Calibri" w:cs="Calibri"/>
          <w:b w:val="0"/>
          <w:sz w:val="22"/>
        </w:rPr>
        <w:t>C3: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As above, it isn’t clear why the patient was already on valganciclovir</w:t>
            </w:r>
          </w:p>
        </w:tc>
      </w:tr>
    </w:tbl>
    <w:p>
      <w:pPr>
        <w:spacing w:after="40"/>
      </w:pPr>
    </w:p>
    <w:p>
      <w:pPr>
        <w:spacing w:after="120"/>
      </w:pPr>
      <w:r>
        <w:rPr>
          <w:rFonts w:ascii="Calibri" w:hAnsi="Calibri" w:cs="Calibri"/>
          <w:b w:val="0"/>
          <w:sz w:val="22"/>
        </w:rPr>
        <w:t>C4 question: Does the case contain any clinically meaningful medication-reconciliation or transition-of-care problem that should not be present?</w:t>
      </w:r>
    </w:p>
    <w:p>
      <w:pPr>
        <w:spacing w:after="120"/>
      </w:pPr>
      <w:r>
        <w:rPr>
          <w:rFonts w:ascii="Calibri" w:hAnsi="Calibri" w:cs="Calibri"/>
          <w:b w:val="0"/>
          <w:sz w:val="22"/>
        </w:rPr>
        <w:t>C4: Fail</w:t>
      </w:r>
    </w:p>
    <w:p>
      <w:pPr>
        <w:spacing w:after="120"/>
      </w:pPr>
      <w:r>
        <w:rPr>
          <w:rFonts w:ascii="Calibri" w:hAnsi="Calibri" w:cs="Calibri"/>
          <w:b w:val="0"/>
          <w:sz w:val="22"/>
        </w:rPr>
        <w:t>C4 issue: Valganciclovir</w:t>
      </w:r>
    </w:p>
    <w:p>
      <w:pPr>
        <w:spacing w:after="120"/>
      </w:pPr>
      <w:r>
        <w:rPr>
          <w:rFonts w:ascii="Calibri" w:hAnsi="Calibri" w:cs="Calibri"/>
          <w:b w:val="0"/>
          <w:sz w:val="22"/>
        </w:rPr>
        <w:t>C4 location: Admission medications</w:t>
      </w:r>
    </w:p>
    <w:p>
      <w:pPr>
        <w:spacing w:after="120"/>
      </w:pPr>
      <w:r>
        <w:rPr>
          <w:rFonts w:ascii="Calibri" w:hAnsi="Calibri" w:cs="Calibri"/>
          <w:b w:val="0"/>
          <w:sz w:val="22"/>
        </w:rPr>
        <w:t>C4 clinical meaning: Should not be an admission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This is an error in the case that would be confusing</w:t>
            </w:r>
          </w:p>
        </w:tc>
      </w:tr>
    </w:tbl>
    <w:p>
      <w:pPr>
        <w:spacing w:after="40"/>
      </w:pPr>
    </w:p>
    <w:p>
      <w:pPr>
        <w:spacing w:after="120"/>
      </w:pPr>
      <w:r>
        <w:rPr>
          <w:rFonts w:ascii="Calibri" w:hAnsi="Calibri" w:cs="Calibri"/>
          <w:b w:val="0"/>
          <w:sz w:val="22"/>
        </w:rPr>
        <w:t>C5: Inappropriate / outlier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Overall recommendation: Exclude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Reviewer: KO. Date: 10/5/2026.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Fail. “Patient is admitted for new diagnosis of CMV colitis, but was already on treatment for this (valganciclovir) prior to admission, which does not make sense. This medication would be started after diagnosis during the hospitalization.” C2 Fail: being on valganciclovir at admission “would make you think that you need to change to an alternative regimen.” C4 Fail. Issue: “Valganciclovir.” Meaning: “Should not be an admission medication.” Comment: “This is an error in the case that would be confusing.”</w:t>
            </w:r>
          </w:p>
        </w:tc>
        <w:tc>
          <w:tcPr>
            <w:tcW w:type="dxa" w:w="1512"/>
            <w:vAlign w:val="top"/>
          </w:tcPr>
          <w:p>
            <w:pPr>
              <w:spacing w:after="20" w:before="20"/>
            </w:pPr>
            <w:r>
              <w:rPr>
                <w:rFonts w:ascii="Calibri" w:hAnsi="Calibri" w:cs="Calibri"/>
                <w:b w:val="0"/>
                <w:sz w:val="16"/>
              </w:rPr>
              <w:t>Valganciclovir was removed from the home list and remains an inpatient start after the admission viral-load result. The reference action is start.</w:t>
            </w:r>
          </w:p>
        </w:tc>
        <w:tc>
          <w:tcPr>
            <w:tcW w:type="dxa" w:w="1368"/>
            <w:vAlign w:val="top"/>
          </w:tcPr>
          <w:p>
            <w:pPr>
              <w:spacing w:after="20" w:before="20"/>
            </w:pPr>
            <w:r>
              <w:rPr>
                <w:rFonts w:ascii="Calibri" w:hAnsi="Calibri" w:cs="Calibri"/>
                <w:b w:val="0"/>
                <w:sz w:val="16"/>
              </w:rPr>
              <w:t>home medications; inpatient medications; presentation; hospital course; reference_discharge_plan</w:t>
            </w:r>
          </w:p>
        </w:tc>
        <w:tc>
          <w:tcPr>
            <w:tcW w:type="dxa" w:w="1656"/>
            <w:vAlign w:val="top"/>
          </w:tcPr>
          <w:p>
            <w:pPr>
              <w:spacing w:after="20" w:before="20"/>
            </w:pPr>
            <w:r>
              <w:rPr>
                <w:rFonts w:ascii="Calibri" w:hAnsi="Calibri" w:cs="Calibri"/>
                <w:b w:val="0"/>
                <w:sz w:val="16"/>
              </w:rPr>
              <w:t>Valganciclovir 900 mg twice daily is a home medicine and an inpatient medicine. The clean note says outpatient continuation is the intended plan.</w:t>
            </w:r>
          </w:p>
        </w:tc>
        <w:tc>
          <w:tcPr>
            <w:tcW w:type="dxa" w:w="1656"/>
            <w:vAlign w:val="top"/>
          </w:tcPr>
          <w:p>
            <w:pPr>
              <w:spacing w:after="20" w:before="20"/>
            </w:pPr>
            <w:r>
              <w:rPr>
                <w:rFonts w:ascii="Calibri" w:hAnsi="Calibri" w:cs="Calibri"/>
                <w:b w:val="0"/>
                <w:sz w:val="16"/>
              </w:rPr>
              <w:t>Home medicines are tacrolimus 1 mg every 12 hours, amlodipine 5 mg daily, and atorvastatin 40 mg daily. Valganciclovir 900 mg twice daily, given as 450 mg tablets, starts after the admission result that detected CMV viral burden. The reference action is start.</w:t>
            </w:r>
          </w:p>
        </w:tc>
        <w:tc>
          <w:tcPr>
            <w:tcW w:type="dxa" w:w="1944"/>
            <w:vAlign w:val="top"/>
          </w:tcPr>
          <w:p>
            <w:pPr>
              <w:spacing w:after="20" w:before="20"/>
            </w:pPr>
            <w:r>
              <w:rPr>
                <w:rFonts w:ascii="Calibri" w:hAnsi="Calibri" w:cs="Calibri"/>
                <w:b w:val="0"/>
                <w:sz w:val="16"/>
              </w:rPr>
              <w:t>The admission viral-load review is what supports antiviral treatment. A pre-admission valganciclovir row contradicts that sequence. The inpatient order and the project dose stay. Creatinine is 1.2 mg/dL then 1.0 mg/dL. The resident chart describes the inpatient start. It does not say to discharge on that list. [E1] [E16] [E17] [E18] [E19]</w:t>
            </w:r>
          </w:p>
        </w:tc>
      </w:tr>
      <w:tr>
        <w:trPr>
          <w:cantSplit/>
        </w:trPr>
        <w:tc>
          <w:tcPr>
            <w:tcW w:type="dxa" w:w="1656"/>
            <w:vAlign w:val="top"/>
          </w:tcPr>
          <w:p>
            <w:pPr>
              <w:spacing w:after="20" w:before="20"/>
            </w:pPr>
            <w:r>
              <w:rPr>
                <w:rFonts w:ascii="Calibri" w:hAnsi="Calibri" w:cs="Calibri"/>
                <w:b w:val="0"/>
                <w:sz w:val="16"/>
              </w:rPr>
              <w:t>“The medications are much too simplified for a post transplant patient.”</w:t>
            </w:r>
          </w:p>
        </w:tc>
        <w:tc>
          <w:tcPr>
            <w:tcW w:type="dxa" w:w="1512"/>
            <w:vAlign w:val="top"/>
          </w:tcPr>
          <w:p>
            <w:pPr>
              <w:spacing w:after="20" w:before="20"/>
            </w:pPr>
            <w:r>
              <w:rPr>
                <w:rFonts w:ascii="Calibri" w:hAnsi="Calibri" w:cs="Calibri"/>
                <w:b w:val="0"/>
                <w:sz w:val="16"/>
              </w:rPr>
              <w:t>No additional immunosuppressant was added. The codebook does not ask about a drug that is not on the list. A temporary tacrolimus reduction is an acceptable alternative.</w:t>
            </w:r>
          </w:p>
        </w:tc>
        <w:tc>
          <w:tcPr>
            <w:tcW w:type="dxa" w:w="1368"/>
            <w:vAlign w:val="top"/>
          </w:tcPr>
          <w:p>
            <w:pPr>
              <w:spacing w:after="20" w:before="20"/>
            </w:pPr>
            <w:r>
              <w:rPr>
                <w:rFonts w:ascii="Calibri" w:hAnsi="Calibri" w:cs="Calibri"/>
                <w:b w:val="0"/>
                <w:sz w:val="16"/>
              </w:rPr>
              <w:t>home medications; consultations; reference_discharge_plan; codebook adjudication</w:t>
            </w:r>
          </w:p>
        </w:tc>
        <w:tc>
          <w:tcPr>
            <w:tcW w:type="dxa" w:w="1656"/>
            <w:vAlign w:val="top"/>
          </w:tcPr>
          <w:p>
            <w:pPr>
              <w:spacing w:after="20" w:before="20"/>
            </w:pPr>
            <w:r>
              <w:rPr>
                <w:rFonts w:ascii="Calibri" w:hAnsi="Calibri" w:cs="Calibri"/>
                <w:b w:val="0"/>
                <w:sz w:val="16"/>
              </w:rPr>
              <w:t>The only immunosuppressant on the clean list is tacrolimus 1 mg every 12 hours. Version 1 added mycophenolate. The earlier codebook asked about mycophenolate.</w:t>
            </w:r>
          </w:p>
        </w:tc>
        <w:tc>
          <w:tcPr>
            <w:tcW w:type="dxa" w:w="1656"/>
            <w:vAlign w:val="top"/>
          </w:tcPr>
          <w:p>
            <w:pPr>
              <w:spacing w:after="20" w:before="20"/>
            </w:pPr>
            <w:r>
              <w:rPr>
                <w:rFonts w:ascii="Calibri" w:hAnsi="Calibri" w:cs="Calibri"/>
                <w:b w:val="0"/>
                <w:sz w:val="16"/>
              </w:rPr>
              <w:t>Tacrolimus remains the only immunosuppressant. The adjudication question asks about tacrolimus and the potassium pair. It does not name an absent drug.</w:t>
            </w:r>
          </w:p>
        </w:tc>
        <w:tc>
          <w:tcPr>
            <w:tcW w:type="dxa" w:w="1944"/>
            <w:vAlign w:val="top"/>
          </w:tcPr>
          <w:p>
            <w:pPr>
              <w:spacing w:after="20" w:before="20"/>
            </w:pPr>
            <w:r>
              <w:rPr>
                <w:rFonts w:ascii="Calibri" w:hAnsi="Calibri" w:cs="Calibri"/>
                <w:b w:val="0"/>
                <w:sz w:val="16"/>
              </w:rPr>
              <w:t>Labeling for mycophenolate supports a dose in kidney transplantation generally. It does not place that drug on this patient’s list. Adding it would invent a home medicine and then ask the resident to continue it. Whether the regimen is too narrow without it is left for the clinician. No trough is recorded, so a temporary tacrolimus reduction is acceptable and the reference continues 1 mg every 12 hours. [E1] [E16] [E20]</w:t>
            </w:r>
          </w:p>
        </w:tc>
      </w:tr>
      <w:tr>
        <w:trPr>
          <w:cantSplit/>
        </w:trPr>
        <w:tc>
          <w:tcPr>
            <w:tcW w:type="dxa" w:w="1656"/>
            <w:vAlign w:val="top"/>
          </w:tcPr>
          <w:p>
            <w:pPr>
              <w:spacing w:after="20" w:before="20"/>
            </w:pPr>
            <w:r>
              <w:rPr>
                <w:rFonts w:ascii="Calibri" w:hAnsi="Calibri" w:cs="Calibri"/>
                <w:b w:val="0"/>
                <w:sz w:val="16"/>
              </w:rPr>
              <w:t>“The labs are incomplete and the patient has a change in potassium without obvious cause or indication.” C5 Inappropriate / outlier, with no comment. Overall Exclude, with no comment. Reviewer KO. Date 10/5/2026.</w:t>
            </w:r>
          </w:p>
        </w:tc>
        <w:tc>
          <w:tcPr>
            <w:tcW w:type="dxa" w:w="1512"/>
            <w:vAlign w:val="top"/>
          </w:tcPr>
          <w:p>
            <w:pPr>
              <w:spacing w:after="20" w:before="20"/>
            </w:pPr>
            <w:r>
              <w:rPr>
                <w:rFonts w:ascii="Calibri" w:hAnsi="Calibri" w:cs="Calibri"/>
                <w:b w:val="0"/>
                <w:sz w:val="16"/>
              </w:rPr>
              <w:t>Potassium 4.7 mmol/L then 3.9 mmol/L is stated. No cause, blood count, or numeric viral load was added. The blank overall comment stays blank.</w:t>
            </w:r>
          </w:p>
        </w:tc>
        <w:tc>
          <w:tcPr>
            <w:tcW w:type="dxa" w:w="1368"/>
            <w:vAlign w:val="top"/>
          </w:tcPr>
          <w:p>
            <w:pPr>
              <w:spacing w:after="20" w:before="20"/>
            </w:pPr>
            <w:r>
              <w:rPr>
                <w:rFonts w:ascii="Calibri" w:hAnsi="Calibri" w:cs="Calibri"/>
                <w:b w:val="0"/>
                <w:sz w:val="16"/>
              </w:rPr>
              <w:t>laboratories; hospital course; Round 1 record</w:t>
            </w:r>
          </w:p>
        </w:tc>
        <w:tc>
          <w:tcPr>
            <w:tcW w:type="dxa" w:w="1656"/>
            <w:vAlign w:val="top"/>
          </w:tcPr>
          <w:p>
            <w:pPr>
              <w:spacing w:after="20" w:before="20"/>
            </w:pPr>
            <w:r>
              <w:rPr>
                <w:rFonts w:ascii="Calibri" w:hAnsi="Calibri" w:cs="Calibri"/>
                <w:b w:val="0"/>
                <w:sz w:val="16"/>
              </w:rPr>
              <w:t>Potassium 4.7 mmol/L then 3.9 mmol/L is stored and not discussed.</w:t>
            </w:r>
          </w:p>
        </w:tc>
        <w:tc>
          <w:tcPr>
            <w:tcW w:type="dxa" w:w="1656"/>
            <w:vAlign w:val="top"/>
          </w:tcPr>
          <w:p>
            <w:pPr>
              <w:spacing w:after="20" w:before="20"/>
            </w:pPr>
            <w:r>
              <w:rPr>
                <w:rFonts w:ascii="Calibri" w:hAnsi="Calibri" w:cs="Calibri"/>
                <w:b w:val="0"/>
                <w:sz w:val="16"/>
              </w:rPr>
              <w:t>The course quotes those values and states that no cause is recorded. Exclude remains the recorded recommendation.</w:t>
            </w:r>
          </w:p>
        </w:tc>
        <w:tc>
          <w:tcPr>
            <w:tcW w:type="dxa" w:w="1944"/>
            <w:vAlign w:val="top"/>
          </w:tcPr>
          <w:p>
            <w:pPr>
              <w:spacing w:after="20" w:before="20"/>
            </w:pPr>
            <w:r>
              <w:rPr>
                <w:rFonts w:ascii="Calibri" w:hAnsi="Calibri" w:cs="Calibri"/>
                <w:b w:val="0"/>
                <w:sz w:val="16"/>
              </w:rPr>
              <w:t>The pair is a source result. Inventing a cause or a complete blood count would add data the case does not contain. The potassium change does not identify a medication to stop. The blank overall comment was not filled in. [E1] [E16]</w:t>
            </w:r>
          </w:p>
        </w:tc>
      </w:tr>
    </w:tbl>
    <w:p>
      <w:pPr>
        <w:spacing w:after="40"/>
      </w:pPr>
    </w:p>
    <w:p>
      <w:pPr>
        <w:pStyle w:val="Heading3"/>
      </w:pPr>
      <w:r>
        <w:rPr>
          <w:rFonts w:ascii="Calibri" w:hAnsi="Calibri"/>
          <w:color w:val="1F3A5F"/>
        </w:rPr>
        <w:t>Evidence references</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[E16] Clean pre-injection VAL-813. Admission viral-load review detected CMV viral burden and supported antiviral treatment. A later review was lower. Creatinine 1.2 mg/dL then 1.0 mg/dL. Potassium 4.7 mmol/L then 3.9 mmol/L. Home medicines are tacrolimus 1 mg every 12 hours, amlodipine, atorvastatin, and valganciclovir. Mycophenolate is not on the list. No tacrolimus trough is stored.</w:t>
      </w:r>
    </w:p>
    <w:p>
      <w:pPr>
        <w:spacing w:after="120"/>
      </w:pPr>
      <w:r>
        <w:rPr>
          <w:rFonts w:ascii="Calibri" w:hAnsi="Calibri" w:cs="Calibri"/>
          <w:b w:val="0"/>
          <w:sz w:val="22"/>
        </w:rPr>
        <w:t>[E17] Repository regimen VALGANCICLOVIR_CMV_TREATMENT. Dose 900 mg oral twice daily, given as 450 mg tablets, when renal function is in the range these profiles keep. DailyMed setid 89a934f0-85a3-44c1-82e5-d09d1738e08d. Supports the dose already charted. The dose was not taken from RxNorm.</w:t>
      </w:r>
    </w:p>
    <w:p>
      <w:pPr>
        <w:spacing w:after="120"/>
      </w:pPr>
      <w:r>
        <w:rPr>
          <w:rFonts w:ascii="Calibri" w:hAnsi="Calibri" w:cs="Calibri"/>
          <w:b w:val="0"/>
          <w:sz w:val="22"/>
        </w:rPr>
        <w:t>[E18] Kotton CN, Kumar D, Caliendo AM, et al. The Third International Consensus Guidelines on the Management of Cytomegalovirus in Solid-organ Transplantation. Transplantation. 2018;102:900-931. doi:10.1097/TP.0000000000002191. Supports starting treatment after laboratory evidence of CMV. It was not used to invent a viral-load number or an unrecorded immunosuppressant.</w:t>
      </w:r>
    </w:p>
    <w:p>
      <w:pPr>
        <w:spacing w:after="120"/>
      </w:pPr>
      <w:r>
        <w:rPr>
          <w:rFonts w:ascii="Calibri" w:hAnsi="Calibri" w:cs="Calibri"/>
          <w:b w:val="0"/>
          <w:sz w:val="22"/>
        </w:rPr>
        <w:t>[E19] RxNorm identifies valganciclovir. It was not used as evidence for the dose or the start time.</w:t>
      </w:r>
    </w:p>
    <w:p>
      <w:pPr>
        <w:spacing w:after="120"/>
      </w:pPr>
      <w:r>
        <w:rPr>
          <w:rFonts w:ascii="Calibri" w:hAnsi="Calibri" w:cs="Calibri"/>
          <w:b w:val="0"/>
          <w:sz w:val="22"/>
        </w:rPr>
        <w:t>[E20] CELLCEPT labeling, DailyMed setid 37241e87-4af4-4dc3-a1aa-ea6f20d8dc40, recommends 1 g orally twice daily for adult kidney transplantation. The source case has no mycophenolate row, so the labeled dose was not added.</w:t>
      </w:r>
    </w:p>
    <w:sectPr w:rsidR="00FC693F" w:rsidRPr="0006063C" w:rsidSect="00034616">
      <w:footerReference w:type="default" r:id="rId9"/>
      <w:pgSz w:w="12240" w:h="15840"/>
      <w:pgMar w:top="1224" w:right="1224" w:bottom="1080"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b w:val="0"/>
        <w:color w:val="1F3A5F"/>
        <w:sz w:val="18"/>
      </w:rPr>
      <w:t xml:space="preserve">CliniProof Cycle 2  |  Set 1 revised cases, version 3    </w:t>
    </w:r>
    <w:r>
      <w:rPr>
        <w:rFonts w:ascii="Calibri" w:hAnsi="Calibri" w:cs="Calibri"/>
        <w:b w:val="0"/>
        <w:color w:val="1F3A5F"/>
        <w:sz w:val="18"/>
      </w:rPr>
      <w:fldChar w:fldCharType="begin"/>
    </w:r>
    <w:r>
      <w:rPr>
        <w:rFonts w:ascii="Calibri" w:hAnsi="Calibri" w:cs="Calibri"/>
        <w:b w:val="0"/>
        <w:color w:val="1F3A5F"/>
        <w:sz w:val="18"/>
      </w:rPr>
      <w:instrText xml:space="preserve"> PAGE </w:instrText>
    </w:r>
    <w:r>
      <w:rPr>
        <w:rFonts w:ascii="Calibri" w:hAnsi="Calibri" w:cs="Calibri"/>
        <w:b w:val="0"/>
        <w:color w:val="1F3A5F"/>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6"/>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