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 revised overlap cases</w:t>
      </w:r>
    </w:p>
    <w:p>
      <w:pPr>
        <w:spacing w:after="120"/>
      </w:pPr>
      <w:r>
        <w:rPr>
          <w:rFonts w:ascii="Calibri" w:hAnsi="Calibri" w:cs="Calibri"/>
          <w:b w:val="0"/>
          <w:sz w:val="22"/>
        </w:rPr>
        <w:t>Cohort: the four cases revised directly from dual-clinician feedback.</w:t>
      </w:r>
    </w:p>
    <w:p>
      <w:pPr>
        <w:spacing w:after="120"/>
      </w:pPr>
      <w:r>
        <w:rPr>
          <w:rFonts w:ascii="Calibri" w:hAnsi="Calibri" w:cs="Calibri"/>
          <w:b w:val="0"/>
          <w:sz w:val="22"/>
        </w:rPr>
        <w:t>Cases: VAL-801, VAL-805, VAL-809, and VAL-813.</w:t>
      </w:r>
    </w:p>
    <w:p>
      <w:pPr>
        <w:spacing w:after="120"/>
      </w:pPr>
      <w:r>
        <w:rPr>
          <w:rFonts w:ascii="Calibri" w:hAnsi="Calibri" w:cs="Calibri"/>
          <w:b w:val="0"/>
          <w:sz w:val="22"/>
        </w:rPr>
        <w:t>Status: pending clinician review. These cases are not clinically validated.</w:t>
      </w:r>
    </w:p>
    <w:p>
      <w:pPr>
        <w:pStyle w:val="Heading1"/>
      </w:pPr>
      <w:r>
        <w:rPr>
          <w:rFonts w:ascii="Calibri" w:hAnsi="Calibri"/>
          <w:color w:val="1F3A5F"/>
        </w:rPr>
        <w:t>Revision source</w:t>
      </w:r>
    </w:p>
    <w:p>
      <w:pPr>
        <w:spacing w:after="120"/>
      </w:pPr>
      <w:r>
        <w:rPr>
          <w:rFonts w:ascii="Calibri" w:hAnsi="Calibri" w:cs="Calibri"/>
          <w:b w:val="0"/>
          <w:sz w:val="22"/>
        </w:rPr>
        <w:t>VAL-801: dual-review</w:t>
      </w:r>
    </w:p>
    <w:p>
      <w:pPr>
        <w:spacing w:after="120"/>
      </w:pPr>
      <w:r>
        <w:rPr>
          <w:rFonts w:ascii="Calibri" w:hAnsi="Calibri" w:cs="Calibri"/>
          <w:b w:val="0"/>
          <w:sz w:val="22"/>
        </w:rPr>
        <w:t>VAL-805: dual-review</w:t>
      </w:r>
    </w:p>
    <w:p>
      <w:pPr>
        <w:spacing w:after="120"/>
      </w:pPr>
      <w:r>
        <w:rPr>
          <w:rFonts w:ascii="Calibri" w:hAnsi="Calibri" w:cs="Calibri"/>
          <w:b w:val="0"/>
          <w:sz w:val="22"/>
        </w:rPr>
        <w:t>VAL-809: dual-review</w:t>
      </w:r>
    </w:p>
    <w:p>
      <w:pPr>
        <w:spacing w:after="120"/>
      </w:pPr>
      <w:r>
        <w:rPr>
          <w:rFonts w:ascii="Calibri" w:hAnsi="Calibri" w:cs="Calibri"/>
          <w:b w:val="0"/>
          <w:sz w:val="22"/>
        </w:rPr>
        <w:t>VAL-813: dual-review</w:t>
      </w:r>
    </w:p>
    <w:p>
      <w:pPr>
        <w:spacing w:after="120"/>
      </w:pPr>
      <w:r>
        <w:rPr>
          <w:rFonts w:ascii="Calibri" w:hAnsi="Calibri" w:cs="Calibri"/>
          <w:b w:val="0"/>
          <w:sz w:val="22"/>
        </w:rPr>
        <w:t>Purpose: Clinical validation of synthetic medication-reconciliation and transition-of-care assessment cases.</w:t>
      </w:r>
    </w:p>
    <w:p>
      <w:pPr>
        <w:spacing w:after="120"/>
      </w:pPr>
      <w:r>
        <w:rPr>
          <w:rFonts w:ascii="Calibri" w:hAnsi="Calibri" w:cs="Calibri"/>
          <w:b w:val="0"/>
          <w:sz w:val="22"/>
        </w:rPr>
        <w:t xml:space="preserve">Reviewer code: </w:t>
      </w:r>
      <w:sdt>
        <w:sdtPr>
          <w:rPr>
            <w:rFonts w:ascii="Calibri" w:hAnsi="Calibri" w:cs="Calibri"/>
            <w:sz w:val="22"/>
            <w:szCs w:val="22"/>
            <w:u w:val="single"/>
          </w:rPr>
          <w:alias w:val="Reviewer code"/>
          <w:tag w:val="reviewer-code"/>
          <w:id w:val="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Review date: </w:t>
      </w:r>
      <w:sdt>
        <w:sdtPr>
          <w:rPr>
            <w:rFonts w:ascii="Calibri" w:hAnsi="Calibri" w:cs="Calibri"/>
            <w:sz w:val="22"/>
            <w:szCs w:val="22"/>
            <w:u w:val="single"/>
          </w:rPr>
          <w:alias w:val="Review date"/>
          <w:tag w:val="review-date"/>
          <w:id w:val="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Please select one response per item unless otherwise indicated.</w:t>
      </w:r>
    </w:p>
    <w:p>
      <w:pPr>
        <w:spacing w:after="120"/>
      </w:pPr>
      <w:r>
        <w:rPr>
          <w:rFonts w:ascii="Calibri" w:hAnsi="Calibri" w:cs="Calibri"/>
          <w:b w:val="0"/>
          <w:sz w:val="22"/>
        </w:rPr>
        <w:t>These are clinician-validation documents. They contain case-specific validation references that will not be shown to residents during the later assessment study.</w:t>
      </w:r>
    </w:p>
    <w:p>
      <w:pPr>
        <w:pStyle w:val="Heading1"/>
      </w:pPr>
      <w:r>
        <w:rPr>
          <w:rFonts w:ascii="Calibri" w:hAnsi="Calibri"/>
          <w:color w:val="1F3A5F"/>
        </w:rPr>
        <w:t>How to review each case</w:t>
      </w:r>
    </w:p>
    <w:p>
      <w:pPr>
        <w:spacing w:after="120"/>
      </w:pPr>
      <w:r>
        <w:rPr>
          <w:rFonts w:ascii="Calibri" w:hAnsi="Calibri" w:cs="Calibri"/>
          <w:b w:val="0"/>
          <w:sz w:val="22"/>
        </w:rPr>
        <w:t>Step 1. Read the clinical case first.</w:t>
      </w:r>
    </w:p>
    <w:p>
      <w:pPr>
        <w:spacing w:after="120"/>
      </w:pPr>
      <w:r>
        <w:rPr>
          <w:rFonts w:ascii="Calibri" w:hAnsi="Calibri" w:cs="Calibri"/>
          <w:b w:val="0"/>
          <w:sz w:val="22"/>
        </w:rPr>
        <w:t>Step 2. Complete C1 — Clinical plausibility before using the case-specific validation reference.</w:t>
      </w:r>
    </w:p>
    <w:p>
      <w:pPr>
        <w:spacing w:after="120"/>
      </w:pPr>
      <w:r>
        <w:rPr>
          <w:rFonts w:ascii="Calibri" w:hAnsi="Calibri" w:cs="Calibri"/>
          <w:b w:val="0"/>
          <w:sz w:val="22"/>
        </w:rPr>
        <w:t>Step 3. Read the Validation Reference immediately following C1.</w:t>
      </w:r>
    </w:p>
    <w:p>
      <w:pPr>
        <w:spacing w:after="120"/>
      </w:pPr>
      <w:r>
        <w:rPr>
          <w:rFonts w:ascii="Calibri" w:hAnsi="Calibri" w:cs="Calibri"/>
          <w:b w:val="0"/>
          <w:sz w:val="22"/>
        </w:rPr>
        <w:t>Step 4. Complete C2 through C5.</w:t>
      </w:r>
    </w:p>
    <w:p>
      <w:pPr>
        <w:spacing w:after="120"/>
      </w:pPr>
      <w:r>
        <w:rPr>
          <w:rFonts w:ascii="Calibri" w:hAnsi="Calibri" w:cs="Calibri"/>
          <w:b w:val="0"/>
          <w:sz w:val="22"/>
        </w:rPr>
        <w:t>Step 5. Select Accept, Revise, or Exclude.</w:t>
      </w:r>
    </w:p>
    <w:p>
      <w:pPr>
        <w:spacing w:after="120"/>
      </w:pPr>
      <w:r>
        <w:rPr>
          <w:rFonts w:ascii="Calibri" w:hAnsi="Calibri" w:cs="Calibri"/>
          <w:b w:val="0"/>
          <w:sz w:val="22"/>
        </w:rPr>
        <w:t>Step 6. Add comments where required or useful.</w:t>
      </w:r>
    </w:p>
    <w:p>
      <w:pPr>
        <w:spacing w:after="120"/>
      </w:pPr>
      <w:r>
        <w:rPr>
          <w:rFonts w:ascii="Calibri" w:hAnsi="Calibri" w:cs="Calibri"/>
          <w:b w:val="0"/>
          <w:sz w:val="22"/>
        </w:rPr>
        <w:t>C1 should reflect your impression of the patient-facing case. Do not use the validation reference to decide C1.</w:t>
      </w:r>
    </w:p>
    <w:p>
      <w:pPr>
        <w:pStyle w:val="Heading2"/>
      </w:pPr>
      <w:r>
        <w:rPr>
          <w:rFonts w:ascii="Calibri" w:hAnsi="Calibri"/>
          <w:color w:val="1F3A5F"/>
        </w:rPr>
        <w:t>Clean control</w:t>
      </w:r>
    </w:p>
    <w:p>
      <w:pPr>
        <w:spacing w:after="120"/>
      </w:pPr>
      <w:r>
        <w:rPr>
          <w:rFonts w:ascii="Calibri" w:hAnsi="Calibri" w:cs="Calibri"/>
          <w:b w:val="0"/>
          <w:sz w:val="22"/>
        </w:rPr>
        <w:t>A clean-control case contains no deliberately introduced medication-reconciliation or transition-of-care discrepancy. Still look actively for unintended clinical problems.</w:t>
      </w:r>
    </w:p>
    <w:p>
      <w:pPr>
        <w:spacing w:after="120"/>
      </w:pPr>
      <w:r>
        <w:rPr>
          <w:rFonts w:ascii="Calibri" w:hAnsi="Calibri" w:cs="Calibri"/>
          <w:b w:val="0"/>
          <w:sz w:val="22"/>
        </w:rPr>
        <w:t>Every case in this book is a clean case. C2 uses the clean-case question. There is no planted medication-reconciliation discrepancy.</w:t>
      </w:r>
    </w:p>
    <w:p>
      <w:pPr>
        <w:pStyle w:val="Heading1"/>
      </w:pPr>
      <w:r>
        <w:rPr>
          <w:rFonts w:ascii="Calibri" w:hAnsi="Calibri"/>
          <w:color w:val="1F3A5F"/>
        </w:rPr>
        <w:t>Saving your completed review</w:t>
      </w:r>
    </w:p>
    <w:p>
      <w:pPr>
        <w:spacing w:after="120"/>
      </w:pPr>
      <w:r>
        <w:rPr>
          <w:rFonts w:ascii="Calibri" w:hAnsi="Calibri" w:cs="Calibri"/>
          <w:b w:val="0"/>
          <w:sz w:val="22"/>
        </w:rPr>
        <w:t>Please save a separate copy of this document before entering your ratings. Do not overwrite the original review file.</w:t>
      </w:r>
    </w:p>
    <w:p>
      <w:pPr>
        <w:spacing w:after="120"/>
      </w:pPr>
      <w:r>
        <w:rPr>
          <w:rFonts w:ascii="Calibri" w:hAnsi="Calibri" w:cs="Calibri"/>
          <w:b w:val="0"/>
          <w:sz w:val="22"/>
        </w:rPr>
        <w:t>Filename: CliniProof_Revised_Overlap4_[ReviewerCode]_[YYYY-MM-DD].docx</w:t>
      </w:r>
    </w:p>
    <w:p>
      <w:pPr>
        <w:spacing w:after="120"/>
      </w:pPr>
      <w:r>
        <w:rPr>
          <w:rFonts w:ascii="Calibri" w:hAnsi="Calibri" w:cs="Calibri"/>
          <w:b w:val="0"/>
          <w:sz w:val="22"/>
        </w:rPr>
        <w:t>Use the reviewer code assigned by the study team. Do not put a full name in the filename.</w:t>
      </w:r>
    </w:p>
    <w:p>
      <w:pPr>
        <w:pStyle w:val="Heading1"/>
      </w:pPr>
      <w:r>
        <w:rPr>
          <w:rFonts w:ascii="Calibri" w:hAnsi="Calibri"/>
          <w:color w:val="1F3A5F"/>
        </w:rPr>
        <w:t>Returning your completed validation</w:t>
      </w:r>
    </w:p>
    <w:p>
      <w:pPr>
        <w:spacing w:after="120"/>
      </w:pPr>
      <w:r>
        <w:rPr>
          <w:rFonts w:ascii="Calibri" w:hAnsi="Calibri" w:cs="Calibri"/>
          <w:b w:val="0"/>
          <w:sz w:val="22"/>
        </w:rPr>
        <w:t>Return the completed Word document to the study investigator using the agreed study communication channel.</w:t>
      </w:r>
    </w:p>
    <w:p>
      <w:pPr>
        <w:spacing w:after="120"/>
      </w:pPr>
      <w:r>
        <w:rPr>
          <w:rFonts w:ascii="Calibri" w:hAnsi="Calibri" w:cs="Calibri"/>
          <w:b w:val="0"/>
          <w:sz w:val="22"/>
        </w:rPr>
        <w:t>Reviewers do not need to edit GitHub, open a pull request, or upload their completed validation to the public repository.</w:t>
      </w:r>
    </w:p>
    <w:p>
      <w:pPr>
        <w:spacing w:after="120"/>
      </w:pPr>
      <w:r>
        <w:rPr>
          <w:rFonts w:ascii="Calibri" w:hAnsi="Calibri" w:cs="Calibri"/>
          <w:b w:val="0"/>
          <w:sz w:val="22"/>
        </w:rPr>
        <w:t>Cases in this document:</w:t>
      </w:r>
    </w:p>
    <w:p>
      <w:pPr>
        <w:spacing w:after="120"/>
      </w:pPr>
      <w:r>
        <w:rPr>
          <w:rFonts w:ascii="Calibri" w:hAnsi="Calibri" w:cs="Calibri"/>
          <w:b w:val="0"/>
          <w:sz w:val="22"/>
        </w:rPr>
        <w:t>VAL-801, VAL-805, VAL-809, VAL-813</w:t>
      </w:r>
    </w:p>
    <w:p>
      <w:pPr>
        <w:sectPr>
          <w:footerReference w:type="default" r:id="rId9"/>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VAL-801</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75</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81.000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general medicine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delirium, a change from baseline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75-year-old man with mild major neurocognitive disorder and acute delirium during a urinary tract infection</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New confusion, worse than baseline</w:t>
      </w:r>
    </w:p>
    <w:p>
      <w:pPr>
        <w:pStyle w:val="ListBullet"/>
        <w:spacing w:after="40" w:before="0"/>
      </w:pPr>
      <w:r>
        <w:rPr>
          <w:rFonts w:ascii="Calibri" w:hAnsi="Calibri" w:cs="Calibri"/>
          <w:b/>
          <w:sz w:val="22"/>
        </w:rPr>
        <w:t xml:space="preserve">Symptoms: </w:t>
      </w:r>
      <w:r>
        <w:rPr>
          <w:rFonts w:ascii="Calibri" w:hAnsi="Calibri" w:cs="Calibri"/>
          <w:b w:val="0"/>
          <w:sz w:val="22"/>
        </w:rPr>
        <w:t>Confusion, Fatigue</w:t>
      </w:r>
    </w:p>
    <w:p>
      <w:pPr>
        <w:pStyle w:val="ListBullet"/>
        <w:spacing w:after="40" w:before="0"/>
      </w:pPr>
      <w:r>
        <w:rPr>
          <w:rFonts w:ascii="Calibri" w:hAnsi="Calibri" w:cs="Calibri"/>
          <w:b/>
          <w:sz w:val="22"/>
        </w:rPr>
        <w:t xml:space="preserve">Symptom duration: </w:t>
      </w:r>
      <w:r>
        <w:rPr>
          <w:rFonts w:ascii="Calibri" w:hAnsi="Calibri" w:cs="Calibri"/>
          <w:b w:val="0"/>
          <w:sz w:val="22"/>
        </w:rPr>
        <w:t>two days</w:t>
      </w:r>
    </w:p>
    <w:p>
      <w:pPr>
        <w:pStyle w:val="ListBullet"/>
        <w:spacing w:after="40" w:before="0"/>
      </w:pPr>
      <w:r>
        <w:rPr>
          <w:rFonts w:ascii="Calibri" w:hAnsi="Calibri" w:cs="Calibri"/>
          <w:b/>
          <w:sz w:val="22"/>
        </w:rPr>
        <w:t xml:space="preserve">Symptom course: </w:t>
      </w:r>
      <w:r>
        <w:rPr>
          <w:rFonts w:ascii="Calibri" w:hAnsi="Calibri" w:cs="Calibri"/>
          <w:b w:val="0"/>
          <w:sz w:val="22"/>
        </w:rPr>
        <w:t>returned to the reported baseline</w:t>
      </w:r>
    </w:p>
    <w:p>
      <w:pPr>
        <w:pStyle w:val="Heading3"/>
      </w:pPr>
      <w:r>
        <w:rPr>
          <w:rFonts w:ascii="Calibri" w:hAnsi="Calibri"/>
          <w:color w:val="1F3A5F"/>
        </w:rPr>
        <w:t>History of present illness</w:t>
      </w:r>
    </w:p>
    <w:p>
      <w:pPr>
        <w:spacing w:after="120"/>
      </w:pPr>
      <w:r>
        <w:rPr>
          <w:rFonts w:ascii="Calibri" w:hAnsi="Calibri" w:cs="Calibri"/>
          <w:b w:val="0"/>
          <w:sz w:val="22"/>
        </w:rPr>
        <w:t>A 75-year-old man with mild major neurocognitive disorder is admitted because a family caregiver reports two days of new confusion. At baseline he recognizes family and converses at home. On arrival he was disoriented, and that change is the delirium. Oral intake had been poor. He had been taking ibuprofen for knee pain. After his attention improved, a collateral list from the caregiver and the pharmacy was verified: lisinopril 10 mg daily, atorvastatin 40 mg daily, and metformin 500 mg twice daily. Ibuprofen 400 mg orally every 8 hours as needed was on that list. Fever and a urinalysis with leukocyte esterase led to a urine culture that grew Escherichia coli. Ceftriaxone 1 g intravenously once daily was given for seven days, and the last dose was before discharge. Outpatient creatinine was 1.0 mg/dL. Admission creatinine was 1.5 mg/dL, and a later creatinine was 1.0 mg/dL when he was eating. Confusion returned to the caregiver's reported baseline.</w:t>
      </w:r>
    </w:p>
    <w:p>
      <w:pPr>
        <w:pStyle w:val="Heading3"/>
      </w:pPr>
      <w:r>
        <w:rPr>
          <w:rFonts w:ascii="Calibri" w:hAnsi="Calibri"/>
          <w:color w:val="1F3A5F"/>
        </w:rPr>
        <w:t>Admission note</w:t>
      </w:r>
    </w:p>
    <w:p>
      <w:pPr>
        <w:spacing w:after="120"/>
      </w:pPr>
      <w:r>
        <w:rPr>
          <w:rFonts w:ascii="Calibri" w:hAnsi="Calibri" w:cs="Calibri"/>
          <w:b w:val="0"/>
          <w:sz w:val="22"/>
        </w:rPr>
        <w:t>Admission note. Acute confusion is a change from a known mild major neurocognitive disorder. Temperature 38.2 C. Urinalysis shows leukocyte esterase. Outpatient creatinine 1.0 mg/dL; admission creatinine 1.5 mg/dL.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Mild major neurocognitive disorder, Essential (primary) hypertension, Type 2 diabetes mellitus without complications,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delirium, a change from baseline cognitive function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Urinary tract infection</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resolved</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Mild major neurocognitive disorder</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Acute delirium on mild major neurocognitive disorder</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Urinary tract infection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Type 2 diabetes mellitus without complications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Lives at home with a family caregiver who can describe his cognitive baseline</w:t>
      </w:r>
    </w:p>
    <w:p>
      <w:pPr>
        <w:pStyle w:val="ListBullet"/>
        <w:spacing w:after="40" w:before="0"/>
      </w:pPr>
      <w:r>
        <w:rPr>
          <w:rFonts w:ascii="Calibri" w:hAnsi="Calibri" w:cs="Calibri"/>
          <w:b/>
          <w:sz w:val="22"/>
        </w:rPr>
        <w:t xml:space="preserve">Social context: </w:t>
      </w:r>
      <w:r>
        <w:rPr>
          <w:rFonts w:ascii="Calibri" w:hAnsi="Calibri" w:cs="Calibri"/>
          <w:b w:val="0"/>
          <w:sz w:val="22"/>
        </w:rPr>
        <w:t>Lives at home. A family caregiver reports his baseline: he recognizes family and holds a simple conversation.</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Urine culture grew Escherichia coli. Ceftriaxone 1 g intravenously once daily was given for seven days, and the last dose was before discharge. Fever resolved and attention returned to the caregiver's reported baseline. Creatinine returned to 1.0 mg/dL. The collateral medication list was verified with the caregiver and the pharmacy.</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Yes</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38.20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136/78</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163.0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1.5</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Urinalysis</w:t>
            </w:r>
          </w:p>
        </w:tc>
        <w:tc>
          <w:tcPr>
            <w:tcW w:type="dxa" w:w="1872"/>
          </w:tcPr>
          <w:p>
            <w:pPr>
              <w:spacing w:after="20" w:before="20"/>
            </w:pPr>
            <w:r>
              <w:rPr>
                <w:rFonts w:ascii="Calibri" w:hAnsi="Calibri" w:cs="Calibri"/>
                <w:b w:val="0"/>
                <w:sz w:val="20"/>
              </w:rPr>
              <w:t>Leukocyte esterase positive. Nitrite positive. Bacteria present.</w:t>
            </w:r>
          </w:p>
        </w:tc>
        <w:tc>
          <w:tcPr>
            <w:tcW w:type="dxa" w:w="2160"/>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81.000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121/71</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65</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20</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95.00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Fasting glucose [Mass/volume] in Serum or Plasma</w:t>
            </w:r>
          </w:p>
        </w:tc>
        <w:tc>
          <w:tcPr>
            <w:tcW w:type="dxa" w:w="1872"/>
          </w:tcPr>
          <w:p>
            <w:pPr>
              <w:spacing w:after="20" w:before="20"/>
            </w:pPr>
            <w:r>
              <w:rPr>
                <w:rFonts w:ascii="Calibri" w:hAnsi="Calibri" w:cs="Calibri"/>
                <w:b w:val="0"/>
                <w:sz w:val="20"/>
              </w:rPr>
              <w:t>103.0</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1.0</w:t>
            </w:r>
          </w:p>
        </w:tc>
        <w:tc>
          <w:tcPr>
            <w:tcW w:type="dxa" w:w="2160"/>
          </w:tcPr>
          <w:p>
            <w:pPr>
              <w:spacing w:after="20" w:before="20"/>
            </w:pPr>
            <w:r>
              <w:rPr>
                <w:rFonts w:ascii="Calibri" w:hAnsi="Calibri" w:cs="Calibri"/>
                <w:b w:val="0"/>
                <w:sz w:val="20"/>
              </w:rPr>
              <w:t>mg/dL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held; Indication: symptomatic analgesia; not a treatment for the admission diagnosis; Held reason: Creatinine was above the outpatient baseline while he was taking an NSAID and eating poorly.</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1000 MG Injection</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Status: discontinued; Indication: Urinary tract infection; Note: Seven daily doses of 1 g intravenously were given, and the last dose was before discharge.</w:t>
            </w:r>
          </w:p>
        </w:tc>
      </w:tr>
      <w:tr>
        <w:trPr>
          <w:cantSplit/>
        </w:trPr>
        <w:tc>
          <w:tcPr>
            <w:tcW w:type="dxa" w:w="3384"/>
          </w:tcPr>
          <w:p>
            <w:pPr>
              <w:spacing w:after="20" w:before="20"/>
            </w:pPr>
            <w:r>
              <w:rPr>
                <w:rFonts w:ascii="Calibri" w:hAnsi="Calibri" w:cs="Calibri"/>
                <w:b w:val="0"/>
                <w:sz w:val="20"/>
              </w:rPr>
              <w:t>ibuprofen 400 MG Oral Tablet</w:t>
            </w:r>
          </w:p>
        </w:tc>
        <w:tc>
          <w:tcPr>
            <w:tcW w:type="dxa" w:w="1224"/>
          </w:tcPr>
          <w:p>
            <w:pPr>
              <w:spacing w:after="20" w:before="20"/>
            </w:pPr>
            <w:r>
              <w:rPr>
                <w:rFonts w:ascii="Calibri" w:hAnsi="Calibri" w:cs="Calibri"/>
                <w:b w:val="0"/>
                <w:sz w:val="20"/>
              </w:rPr>
              <w:t>400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8 hours as needed</w:t>
            </w:r>
          </w:p>
        </w:tc>
        <w:tc>
          <w:tcPr>
            <w:tcW w:type="dxa" w:w="2520"/>
          </w:tcPr>
          <w:p>
            <w:pPr>
              <w:spacing w:after="20" w:before="20"/>
            </w:pPr>
            <w:r>
              <w:rPr>
                <w:rFonts w:ascii="Calibri" w:hAnsi="Calibri" w:cs="Calibri"/>
                <w:b w:val="0"/>
                <w:sz w:val="20"/>
              </w:rPr>
              <w:t>Status: discontinued; Indication: symptomatic analgesia; not a treatment for the admission diagnosis; Held reason: Creatinine was above the outpatient baseline while he was taking an NSAID and eating poorly.</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Creatinine was 1.5 mg/dL and intake was poor on admission. A later creatinine was 1.0 mg/dL when he was eating.</w:t>
            </w:r>
          </w:p>
        </w:tc>
      </w:tr>
      <w:tr>
        <w:trPr>
          <w:cantSplit/>
        </w:trPr>
        <w:tc>
          <w:tcPr>
            <w:tcW w:type="dxa" w:w="3384"/>
          </w:tcPr>
          <w:p>
            <w:pPr>
              <w:spacing w:after="20" w:before="20"/>
            </w:pPr>
            <w:r>
              <w:rPr>
                <w:rFonts w:ascii="Calibri" w:hAnsi="Calibri" w:cs="Calibri"/>
                <w:b w:val="0"/>
                <w:sz w:val="20"/>
              </w:rPr>
              <w:t>metformin hydrochloride 500 MG Oral Tablet</w:t>
            </w:r>
          </w:p>
        </w:tc>
        <w:tc>
          <w:tcPr>
            <w:tcW w:type="dxa" w:w="1224"/>
          </w:tcPr>
          <w:p>
            <w:pPr>
              <w:spacing w:after="20" w:before="20"/>
            </w:pPr>
            <w:r>
              <w:rPr>
                <w:rFonts w:ascii="Calibri" w:hAnsi="Calibri" w:cs="Calibri"/>
                <w:b w:val="0"/>
                <w:sz w:val="20"/>
              </w:rPr>
              <w:t>500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Type 2 diabetes mellitus without complications; Note: Creatinine was 1.5 mg/dL and intake was poor on admission. A later creatinine was 1.0 mg/dL when he was eating.</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caregiver and pharmacy</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No</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He could not give a medication history while delirious. A caregiver and pharmacy list was verified after his attention improved. Ibuprofen was on that list. Creatinine on admission was above the outpatient baseline while intake was poor.</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Primary care follow-up, including a creatinine check</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geriatrics</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Acute delirium on a known mild major neurocognitive disorder. Attention has returned to the caregiver's reported baseline.</w:t>
            </w:r>
          </w:p>
        </w:tc>
        <w:tc>
          <w:tcPr>
            <w:tcW w:type="dxa" w:w="2448"/>
          </w:tcPr>
          <w:p>
            <w:pPr>
              <w:spacing w:after="20" w:before="20"/>
            </w:pPr>
            <w:r>
              <w:rPr>
                <w:rFonts w:ascii="Calibri" w:hAnsi="Calibri" w:cs="Calibri"/>
                <w:b w:val="0"/>
                <w:sz w:val="20"/>
              </w:rPr>
              <w:t>The collateral medication list has been verified. Creatinine is at the outpatient baseline and he is eating.</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urine</w:t>
            </w:r>
          </w:p>
        </w:tc>
        <w:tc>
          <w:tcPr>
            <w:tcW w:type="dxa" w:w="1399"/>
          </w:tcPr>
          <w:p>
            <w:pPr>
              <w:spacing w:after="20" w:before="20"/>
            </w:pPr>
            <w:r>
              <w:rPr>
                <w:rFonts w:ascii="Calibri" w:hAnsi="Calibri" w:cs="Calibri"/>
                <w:b w:val="0"/>
                <w:sz w:val="20"/>
              </w:rPr>
              <w:t>urine culture</w:t>
            </w:r>
          </w:p>
        </w:tc>
        <w:tc>
          <w:tcPr>
            <w:tcW w:type="dxa" w:w="1399"/>
          </w:tcPr>
          <w:p>
            <w:pPr>
              <w:spacing w:after="20" w:before="20"/>
            </w:pPr>
            <w:r>
              <w:rPr>
                <w:rFonts w:ascii="Calibri" w:hAnsi="Calibri" w:cs="Calibri"/>
                <w:b w:val="0"/>
                <w:sz w:val="20"/>
              </w:rPr>
              <w:t>Escherichia coli</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Susceptible to ceftriaxone.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Confusion</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3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restart</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Essential (primary) hypertension</w:t>
            </w:r>
          </w:p>
        </w:tc>
        <w:tc>
          <w:tcPr>
            <w:tcW w:type="dxa" w:w="1728"/>
          </w:tcPr>
          <w:p>
            <w:pPr>
              <w:spacing w:after="20" w:before="20"/>
            </w:pPr>
            <w:r>
              <w:rPr>
                <w:rFonts w:ascii="Calibri" w:hAnsi="Calibri" w:cs="Calibri"/>
                <w:b w:val="0"/>
                <w:sz w:val="20"/>
              </w:rPr>
              <w:t>Held while creatinine was 1.5 mg/dL. Restarted after creatinine returned to the outpatient baseline of 1.0 mg/dL. The geriatrics note says it may be restarted.</w:t>
            </w:r>
          </w:p>
        </w:tc>
      </w:tr>
      <w:tr>
        <w:trPr>
          <w:cantSplit/>
        </w:trPr>
        <w:tc>
          <w:tcPr>
            <w:tcW w:type="dxa" w:w="1872"/>
          </w:tcPr>
          <w:p>
            <w:pPr>
              <w:spacing w:after="20" w:before="20"/>
            </w:pPr>
            <w:r>
              <w:rPr>
                <w:rFonts w:ascii="Calibri" w:hAnsi="Calibri" w:cs="Calibri"/>
                <w:b w:val="0"/>
                <w:sz w:val="20"/>
              </w:rPr>
              <w:t>metformin hydrochloride 500 MG Oral Tablet</w:t>
            </w:r>
          </w:p>
        </w:tc>
        <w:tc>
          <w:tcPr>
            <w:tcW w:type="dxa" w:w="1152"/>
          </w:tcPr>
          <w:p>
            <w:pPr>
              <w:spacing w:after="20" w:before="20"/>
            </w:pPr>
            <w:r>
              <w:rPr>
                <w:rFonts w:ascii="Calibri" w:hAnsi="Calibri" w:cs="Calibri"/>
                <w:b w:val="0"/>
                <w:sz w:val="20"/>
              </w:rPr>
              <w:t>restart</w:t>
            </w:r>
          </w:p>
        </w:tc>
        <w:tc>
          <w:tcPr>
            <w:tcW w:type="dxa" w:w="1008"/>
          </w:tcPr>
          <w:p>
            <w:pPr>
              <w:spacing w:after="20" w:before="20"/>
            </w:pPr>
            <w:r>
              <w:rPr>
                <w:rFonts w:ascii="Calibri" w:hAnsi="Calibri" w:cs="Calibri"/>
                <w:b w:val="0"/>
                <w:sz w:val="20"/>
              </w:rPr>
              <w:t>500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Type 2 diabetes mellitus without complications</w:t>
            </w:r>
          </w:p>
        </w:tc>
        <w:tc>
          <w:tcPr>
            <w:tcW w:type="dxa" w:w="1728"/>
          </w:tcPr>
          <w:p>
            <w:pPr>
              <w:spacing w:after="20" w:before="20"/>
            </w:pPr>
            <w:r>
              <w:rPr>
                <w:rFonts w:ascii="Calibri" w:hAnsi="Calibri" w:cs="Calibri"/>
                <w:b w:val="0"/>
                <w:sz w:val="20"/>
              </w:rPr>
              <w:t>Held while intake was poor and creatinine was above baseline. Restarted after he was eating and creatinine was 1.0 mg/dL.</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Mixed hyperlipidemia</w:t>
            </w:r>
          </w:p>
        </w:tc>
        <w:tc>
          <w:tcPr>
            <w:tcW w:type="dxa" w:w="1728"/>
          </w:tcPr>
          <w:p>
            <w:pPr>
              <w:spacing w:after="20" w:before="20"/>
            </w:pPr>
            <w:r>
              <w:rPr>
                <w:rFonts w:ascii="Calibri" w:hAnsi="Calibri" w:cs="Calibri"/>
                <w:b w:val="0"/>
                <w:sz w:val="20"/>
              </w:rPr>
              <w:t>Continued through the admission on the verified collateral list. No new contraindication is described.</w:t>
            </w:r>
          </w:p>
        </w:tc>
      </w:tr>
      <w:tr>
        <w:trPr>
          <w:cantSplit/>
        </w:trPr>
        <w:tc>
          <w:tcPr>
            <w:tcW w:type="dxa" w:w="1872"/>
          </w:tcPr>
          <w:p>
            <w:pPr>
              <w:spacing w:after="20" w:before="20"/>
            </w:pPr>
            <w:r>
              <w:rPr>
                <w:rFonts w:ascii="Calibri" w:hAnsi="Calibri" w:cs="Calibri"/>
                <w:b w:val="0"/>
                <w:sz w:val="20"/>
              </w:rPr>
              <w:t>ibuprofen 400 MG Oral Tablet</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400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every 8 hours as needed</w:t>
            </w:r>
          </w:p>
        </w:tc>
        <w:tc>
          <w:tcPr>
            <w:tcW w:type="dxa" w:w="1728"/>
          </w:tcPr>
          <w:p>
            <w:pPr>
              <w:spacing w:after="20" w:before="20"/>
            </w:pPr>
            <w:r>
              <w:rPr>
                <w:rFonts w:ascii="Calibri" w:hAnsi="Calibri" w:cs="Calibri"/>
                <w:b w:val="0"/>
                <w:sz w:val="20"/>
              </w:rPr>
              <w:t>Prior symptomatic analgesia</w:t>
            </w:r>
          </w:p>
        </w:tc>
        <w:tc>
          <w:tcPr>
            <w:tcW w:type="dxa" w:w="1728"/>
          </w:tcPr>
          <w:p>
            <w:pPr>
              <w:spacing w:after="20" w:before="20"/>
            </w:pPr>
            <w:r>
              <w:rPr>
                <w:rFonts w:ascii="Calibri" w:hAnsi="Calibri" w:cs="Calibri"/>
                <w:b w:val="0"/>
                <w:sz w:val="20"/>
              </w:rPr>
              <w:t>Stopped because creatinine rose above the outpatient baseline during NSAID use and poor intake. The chart says it was not restarted.</w:t>
            </w:r>
          </w:p>
        </w:tc>
      </w:tr>
      <w:tr>
        <w:trPr>
          <w:cantSplit/>
        </w:trPr>
        <w:tc>
          <w:tcPr>
            <w:tcW w:type="dxa" w:w="1872"/>
          </w:tcPr>
          <w:p>
            <w:pPr>
              <w:spacing w:after="20" w:before="20"/>
            </w:pPr>
            <w:r>
              <w:rPr>
                <w:rFonts w:ascii="Calibri" w:hAnsi="Calibri" w:cs="Calibri"/>
                <w:b w:val="0"/>
                <w:sz w:val="20"/>
              </w:rPr>
              <w:t>ceftriaxone 1000 MG Injection</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1000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Urinary tract infection</w:t>
            </w:r>
          </w:p>
        </w:tc>
        <w:tc>
          <w:tcPr>
            <w:tcW w:type="dxa" w:w="1728"/>
          </w:tcPr>
          <w:p>
            <w:pPr>
              <w:spacing w:after="20" w:before="20"/>
            </w:pPr>
            <w:r>
              <w:rPr>
                <w:rFonts w:ascii="Calibri" w:hAnsi="Calibri" w:cs="Calibri"/>
                <w:b w:val="0"/>
                <w:sz w:val="20"/>
              </w:rPr>
              <w:t>Seven daily doses were completed before discharge. The chart says no antibiotic is planned after discharge.</w:t>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serum creatinine</w:t>
            </w:r>
          </w:p>
        </w:tc>
        <w:tc>
          <w:tcPr>
            <w:tcW w:type="dxa" w:w="2592"/>
          </w:tcPr>
          <w:p>
            <w:pPr>
              <w:spacing w:after="20" w:before="20"/>
            </w:pPr>
            <w:r>
              <w:rPr>
                <w:rFonts w:ascii="Calibri" w:hAnsi="Calibri" w:cs="Calibri"/>
                <w:b w:val="0"/>
                <w:sz w:val="20"/>
              </w:rPr>
              <w:t>at the primary-care visit in 7 days</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after ACE-inhibitor restart</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Primary care follow-up, including a creatinine check after the ACE inhibitor restart</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primary care</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4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4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5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5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0"/>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VAL-805</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68</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84.000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cardiology</w:t>
      </w:r>
    </w:p>
    <w:p>
      <w:pPr>
        <w:pStyle w:val="ListBullet"/>
        <w:spacing w:after="40" w:before="0"/>
      </w:pPr>
      <w:r>
        <w:rPr>
          <w:rFonts w:ascii="Calibri" w:hAnsi="Calibri" w:cs="Calibri"/>
          <w:b/>
          <w:sz w:val="22"/>
        </w:rPr>
        <w:t xml:space="preserve">Admission diagnosis: </w:t>
      </w:r>
      <w:r>
        <w:rPr>
          <w:rFonts w:ascii="Calibri" w:hAnsi="Calibri" w:cs="Calibri"/>
          <w:b w:val="0"/>
          <w:sz w:val="22"/>
        </w:rPr>
        <w:t>Acute systolic (congestive) heart failure</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68-year-old woman with acute heart-failure decompensation after missed diuretic doses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Dyspnea, orthopnea, and edema</w:t>
      </w:r>
    </w:p>
    <w:p>
      <w:pPr>
        <w:pStyle w:val="ListBullet"/>
        <w:spacing w:after="40" w:before="0"/>
      </w:pPr>
      <w:r>
        <w:rPr>
          <w:rFonts w:ascii="Calibri" w:hAnsi="Calibri" w:cs="Calibri"/>
          <w:b/>
          <w:sz w:val="22"/>
        </w:rPr>
        <w:t xml:space="preserve">Symptoms: </w:t>
      </w:r>
      <w:r>
        <w:rPr>
          <w:rFonts w:ascii="Calibri" w:hAnsi="Calibri" w:cs="Calibri"/>
          <w:b w:val="0"/>
          <w:sz w:val="22"/>
        </w:rPr>
        <w:t>Dyspnea, Edema, Orthopnea</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improved after intravenous diuresis</w:t>
      </w:r>
    </w:p>
    <w:p>
      <w:pPr>
        <w:pStyle w:val="Heading3"/>
      </w:pPr>
      <w:r>
        <w:rPr>
          <w:rFonts w:ascii="Calibri" w:hAnsi="Calibri"/>
          <w:color w:val="1F3A5F"/>
        </w:rPr>
        <w:t>History of present illness</w:t>
      </w:r>
    </w:p>
    <w:p>
      <w:pPr>
        <w:spacing w:after="120"/>
      </w:pPr>
      <w:r>
        <w:rPr>
          <w:rFonts w:ascii="Calibri" w:hAnsi="Calibri" w:cs="Calibri"/>
          <w:b w:val="0"/>
          <w:sz w:val="22"/>
        </w:rPr>
        <w:t>A 68-year-old woman with known systolic heart failure is admitted with one week of worsening dyspnea, orthopnea, and edema. She ran out of furosemide and missed four days of her 40 mg oral daily dose. She has no chest pain. Home medicines are furosemide 40 mg oral once daily, metoprolol succinate 25 mg oral once daily, and atorvastatin 40 mg oral once daily. She is not taking an ACE inhibitor, ARB, or ARNI. Admission weight is 84 kg. Her recorded dry weight is 78 kg. A chest radiograph shows pulmonary edema. Electrocardiogram shows sinus rhythm without ischemic ST-segment change. Troponin I was 18 ng/L and 16 ng/L six hours later, without a rise. Echocardiography shows a left ventricular ejection fraction of 30 percent and no new severe valvular lesion. Furosemide 40 mg was given intravenously twice daily on hospital days 1 through 3, which is not the home oral regimen. Weight fell to 81 kg and then to 78 kg. Intake and output were net negative on each of those three days. Creatinine fell from 1.7 mg/dL to 0.9 mg/dL. Potassium remained 4.1 to 4.7 mmol/L. Oxygen by nasal cannula was weaned to room air. At discharge she is at dry weight, warm, and breathing room air.</w:t>
      </w:r>
    </w:p>
    <w:p>
      <w:pPr>
        <w:pStyle w:val="Heading3"/>
      </w:pPr>
      <w:r>
        <w:rPr>
          <w:rFonts w:ascii="Calibri" w:hAnsi="Calibri"/>
          <w:color w:val="1F3A5F"/>
        </w:rPr>
        <w:t>Admission note</w:t>
      </w:r>
    </w:p>
    <w:p>
      <w:pPr>
        <w:spacing w:after="120"/>
      </w:pPr>
      <w:r>
        <w:rPr>
          <w:rFonts w:ascii="Calibri" w:hAnsi="Calibri" w:cs="Calibri"/>
          <w:b w:val="0"/>
          <w:sz w:val="22"/>
        </w:rPr>
        <w:t>Admission note. Congestion after four missed days of furosemide 40 mg oral daily. No chest pain. Weight 84 kg, dry weight 78 kg, oxygen saturation 92 percent on 2 L/min nasal cannula.</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systolic (congestive) heart failure</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Hospital days 1 through 3: furosemide 40 mg intravenously twice daily. Net negative intake and output each day. Weight 84 kg, then 81 kg, then 78 kg at the recorded dry weight. Troponin did not rise. She is on room air.</w:t>
      </w: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tcPr>
          <w:p>
            <w:pPr>
              <w:spacing w:after="20" w:before="20"/>
            </w:pPr>
            <w:r>
              <w:rPr>
                <w:rFonts w:ascii="Calibri" w:hAnsi="Calibri" w:cs="Calibri"/>
                <w:b w:val="0"/>
                <w:sz w:val="20"/>
              </w:rPr>
              <w:t>hospital day 1</w:t>
            </w:r>
          </w:p>
        </w:tc>
        <w:tc>
          <w:tcPr>
            <w:tcW w:type="dxa" w:w="2448"/>
          </w:tcPr>
          <w:p>
            <w:pPr>
              <w:spacing w:after="20" w:before="20"/>
            </w:pPr>
            <w:r>
              <w:rPr>
                <w:rFonts w:ascii="Calibri" w:hAnsi="Calibri" w:cs="Calibri"/>
                <w:b w:val="0"/>
                <w:sz w:val="20"/>
              </w:rPr>
              <w:t>1100</w:t>
            </w:r>
          </w:p>
        </w:tc>
        <w:tc>
          <w:tcPr>
            <w:tcW w:type="dxa" w:w="2448"/>
          </w:tcPr>
          <w:p>
            <w:pPr>
              <w:spacing w:after="20" w:before="20"/>
            </w:pPr>
            <w:r>
              <w:rPr>
                <w:rFonts w:ascii="Calibri" w:hAnsi="Calibri" w:cs="Calibri"/>
                <w:b w:val="0"/>
                <w:sz w:val="20"/>
              </w:rPr>
              <w:t>2900</w:t>
            </w:r>
          </w:p>
        </w:tc>
        <w:tc>
          <w:tcPr>
            <w:tcW w:type="dxa" w:w="2448"/>
          </w:tcPr>
          <w:p>
            <w:pPr>
              <w:spacing w:after="20" w:before="20"/>
            </w:pPr>
            <w:r>
              <w:rPr>
                <w:rFonts w:ascii="Calibri" w:hAnsi="Calibri" w:cs="Calibri"/>
                <w:b w:val="0"/>
                <w:sz w:val="20"/>
              </w:rPr>
              <w:t>-1800</w:t>
            </w:r>
          </w:p>
        </w:tc>
      </w:tr>
      <w:tr>
        <w:trPr>
          <w:cantSplit/>
        </w:trPr>
        <w:tc>
          <w:tcPr>
            <w:tcW w:type="dxa" w:w="2448"/>
          </w:tcPr>
          <w:p>
            <w:pPr>
              <w:spacing w:after="20" w:before="20"/>
            </w:pPr>
            <w:r>
              <w:rPr>
                <w:rFonts w:ascii="Calibri" w:hAnsi="Calibri" w:cs="Calibri"/>
                <w:b w:val="0"/>
                <w:sz w:val="20"/>
              </w:rPr>
              <w:t>hospital day 2</w:t>
            </w:r>
          </w:p>
        </w:tc>
        <w:tc>
          <w:tcPr>
            <w:tcW w:type="dxa" w:w="2448"/>
          </w:tcPr>
          <w:p>
            <w:pPr>
              <w:spacing w:after="20" w:before="20"/>
            </w:pPr>
            <w:r>
              <w:rPr>
                <w:rFonts w:ascii="Calibri" w:hAnsi="Calibri" w:cs="Calibri"/>
                <w:b w:val="0"/>
                <w:sz w:val="20"/>
              </w:rPr>
              <w:t>1300</w:t>
            </w:r>
          </w:p>
        </w:tc>
        <w:tc>
          <w:tcPr>
            <w:tcW w:type="dxa" w:w="2448"/>
          </w:tcPr>
          <w:p>
            <w:pPr>
              <w:spacing w:after="20" w:before="20"/>
            </w:pPr>
            <w:r>
              <w:rPr>
                <w:rFonts w:ascii="Calibri" w:hAnsi="Calibri" w:cs="Calibri"/>
                <w:b w:val="0"/>
                <w:sz w:val="20"/>
              </w:rPr>
              <w:t>2500</w:t>
            </w:r>
          </w:p>
        </w:tc>
        <w:tc>
          <w:tcPr>
            <w:tcW w:type="dxa" w:w="2448"/>
          </w:tcPr>
          <w:p>
            <w:pPr>
              <w:spacing w:after="20" w:before="20"/>
            </w:pPr>
            <w:r>
              <w:rPr>
                <w:rFonts w:ascii="Calibri" w:hAnsi="Calibri" w:cs="Calibri"/>
                <w:b w:val="0"/>
                <w:sz w:val="20"/>
              </w:rPr>
              <w:t>-1200</w:t>
            </w:r>
          </w:p>
        </w:tc>
      </w:tr>
      <w:tr>
        <w:trPr>
          <w:cantSplit/>
        </w:trPr>
        <w:tc>
          <w:tcPr>
            <w:tcW w:type="dxa" w:w="2448"/>
          </w:tcPr>
          <w:p>
            <w:pPr>
              <w:spacing w:after="20" w:before="20"/>
            </w:pPr>
            <w:r>
              <w:rPr>
                <w:rFonts w:ascii="Calibri" w:hAnsi="Calibri" w:cs="Calibri"/>
                <w:b w:val="0"/>
                <w:sz w:val="20"/>
              </w:rPr>
              <w:t>hospital day 3</w:t>
            </w:r>
          </w:p>
        </w:tc>
        <w:tc>
          <w:tcPr>
            <w:tcW w:type="dxa" w:w="2448"/>
          </w:tcPr>
          <w:p>
            <w:pPr>
              <w:spacing w:after="20" w:before="20"/>
            </w:pPr>
            <w:r>
              <w:rPr>
                <w:rFonts w:ascii="Calibri" w:hAnsi="Calibri" w:cs="Calibri"/>
                <w:b w:val="0"/>
                <w:sz w:val="20"/>
              </w:rPr>
              <w:t>1500</w:t>
            </w:r>
          </w:p>
        </w:tc>
        <w:tc>
          <w:tcPr>
            <w:tcW w:type="dxa" w:w="2448"/>
          </w:tcPr>
          <w:p>
            <w:pPr>
              <w:spacing w:after="20" w:before="20"/>
            </w:pPr>
            <w:r>
              <w:rPr>
                <w:rFonts w:ascii="Calibri" w:hAnsi="Calibri" w:cs="Calibri"/>
                <w:b w:val="0"/>
                <w:sz w:val="20"/>
              </w:rPr>
              <w:t>2000</w:t>
            </w:r>
          </w:p>
        </w:tc>
        <w:tc>
          <w:tcPr>
            <w:tcW w:type="dxa" w:w="2448"/>
          </w:tcPr>
          <w:p>
            <w:pPr>
              <w:spacing w:after="20" w:before="20"/>
            </w:pPr>
            <w:r>
              <w:rPr>
                <w:rFonts w:ascii="Calibri" w:hAnsi="Calibri" w:cs="Calibri"/>
                <w:b w:val="0"/>
                <w:sz w:val="20"/>
              </w:rPr>
              <w:t>-500</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109/82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93</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24</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92.00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2 L/min nasal cannula</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1.7</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4.7</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1120.0</w:t>
            </w:r>
          </w:p>
        </w:tc>
        <w:tc>
          <w:tcPr>
            <w:tcW w:type="dxa" w:w="2160"/>
          </w:tcPr>
          <w:p>
            <w:pPr>
              <w:spacing w:after="20" w:before="20"/>
            </w:pPr>
            <w:r>
              <w:rPr>
                <w:rFonts w:ascii="Calibri" w:hAnsi="Calibri" w:cs="Calibri"/>
                <w:b w:val="0"/>
                <w:sz w:val="20"/>
              </w:rPr>
              <w:t>pg/mL</w:t>
            </w:r>
          </w:p>
        </w:tc>
      </w:tr>
      <w:tr>
        <w:trPr>
          <w:cantSplit/>
        </w:trPr>
        <w:tc>
          <w:tcPr>
            <w:tcW w:type="dxa" w:w="5760"/>
          </w:tcPr>
          <w:p>
            <w:pPr>
              <w:spacing w:after="20" w:before="20"/>
            </w:pPr>
            <w:r>
              <w:rPr>
                <w:rFonts w:ascii="Calibri" w:hAnsi="Calibri" w:cs="Calibri"/>
                <w:b w:val="0"/>
                <w:sz w:val="20"/>
              </w:rPr>
              <w:t>Troponin I.cardiac [Mass/volume] in Serum or Plasma</w:t>
            </w:r>
          </w:p>
        </w:tc>
        <w:tc>
          <w:tcPr>
            <w:tcW w:type="dxa" w:w="1872"/>
          </w:tcPr>
          <w:p>
            <w:pPr>
              <w:spacing w:after="20" w:before="20"/>
            </w:pPr>
            <w:r>
              <w:rPr>
                <w:rFonts w:ascii="Calibri" w:hAnsi="Calibri" w:cs="Calibri"/>
                <w:b w:val="0"/>
                <w:sz w:val="20"/>
              </w:rPr>
              <w:t>18.0</w:t>
            </w:r>
          </w:p>
        </w:tc>
        <w:tc>
          <w:tcPr>
            <w:tcW w:type="dxa" w:w="2160"/>
          </w:tcPr>
          <w:p>
            <w:pPr>
              <w:spacing w:after="20" w:before="20"/>
            </w:pPr>
            <w:r>
              <w:rPr>
                <w:rFonts w:ascii="Calibri" w:hAnsi="Calibri" w:cs="Calibri"/>
                <w:b w:val="0"/>
                <w:sz w:val="20"/>
              </w:rPr>
              <w:t>ng/L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84.000</w:t>
            </w:r>
          </w:p>
        </w:tc>
        <w:tc>
          <w:tcPr>
            <w:tcW w:type="dxa" w:w="4896"/>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110/84</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69</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r>
        <w:trPr>
          <w:cantSplit/>
        </w:trPr>
        <w:tc>
          <w:tcPr>
            <w:tcW w:type="dxa" w:w="4608"/>
          </w:tcPr>
          <w:p>
            <w:pPr>
              <w:spacing w:after="20" w:before="20"/>
            </w:pPr>
            <w:r>
              <w:rPr>
                <w:rFonts w:ascii="Calibri" w:hAnsi="Calibri" w:cs="Calibri"/>
                <w:b w:val="0"/>
                <w:sz w:val="20"/>
              </w:rPr>
              <w:t>Oxygen support</w:t>
            </w:r>
          </w:p>
        </w:tc>
        <w:tc>
          <w:tcPr>
            <w:tcW w:type="dxa" w:w="2592"/>
          </w:tcPr>
          <w:p>
            <w:pPr>
              <w:spacing w:after="20" w:before="20"/>
            </w:pPr>
            <w:r>
              <w:rPr>
                <w:rFonts w:ascii="Calibri" w:hAnsi="Calibri" w:cs="Calibri"/>
                <w:b w:val="0"/>
                <w:sz w:val="20"/>
              </w:rPr>
              <w:t>room air</w:t>
            </w:r>
          </w:p>
        </w:tc>
        <w:tc>
          <w:tcPr>
            <w:tcW w:type="dxa" w:w="2592"/>
          </w:tcPr>
          <w:p>
            <w:pPr>
              <w:spacing w:after="20" w:before="20"/>
            </w:pPr>
            <w:r>
              <w:rPr>
                <w:rFonts w:ascii="Calibri" w:hAnsi="Calibri" w:cs="Calibri"/>
                <w:b w:val="0"/>
                <w:sz w:val="20"/>
              </w:rPr>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4.3</w:t>
            </w:r>
          </w:p>
        </w:tc>
        <w:tc>
          <w:tcPr>
            <w:tcW w:type="dxa" w:w="2160"/>
          </w:tcPr>
          <w:p>
            <w:pPr>
              <w:spacing w:after="20" w:before="20"/>
            </w:pPr>
            <w:r>
              <w:rPr>
                <w:rFonts w:ascii="Calibri" w:hAnsi="Calibri" w:cs="Calibri"/>
                <w:b w:val="0"/>
                <w:sz w:val="20"/>
              </w:rPr>
              <w:t>mmol/L</w:t>
            </w:r>
          </w:p>
        </w:tc>
      </w:tr>
      <w:tr>
        <w:trPr>
          <w:cantSplit/>
        </w:trPr>
        <w:tc>
          <w:tcPr>
            <w:tcW w:type="dxa" w:w="5760"/>
          </w:tcPr>
          <w:p>
            <w:pPr>
              <w:spacing w:after="20" w:before="20"/>
            </w:pPr>
            <w:r>
              <w:rPr>
                <w:rFonts w:ascii="Calibri" w:hAnsi="Calibri" w:cs="Calibri"/>
                <w:b w:val="0"/>
                <w:sz w:val="20"/>
              </w:rPr>
              <w:t>Natriuretic peptide B [Mass/volume] in Serum or Plasma</w:t>
            </w:r>
          </w:p>
        </w:tc>
        <w:tc>
          <w:tcPr>
            <w:tcW w:type="dxa" w:w="1872"/>
          </w:tcPr>
          <w:p>
            <w:pPr>
              <w:spacing w:after="20" w:before="20"/>
            </w:pPr>
            <w:r>
              <w:rPr>
                <w:rFonts w:ascii="Calibri" w:hAnsi="Calibri" w:cs="Calibri"/>
                <w:b w:val="0"/>
                <w:sz w:val="20"/>
              </w:rPr>
              <w:t>369.0</w:t>
            </w:r>
          </w:p>
        </w:tc>
        <w:tc>
          <w:tcPr>
            <w:tcW w:type="dxa" w:w="2160"/>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896"/>
            <w:shd w:val="clear" w:color="auto" w:fill="D9E2F3"/>
          </w:tcPr>
          <w:p>
            <w:pPr>
              <w:spacing w:after="20" w:before="20"/>
            </w:pPr>
            <w:r>
              <w:rPr>
                <w:rFonts w:ascii="Calibri" w:hAnsi="Calibri" w:cs="Calibri"/>
                <w:b/>
                <w:sz w:val="20"/>
              </w:rPr>
              <w:t>Weight (kg)</w:t>
            </w:r>
          </w:p>
        </w:tc>
        <w:tc>
          <w:tcPr>
            <w:tcW w:type="dxa" w:w="4896"/>
            <w:shd w:val="clear" w:color="auto" w:fill="D9E2F3"/>
          </w:tcPr>
          <w:p>
            <w:pPr>
              <w:spacing w:after="20" w:before="20"/>
            </w:pPr>
            <w:r>
              <w:rPr>
                <w:rFonts w:ascii="Calibri" w:hAnsi="Calibri" w:cs="Calibri"/>
                <w:b/>
                <w:sz w:val="20"/>
              </w:rPr>
              <w:t>Dry weight (kg)</w:t>
            </w:r>
          </w:p>
        </w:tc>
      </w:tr>
      <w:tr>
        <w:trPr>
          <w:cantSplit/>
        </w:trPr>
        <w:tc>
          <w:tcPr>
            <w:tcW w:type="dxa" w:w="4896"/>
          </w:tcPr>
          <w:p>
            <w:pPr>
              <w:spacing w:after="20" w:before="20"/>
            </w:pPr>
            <w:r>
              <w:rPr>
                <w:rFonts w:ascii="Calibri" w:hAnsi="Calibri" w:cs="Calibri"/>
                <w:b w:val="0"/>
                <w:sz w:val="20"/>
              </w:rPr>
              <w:t>78.000</w:t>
            </w:r>
          </w:p>
        </w:tc>
        <w:tc>
          <w:tcPr>
            <w:tcW w:type="dxa" w:w="4896"/>
          </w:tcPr>
          <w:p>
            <w:pPr>
              <w:spacing w:after="20" w:before="20"/>
            </w:pPr>
            <w:r>
              <w:rPr>
                <w:rFonts w:ascii="Calibri" w:hAnsi="Calibri" w:cs="Calibri"/>
                <w:b w:val="0"/>
                <w:sz w:val="20"/>
              </w:rPr>
              <w:t>78.000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24 HR metoprolol succinate 25 MG Extended Release Oral Tablet</w:t>
            </w:r>
          </w:p>
        </w:tc>
        <w:tc>
          <w:tcPr>
            <w:tcW w:type="dxa" w:w="1224"/>
          </w:tcPr>
          <w:p>
            <w:pPr>
              <w:spacing w:after="20" w:before="20"/>
            </w:pPr>
            <w:r>
              <w:rPr>
                <w:rFonts w:ascii="Calibri" w:hAnsi="Calibri" w:cs="Calibri"/>
                <w:b w:val="0"/>
                <w:sz w:val="20"/>
              </w:rPr>
              <w:t>25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systolic (congestive) heart failure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furosemide 40 MG Injection</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discontinued; Indication: Acute systolic (congestive) heart failure; Note: Given intravenously on hospital days 1 through 3. Weight on the last of those days was the recorded dry weight of 78 kg. The intravenous dose is not the home oral dose.</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3"/>
      </w:pPr>
      <w:r>
        <w:rPr>
          <w:rFonts w:ascii="Calibri" w:hAnsi="Calibri"/>
          <w:color w:val="1F3A5F"/>
        </w:rPr>
        <w:t>Reconciliation notes</w:t>
      </w:r>
    </w:p>
    <w:p>
      <w:pPr>
        <w:spacing w:after="120"/>
      </w:pPr>
      <w:r>
        <w:rPr>
          <w:rFonts w:ascii="Calibri" w:hAnsi="Calibri" w:cs="Calibri"/>
          <w:b w:val="0"/>
          <w:sz w:val="22"/>
        </w:rPr>
        <w:t>She missed four days of furosemide because the supply ran out. Metoprolol succinate and atorvastatin were home medicines. She has no ACE inhibitor, ARB, or ARNI at home.</w:t>
      </w:r>
    </w:p>
    <w:p>
      <w:pPr>
        <w:pStyle w:val="Heading2"/>
      </w:pPr>
      <w:r>
        <w:rPr>
          <w:rFonts w:ascii="Calibri" w:hAnsi="Calibri"/>
          <w:color w:val="1F3A5F"/>
        </w:rPr>
        <w:t>Monitoring</w:t>
      </w:r>
    </w:p>
    <w:p>
      <w:pPr>
        <w:spacing w:after="120"/>
      </w:pPr>
      <w:r>
        <w:rPr>
          <w:rFonts w:ascii="Calibri" w:hAnsi="Calibri" w:cs="Calibri"/>
          <w:b w:val="0"/>
          <w:sz w:val="22"/>
        </w:rPr>
        <w:t>No scheduled monitoring was specified.</w:t>
      </w: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Heart-failure clinic after diuresis, with a plan to obtain furosemide so doses are not missed</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Chest radiograph</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chest</w:t>
            </w:r>
          </w:p>
        </w:tc>
        <w:tc>
          <w:tcPr>
            <w:tcW w:type="dxa" w:w="2448"/>
          </w:tcPr>
          <w:p>
            <w:pPr>
              <w:spacing w:after="20" w:before="20"/>
            </w:pPr>
            <w:r>
              <w:rPr>
                <w:rFonts w:ascii="Calibri" w:hAnsi="Calibri" w:cs="Calibri"/>
                <w:b w:val="0"/>
                <w:sz w:val="20"/>
              </w:rPr>
              <w:t>Pulmonary edema without pneumonia.</w:t>
            </w:r>
          </w:p>
        </w:tc>
      </w:tr>
      <w:tr>
        <w:trPr>
          <w:cantSplit/>
        </w:trPr>
        <w:tc>
          <w:tcPr>
            <w:tcW w:type="dxa" w:w="2448"/>
          </w:tcPr>
          <w:p>
            <w:pPr>
              <w:spacing w:after="20" w:before="20"/>
            </w:pPr>
            <w:r>
              <w:rPr>
                <w:rFonts w:ascii="Calibri" w:hAnsi="Calibri" w:cs="Calibri"/>
                <w:b w:val="0"/>
                <w:sz w:val="20"/>
              </w:rPr>
              <w:t>Transthoracic echocardiogram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Left ventricular ejection fraction 30 percent. No new severe valvular lesion.</w:t>
            </w:r>
          </w:p>
        </w:tc>
      </w:tr>
      <w:tr>
        <w:trPr>
          <w:cantSplit/>
        </w:trPr>
        <w:tc>
          <w:tcPr>
            <w:tcW w:type="dxa" w:w="2448"/>
          </w:tcPr>
          <w:p>
            <w:pPr>
              <w:spacing w:after="20" w:before="20"/>
            </w:pPr>
            <w:r>
              <w:rPr>
                <w:rFonts w:ascii="Calibri" w:hAnsi="Calibri" w:cs="Calibri"/>
                <w:b w:val="0"/>
                <w:sz w:val="20"/>
              </w:rPr>
              <w:t>Electrocardiogram</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Sinus rhythm. No ischemic ST-segment change.</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cardiology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Congestion followed four missed days of oral furosemide. Ischemia is not supported by the history, electrocardiogram, or troponin. Ejection fraction is 30 percent. Dry weight of 78 kg was reached with intravenous furosemide.</w:t>
            </w:r>
          </w:p>
        </w:tc>
        <w:tc>
          <w:tcPr>
            <w:tcW w:type="dxa" w:w="2448"/>
          </w:tcPr>
          <w:p>
            <w:pPr>
              <w:spacing w:after="20" w:before="20"/>
            </w:pPr>
            <w:r>
              <w:rPr>
                <w:rFonts w:ascii="Calibri" w:hAnsi="Calibri" w:cs="Calibri"/>
                <w:b w:val="0"/>
                <w:sz w:val="20"/>
              </w:rPr>
              <w:t>The missed oral doses explain the fluid accumulation. Intravenous furosemide was given on hospital days 1 through 3. Weight reached the recorded dry weight of 78 kg. Creatinine is 0.9 mg/dL, potassium is 4.3 mmol/L, and systolic blood pressure is 110 mm Hg.</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Dyspnea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9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furosemide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The accumulation followed four missed doses. Intravenous diuresis has stopped at the 78 kg dry weight. Cardiology says to resume 40 mg orally once daily, not to start a higher maintenance dose.</w:t>
            </w:r>
          </w:p>
        </w:tc>
      </w:tr>
      <w:tr>
        <w:trPr>
          <w:cantSplit/>
        </w:trPr>
        <w:tc>
          <w:tcPr>
            <w:tcW w:type="dxa" w:w="1872"/>
          </w:tcPr>
          <w:p>
            <w:pPr>
              <w:spacing w:after="20" w:before="20"/>
            </w:pPr>
            <w:r>
              <w:rPr>
                <w:rFonts w:ascii="Calibri" w:hAnsi="Calibri" w:cs="Calibri"/>
                <w:b w:val="0"/>
                <w:sz w:val="20"/>
              </w:rPr>
              <w:t>enalapril 5 MG Oral Tablet</w:t>
            </w:r>
          </w:p>
        </w:tc>
        <w:tc>
          <w:tcPr>
            <w:tcW w:type="dxa" w:w="1152"/>
          </w:tcPr>
          <w:p>
            <w:pPr>
              <w:spacing w:after="20" w:before="20"/>
            </w:pPr>
            <w:r>
              <w:rPr>
                <w:rFonts w:ascii="Calibri" w:hAnsi="Calibri" w:cs="Calibri"/>
                <w:b w:val="0"/>
                <w:sz w:val="20"/>
              </w:rPr>
              <w:t>start</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Systolic heart failure with ejection fraction 30 percent</w:t>
            </w:r>
          </w:p>
        </w:tc>
        <w:tc>
          <w:tcPr>
            <w:tcW w:type="dxa" w:w="1728"/>
          </w:tcPr>
          <w:p>
            <w:pPr>
              <w:spacing w:after="20" w:before="20"/>
            </w:pPr>
            <w:r>
              <w:rPr>
                <w:rFonts w:ascii="Calibri" w:hAnsi="Calibri" w:cs="Calibri"/>
                <w:b w:val="0"/>
                <w:sz w:val="20"/>
              </w:rPr>
              <w:t>There is no ACE inhibitor, ARB, or ARNI on the home list. Cardiology recommends starting enalapril 5 mg orally twice daily. It has not been given yet. Creatinine is 0.9 mg/dL, potassium is 4.3 mmol/L, and systolic blood pressure is 110 mm Hg.</w:t>
            </w:r>
          </w:p>
        </w:tc>
      </w:tr>
      <w:tr>
        <w:trPr>
          <w:cantSplit/>
        </w:trPr>
        <w:tc>
          <w:tcPr>
            <w:tcW w:type="dxa" w:w="1872"/>
          </w:tcPr>
          <w:p>
            <w:pPr>
              <w:spacing w:after="20" w:before="20"/>
            </w:pPr>
            <w:r>
              <w:rPr>
                <w:rFonts w:ascii="Calibri" w:hAnsi="Calibri" w:cs="Calibri"/>
                <w:b w:val="0"/>
                <w:sz w:val="20"/>
              </w:rPr>
              <w:t>24 HR metoprolol succinate 25 MG Extended Release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Systolic heart failure</w:t>
            </w:r>
          </w:p>
        </w:tc>
        <w:tc>
          <w:tcPr>
            <w:tcW w:type="dxa" w:w="1728"/>
          </w:tcPr>
          <w:p>
            <w:pPr>
              <w:spacing w:after="20" w:before="20"/>
            </w:pPr>
            <w:r>
              <w:rPr>
                <w:rFonts w:ascii="Calibri" w:hAnsi="Calibri" w:cs="Calibri"/>
                <w:b w:val="0"/>
                <w:sz w:val="20"/>
              </w:rPr>
              <w:t>Continued through the admission. Heart rate at discharge is 69 beats per minute. Cardiology says to continue it.</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Mixed hyperlipidemia</w:t>
            </w:r>
          </w:p>
        </w:tc>
        <w:tc>
          <w:tcPr>
            <w:tcW w:type="dxa" w:w="1728"/>
          </w:tcPr>
          <w:p>
            <w:pPr>
              <w:spacing w:after="20" w:before="20"/>
            </w:pPr>
            <w:r>
              <w:rPr>
                <w:rFonts w:ascii="Calibri" w:hAnsi="Calibri" w:cs="Calibri"/>
                <w:b w:val="0"/>
                <w:sz w:val="20"/>
              </w:rPr>
              <w:t>Home medicine continued through the admission, and cardiology says to continue it.</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168"/>
            <w:shd w:val="clear" w:color="auto" w:fill="D9E2F3"/>
          </w:tcPr>
          <w:p>
            <w:pPr>
              <w:spacing w:after="20" w:before="20"/>
            </w:pPr>
            <w:r>
              <w:rPr>
                <w:rFonts w:ascii="Calibri" w:hAnsi="Calibri" w:cs="Calibri"/>
                <w:b/>
                <w:sz w:val="20"/>
              </w:rPr>
              <w:t>Medication</w:t>
            </w:r>
          </w:p>
        </w:tc>
        <w:tc>
          <w:tcPr>
            <w:tcW w:type="dxa" w:w="3312"/>
            <w:shd w:val="clear" w:color="auto" w:fill="D9E2F3"/>
          </w:tcPr>
          <w:p>
            <w:pPr>
              <w:spacing w:after="20" w:before="20"/>
            </w:pPr>
            <w:r>
              <w:rPr>
                <w:rFonts w:ascii="Calibri" w:hAnsi="Calibri" w:cs="Calibri"/>
                <w:b/>
                <w:sz w:val="20"/>
              </w:rPr>
              <w:t>Monitoring</w:t>
            </w:r>
          </w:p>
        </w:tc>
        <w:tc>
          <w:tcPr>
            <w:tcW w:type="dxa" w:w="3312"/>
            <w:shd w:val="clear" w:color="auto" w:fill="D9E2F3"/>
          </w:tcPr>
          <w:p>
            <w:pPr>
              <w:spacing w:after="20" w:before="20"/>
            </w:pPr>
            <w:r>
              <w:rPr>
                <w:rFonts w:ascii="Calibri" w:hAnsi="Calibri" w:cs="Calibri"/>
                <w:b/>
                <w:sz w:val="20"/>
              </w:rPr>
              <w:t>Follow-up</w:t>
            </w:r>
          </w:p>
        </w:tc>
      </w:tr>
      <w:tr>
        <w:trPr>
          <w:cantSplit/>
        </w:trPr>
        <w:tc>
          <w:tcPr>
            <w:tcW w:type="dxa" w:w="3168"/>
          </w:tcPr>
          <w:p>
            <w:pPr>
              <w:spacing w:after="20" w:before="20"/>
            </w:pPr>
            <w:r>
              <w:rPr>
                <w:rFonts w:ascii="Calibri" w:hAnsi="Calibri" w:cs="Calibri"/>
                <w:b w:val="0"/>
                <w:sz w:val="20"/>
              </w:rPr>
              <w:t>furosemide 40 MG Oral Tablet</w:t>
            </w:r>
          </w:p>
        </w:tc>
        <w:tc>
          <w:tcPr>
            <w:tcW w:type="dxa" w:w="3312"/>
          </w:tcPr>
          <w:p>
            <w:pPr>
              <w:spacing w:after="20" w:before="20"/>
            </w:pPr>
            <w:r>
              <w:rPr>
                <w:rFonts w:ascii="Calibri" w:hAnsi="Calibri" w:cs="Calibri"/>
                <w:b w:val="0"/>
                <w:sz w:val="20"/>
              </w:rPr>
              <w:t>Obtain a supply so doses are not missed. Recheck weight and creatinine at the heart-failure visit.</w:t>
            </w:r>
          </w:p>
        </w:tc>
        <w:tc>
          <w:tcPr>
            <w:tcW w:type="dxa" w:w="3312"/>
          </w:tcPr>
          <w:p>
            <w:pPr>
              <w:spacing w:after="20" w:before="20"/>
            </w:pPr>
            <w:r>
              <w:rPr>
                <w:rFonts w:ascii="Calibri" w:hAnsi="Calibri" w:cs="Calibri"/>
                <w:b w:val="0"/>
                <w:sz w:val="20"/>
              </w:rPr>
            </w:r>
          </w:p>
        </w:tc>
      </w:tr>
      <w:tr>
        <w:trPr>
          <w:cantSplit/>
        </w:trPr>
        <w:tc>
          <w:tcPr>
            <w:tcW w:type="dxa" w:w="3168"/>
          </w:tcPr>
          <w:p>
            <w:pPr>
              <w:spacing w:after="20" w:before="20"/>
            </w:pPr>
            <w:r>
              <w:rPr>
                <w:rFonts w:ascii="Calibri" w:hAnsi="Calibri" w:cs="Calibri"/>
                <w:b w:val="0"/>
                <w:sz w:val="20"/>
              </w:rPr>
              <w:t>enalapril 5 MG Oral Tablet</w:t>
            </w:r>
          </w:p>
        </w:tc>
        <w:tc>
          <w:tcPr>
            <w:tcW w:type="dxa" w:w="3312"/>
          </w:tcPr>
          <w:p>
            <w:pPr>
              <w:spacing w:after="20" w:before="20"/>
            </w:pPr>
            <w:r>
              <w:rPr>
                <w:rFonts w:ascii="Calibri" w:hAnsi="Calibri" w:cs="Calibri"/>
                <w:b w:val="0"/>
                <w:sz w:val="20"/>
              </w:rPr>
              <w:t>Creatinine and potassium at the follow-up visit.</w:t>
            </w:r>
          </w:p>
        </w:tc>
        <w:tc>
          <w:tcPr>
            <w:tcW w:type="dxa" w:w="3312"/>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weight, creatinine, and potassium</w:t>
            </w:r>
          </w:p>
        </w:tc>
        <w:tc>
          <w:tcPr>
            <w:tcW w:type="dxa" w:w="2592"/>
          </w:tcPr>
          <w:p>
            <w:pPr>
              <w:spacing w:after="20" w:before="20"/>
            </w:pPr>
            <w:r>
              <w:rPr>
                <w:rFonts w:ascii="Calibri" w:hAnsi="Calibri" w:cs="Calibri"/>
                <w:b w:val="0"/>
                <w:sz w:val="20"/>
              </w:rPr>
              <w:t>at the heart-failure visit in 7 days, sooner if dyspnea or lightheadedness returns</w:t>
            </w:r>
          </w:p>
        </w:tc>
        <w:tc>
          <w:tcPr>
            <w:tcW w:type="dxa" w:w="2304"/>
          </w:tcPr>
          <w:p>
            <w:pPr>
              <w:spacing w:after="20" w:before="20"/>
            </w:pPr>
            <w:r>
              <w:rPr>
                <w:rFonts w:ascii="Calibri" w:hAnsi="Calibri" w:cs="Calibri"/>
                <w:b w:val="0"/>
                <w:sz w:val="20"/>
              </w:rPr>
              <w:t>remain near the 78 kg dry weight</w:t>
            </w:r>
          </w:p>
        </w:tc>
        <w:tc>
          <w:tcPr>
            <w:tcW w:type="dxa" w:w="1728"/>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Heart-failure clinic after diuresis, with a plan to obtain furosemide so doses are not missed</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cardiology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9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1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1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1"/>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VAL-809</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82</w:t>
      </w:r>
    </w:p>
    <w:p>
      <w:pPr>
        <w:pStyle w:val="ListBullet"/>
        <w:spacing w:after="40" w:before="0"/>
      </w:pPr>
      <w:r>
        <w:rPr>
          <w:rFonts w:ascii="Calibri" w:hAnsi="Calibri" w:cs="Calibri"/>
          <w:b/>
          <w:sz w:val="22"/>
        </w:rPr>
        <w:t xml:space="preserve">Sex/gender: </w:t>
      </w:r>
      <w:r>
        <w:rPr>
          <w:rFonts w:ascii="Calibri" w:hAnsi="Calibri" w:cs="Calibri"/>
          <w:b w:val="0"/>
          <w:sz w:val="22"/>
        </w:rPr>
        <w:t>Male</w:t>
      </w:r>
    </w:p>
    <w:p>
      <w:pPr>
        <w:pStyle w:val="ListBullet"/>
        <w:spacing w:after="40" w:before="0"/>
      </w:pPr>
      <w:r>
        <w:rPr>
          <w:rFonts w:ascii="Calibri" w:hAnsi="Calibri" w:cs="Calibri"/>
          <w:b/>
          <w:sz w:val="22"/>
        </w:rPr>
        <w:t xml:space="preserve">Weight: </w:t>
      </w:r>
      <w:r>
        <w:rPr>
          <w:rFonts w:ascii="Calibri" w:hAnsi="Calibri" w:cs="Calibri"/>
          <w:b w:val="0"/>
          <w:sz w:val="22"/>
        </w:rPr>
        <w:t>70.000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infectious disease</w:t>
      </w:r>
    </w:p>
    <w:p>
      <w:pPr>
        <w:pStyle w:val="ListBullet"/>
        <w:spacing w:after="40" w:before="0"/>
      </w:pPr>
      <w:r>
        <w:rPr>
          <w:rFonts w:ascii="Calibri" w:hAnsi="Calibri" w:cs="Calibri"/>
          <w:b/>
          <w:sz w:val="22"/>
        </w:rPr>
        <w:t xml:space="preserve">Admission diagnosis: </w:t>
      </w:r>
      <w:r>
        <w:rPr>
          <w:rFonts w:ascii="Calibri" w:hAnsi="Calibri" w:cs="Calibri"/>
          <w:b w:val="0"/>
          <w:sz w:val="22"/>
        </w:rPr>
        <w:t>Acute and subacute infective endocarditis</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82-year-old man with fever, dental disease, and mitral-valve endocarditis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Fever and fatigue</w:t>
      </w:r>
    </w:p>
    <w:p>
      <w:pPr>
        <w:pStyle w:val="ListBullet"/>
        <w:spacing w:after="40" w:before="0"/>
      </w:pPr>
      <w:r>
        <w:rPr>
          <w:rFonts w:ascii="Calibri" w:hAnsi="Calibri" w:cs="Calibri"/>
          <w:b/>
          <w:sz w:val="22"/>
        </w:rPr>
        <w:t xml:space="preserve">Symptoms: </w:t>
      </w:r>
      <w:r>
        <w:rPr>
          <w:rFonts w:ascii="Calibri" w:hAnsi="Calibri" w:cs="Calibri"/>
          <w:b w:val="0"/>
          <w:sz w:val="22"/>
        </w:rPr>
        <w:t>Fever, Fatigue</w:t>
      </w:r>
    </w:p>
    <w:p>
      <w:pPr>
        <w:pStyle w:val="ListBullet"/>
        <w:spacing w:after="40" w:before="0"/>
      </w:pPr>
      <w:r>
        <w:rPr>
          <w:rFonts w:ascii="Calibri" w:hAnsi="Calibri" w:cs="Calibri"/>
          <w:b/>
          <w:sz w:val="22"/>
        </w:rPr>
        <w:t xml:space="preserve">Symptom duration: </w:t>
      </w:r>
      <w:r>
        <w:rPr>
          <w:rFonts w:ascii="Calibri" w:hAnsi="Calibri" w:cs="Calibri"/>
          <w:b w:val="0"/>
          <w:sz w:val="22"/>
        </w:rPr>
        <w:t>one week</w:t>
      </w:r>
    </w:p>
    <w:p>
      <w:pPr>
        <w:pStyle w:val="ListBullet"/>
        <w:spacing w:after="40" w:before="0"/>
      </w:pPr>
      <w:r>
        <w:rPr>
          <w:rFonts w:ascii="Calibri" w:hAnsi="Calibri" w:cs="Calibri"/>
          <w:b/>
          <w:sz w:val="22"/>
        </w:rPr>
        <w:t xml:space="preserve">Symptom course: </w:t>
      </w:r>
      <w:r>
        <w:rPr>
          <w:rFonts w:ascii="Calibri" w:hAnsi="Calibri" w:cs="Calibri"/>
          <w:b w:val="0"/>
          <w:sz w:val="22"/>
        </w:rPr>
        <w:t>fever resolved after antibiotics</w:t>
      </w:r>
    </w:p>
    <w:p>
      <w:pPr>
        <w:pStyle w:val="Heading3"/>
      </w:pPr>
      <w:r>
        <w:rPr>
          <w:rFonts w:ascii="Calibri" w:hAnsi="Calibri"/>
          <w:color w:val="1F3A5F"/>
        </w:rPr>
        <w:t>History of present illness</w:t>
      </w:r>
    </w:p>
    <w:p>
      <w:pPr>
        <w:spacing w:after="120"/>
      </w:pPr>
      <w:r>
        <w:rPr>
          <w:rFonts w:ascii="Calibri" w:hAnsi="Calibri" w:cs="Calibri"/>
          <w:b w:val="0"/>
          <w:sz w:val="22"/>
        </w:rPr>
        <w:t>An 82-year-old man is admitted with one week of fever and fatigue. He has no prosthetic valve. A dental examination shows several caries and periodontal disease. Home medicines are lisinopril 10 mg daily and atorvastatin 40 mg daily. Admission temperature is 38.8 C. Two blood-culture sets drawn before antibiotics grew Streptococcus mitis group, reported susceptible to penicillin. Ceftriaxone 2 g intravenously once daily was given after those cultures were drawn. Creatinine was 1.6 mg/dL on hospital day 1, above an outpatient baseline of 0.9 mg/dL, while he was febrile and eating poorly. Lisinopril was not administered that day. Repeat blood cultures on hospital day 3 showed no growth. A transesophageal echocardiogram shows an 8 mm mitral vegetation, mild mitral regurgitation, no abscess, and a left ventricular ejection fraction of 55 percent. Cardiac surgery found no current indication for an operation: he has no heart-failure symptoms from the valve lesion, no abscess, and the bacteremia has cleared. Discharge creatinine is 0.8 mg/dL. Lisinopril 10 mg was administered the day before discharge, and the blood pressure remained in the 130s systolic. A peripherally inserted central catheter is in place. Weekly blood count and creatinine are arranged.</w:t>
      </w:r>
    </w:p>
    <w:p>
      <w:pPr>
        <w:pStyle w:val="Heading3"/>
      </w:pPr>
      <w:r>
        <w:rPr>
          <w:rFonts w:ascii="Calibri" w:hAnsi="Calibri"/>
          <w:color w:val="1F3A5F"/>
        </w:rPr>
        <w:t>Admission note</w:t>
      </w:r>
    </w:p>
    <w:p>
      <w:pPr>
        <w:spacing w:after="120"/>
      </w:pPr>
      <w:r>
        <w:rPr>
          <w:rFonts w:ascii="Calibri" w:hAnsi="Calibri" w:cs="Calibri"/>
          <w:b w:val="0"/>
          <w:sz w:val="22"/>
        </w:rPr>
        <w:t>Admission note. Fever to 38.8 C and fatigue for one week. Poor dentition. No prosthetic valve. Blood cultures drawn before antibiotics. Outpatient creatinine 0.9 mg/dL.</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Essential (primary) hypertension, Mixed hyperlipidemia, Chronic periodontitis and several dental caries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Acute and subacute infective endocarditis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Streptococcus mitis group bacteremia, penicillin susceptible. Cleared on hospital day 3. Transesophageal echocardiogram with an 8 mm mitral vegetation and no abscess. Surgery is not indicated now. Ceftriaxone 2 g intravenously once daily has been given since the cultures were drawn. The first negative culture was on hospital day 3. Lisinopril was administered after creatinine returned to 0.8 mg/dL.</w:t>
      </w: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38.80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127/86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102</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1.6</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13.1</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Leukocytes [#/volume] in Blood</w:t>
            </w:r>
          </w:p>
        </w:tc>
        <w:tc>
          <w:tcPr>
            <w:tcW w:type="dxa" w:w="1872"/>
          </w:tcPr>
          <w:p>
            <w:pPr>
              <w:spacing w:after="20" w:before="20"/>
            </w:pPr>
            <w:r>
              <w:rPr>
                <w:rFonts w:ascii="Calibri" w:hAnsi="Calibri" w:cs="Calibri"/>
                <w:b w:val="0"/>
                <w:sz w:val="20"/>
              </w:rPr>
              <w:t>14.2</w:t>
            </w:r>
          </w:p>
        </w:tc>
        <w:tc>
          <w:tcPr>
            <w:tcW w:type="dxa" w:w="2160"/>
          </w:tcPr>
          <w:p>
            <w:pPr>
              <w:spacing w:after="20" w:before="20"/>
            </w:pPr>
            <w:r>
              <w:rPr>
                <w:rFonts w:ascii="Calibri" w:hAnsi="Calibri" w:cs="Calibri"/>
                <w:b w:val="0"/>
                <w:sz w:val="20"/>
              </w:rPr>
              <w:t>10*3/uL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70.000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36.70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132/85</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78</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96.00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Hemoglobin [Mass/volume] in Blood by Oximetry</w:t>
            </w:r>
          </w:p>
        </w:tc>
        <w:tc>
          <w:tcPr>
            <w:tcW w:type="dxa" w:w="1872"/>
          </w:tcPr>
          <w:p>
            <w:pPr>
              <w:spacing w:after="20" w:before="20"/>
            </w:pPr>
            <w:r>
              <w:rPr>
                <w:rFonts w:ascii="Calibri" w:hAnsi="Calibri" w:cs="Calibri"/>
                <w:b w:val="0"/>
                <w:sz w:val="20"/>
              </w:rPr>
              <w:t>12.9</w:t>
            </w:r>
          </w:p>
        </w:tc>
        <w:tc>
          <w:tcPr>
            <w:tcW w:type="dxa" w:w="2160"/>
          </w:tcPr>
          <w:p>
            <w:pPr>
              <w:spacing w:after="20" w:before="20"/>
            </w:pPr>
            <w:r>
              <w:rPr>
                <w:rFonts w:ascii="Calibri" w:hAnsi="Calibri" w:cs="Calibri"/>
                <w:b w:val="0"/>
                <w:sz w:val="20"/>
              </w:rPr>
              <w:t>g/dL</w:t>
            </w:r>
          </w:p>
        </w:tc>
      </w:tr>
      <w:tr>
        <w:trPr>
          <w:cantSplit/>
        </w:trPr>
        <w:tc>
          <w:tcPr>
            <w:tcW w:type="dxa" w:w="5760"/>
          </w:tcPr>
          <w:p>
            <w:pPr>
              <w:spacing w:after="20" w:before="20"/>
            </w:pPr>
            <w:r>
              <w:rPr>
                <w:rFonts w:ascii="Calibri" w:hAnsi="Calibri" w:cs="Calibri"/>
                <w:b w:val="0"/>
                <w:sz w:val="20"/>
              </w:rPr>
              <w:t>Leukocytes [#/volume] in Blood</w:t>
            </w:r>
          </w:p>
        </w:tc>
        <w:tc>
          <w:tcPr>
            <w:tcW w:type="dxa" w:w="1872"/>
          </w:tcPr>
          <w:p>
            <w:pPr>
              <w:spacing w:after="20" w:before="20"/>
            </w:pPr>
            <w:r>
              <w:rPr>
                <w:rFonts w:ascii="Calibri" w:hAnsi="Calibri" w:cs="Calibri"/>
                <w:b w:val="0"/>
                <w:sz w:val="20"/>
              </w:rPr>
              <w:t>7.4</w:t>
            </w:r>
          </w:p>
        </w:tc>
        <w:tc>
          <w:tcPr>
            <w:tcW w:type="dxa" w:w="2160"/>
          </w:tcPr>
          <w:p>
            <w:pPr>
              <w:spacing w:after="20" w:before="20"/>
            </w:pPr>
            <w:r>
              <w:rPr>
                <w:rFonts w:ascii="Calibri" w:hAnsi="Calibri" w:cs="Calibri"/>
                <w:b w:val="0"/>
                <w:sz w:val="20"/>
              </w:rPr>
              <w:t>10*3/uL</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ceftriaxone 2000 MG Injection</w:t>
            </w:r>
          </w:p>
        </w:tc>
        <w:tc>
          <w:tcPr>
            <w:tcW w:type="dxa" w:w="1224"/>
          </w:tcPr>
          <w:p>
            <w:pPr>
              <w:spacing w:after="20" w:before="20"/>
            </w:pPr>
            <w:r>
              <w:rPr>
                <w:rFonts w:ascii="Calibri" w:hAnsi="Calibri" w:cs="Calibri"/>
                <w:b w:val="0"/>
                <w:sz w:val="20"/>
              </w:rPr>
              <w:t>2000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Acute and subacute infective endocarditis; Note: 2 g intravenously once daily since the cultures were drawn. The first negative blood culture was on hospital day 3. A peripherally inserted central catheter is in place.</w:t>
            </w:r>
          </w:p>
        </w:tc>
      </w:tr>
      <w:tr>
        <w:trPr>
          <w:cantSplit/>
        </w:trPr>
        <w:tc>
          <w:tcPr>
            <w:tcW w:type="dxa" w:w="3384"/>
          </w:tcPr>
          <w:p>
            <w:pPr>
              <w:spacing w:after="20" w:before="20"/>
            </w:pPr>
            <w:r>
              <w:rPr>
                <w:rFonts w:ascii="Calibri" w:hAnsi="Calibri" w:cs="Calibri"/>
                <w:b w:val="0"/>
                <w:sz w:val="20"/>
              </w:rPr>
              <w:t>lisinopril 10 MG Oral Tablet</w:t>
            </w:r>
          </w:p>
        </w:tc>
        <w:tc>
          <w:tcPr>
            <w:tcW w:type="dxa" w:w="1224"/>
          </w:tcPr>
          <w:p>
            <w:pPr>
              <w:spacing w:after="20" w:before="20"/>
            </w:pPr>
            <w:r>
              <w:rPr>
                <w:rFonts w:ascii="Calibri" w:hAnsi="Calibri" w:cs="Calibri"/>
                <w:b w:val="0"/>
                <w:sz w:val="20"/>
              </w:rPr>
              <w:t>10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 Note: Not administered on hospital day 1 when creatinine was 1.6 mg/dL. Administered the day before discharge after creatinine was 0.8 mg/dL.</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weekly complete blood count and creatinine during parenteral therapy</w:t>
            </w:r>
          </w:p>
        </w:tc>
        <w:tc>
          <w:tcPr>
            <w:tcW w:type="dxa" w:w="3264"/>
          </w:tcPr>
          <w:p>
            <w:pPr>
              <w:spacing w:after="20" w:before="20"/>
            </w:pPr>
            <w:r>
              <w:rPr>
                <w:rFonts w:ascii="Calibri" w:hAnsi="Calibri" w:cs="Calibri"/>
                <w:b w:val="0"/>
                <w:sz w:val="20"/>
              </w:rPr>
              <w:t>weekly</w:t>
            </w:r>
          </w:p>
        </w:tc>
        <w:tc>
          <w:tcPr>
            <w:tcW w:type="dxa" w:w="3264"/>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Infectious-disease follow-up with parenteral-therapy laboratory monitoring</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infectious disease</w:t>
            </w:r>
          </w:p>
        </w:tc>
      </w:tr>
      <w:tr>
        <w:trPr>
          <w:cantSplit/>
        </w:trPr>
        <w:tc>
          <w:tcPr>
            <w:tcW w:type="dxa" w:w="3264"/>
          </w:tcPr>
          <w:p>
            <w:pPr>
              <w:spacing w:after="20" w:before="20"/>
            </w:pPr>
            <w:r>
              <w:rPr>
                <w:rFonts w:ascii="Calibri" w:hAnsi="Calibri" w:cs="Calibri"/>
                <w:b w:val="0"/>
                <w:sz w:val="20"/>
              </w:rPr>
              <w:t>Dental follow-up for caries and periodontal disease</w:t>
            </w:r>
          </w:p>
        </w:tc>
        <w:tc>
          <w:tcPr>
            <w:tcW w:type="dxa" w:w="3264"/>
          </w:tcPr>
          <w:p>
            <w:pPr>
              <w:spacing w:after="20" w:before="20"/>
            </w:pPr>
            <w:r>
              <w:rPr>
                <w:rFonts w:ascii="Calibri" w:hAnsi="Calibri" w:cs="Calibri"/>
                <w:b w:val="0"/>
                <w:sz w:val="20"/>
              </w:rPr>
              <w:t>2 weeks</w:t>
            </w:r>
          </w:p>
        </w:tc>
        <w:tc>
          <w:tcPr>
            <w:tcW w:type="dxa" w:w="3264"/>
          </w:tcPr>
          <w:p>
            <w:pPr>
              <w:spacing w:after="20" w:before="20"/>
            </w:pPr>
            <w:r>
              <w:rPr>
                <w:rFonts w:ascii="Calibri" w:hAnsi="Calibri" w:cs="Calibri"/>
                <w:b w:val="0"/>
                <w:sz w:val="20"/>
              </w:rPr>
              <w:t>dentistry</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Study</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Body site</w:t>
            </w:r>
          </w:p>
        </w:tc>
        <w:tc>
          <w:tcPr>
            <w:tcW w:type="dxa" w:w="2448"/>
            <w:shd w:val="clear" w:color="auto" w:fill="D9E2F3"/>
          </w:tcPr>
          <w:p>
            <w:pPr>
              <w:spacing w:after="20" w:before="20"/>
            </w:pPr>
            <w:r>
              <w:rPr>
                <w:rFonts w:ascii="Calibri" w:hAnsi="Calibri" w:cs="Calibri"/>
                <w:b/>
                <w:sz w:val="20"/>
              </w:rPr>
              <w:t>Finding</w:t>
            </w:r>
          </w:p>
        </w:tc>
      </w:tr>
      <w:tr>
        <w:trPr>
          <w:cantSplit/>
        </w:trPr>
        <w:tc>
          <w:tcPr>
            <w:tcW w:type="dxa" w:w="2448"/>
          </w:tcPr>
          <w:p>
            <w:pPr>
              <w:spacing w:after="20" w:before="20"/>
            </w:pPr>
            <w:r>
              <w:rPr>
                <w:rFonts w:ascii="Calibri" w:hAnsi="Calibri" w:cs="Calibri"/>
                <w:b w:val="0"/>
                <w:sz w:val="20"/>
              </w:rPr>
              <w:t>Transesophageal echocardiogram</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heart</w:t>
            </w:r>
          </w:p>
        </w:tc>
        <w:tc>
          <w:tcPr>
            <w:tcW w:type="dxa" w:w="2448"/>
          </w:tcPr>
          <w:p>
            <w:pPr>
              <w:spacing w:after="20" w:before="20"/>
            </w:pPr>
            <w:r>
              <w:rPr>
                <w:rFonts w:ascii="Calibri" w:hAnsi="Calibri" w:cs="Calibri"/>
                <w:b w:val="0"/>
                <w:sz w:val="20"/>
              </w:rPr>
              <w:t>8 mm mitral vegetation. Mild mitral regurgitation. No abscess. Left ventricular ejection fraction 55 percent.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Penicillin-susceptible Streptococcus mitis group endocarditis on a native mitral valve. Bacteremia cleared on hospital day 3. No abscess.</w:t>
            </w:r>
          </w:p>
        </w:tc>
        <w:tc>
          <w:tcPr>
            <w:tcW w:type="dxa" w:w="2448"/>
          </w:tcPr>
          <w:p>
            <w:pPr>
              <w:spacing w:after="20" w:before="20"/>
            </w:pPr>
            <w:r>
              <w:rPr>
                <w:rFonts w:ascii="Calibri" w:hAnsi="Calibri" w:cs="Calibri"/>
                <w:b w:val="0"/>
                <w:sz w:val="20"/>
              </w:rPr>
              <w:t>Weekly complete blood count and creatinine. Infectious-diseases follow-up in 7 days.</w:t>
            </w:r>
          </w:p>
        </w:tc>
      </w:tr>
      <w:tr>
        <w:trPr>
          <w:cantSplit/>
        </w:trPr>
        <w:tc>
          <w:tcPr>
            <w:tcW w:type="dxa" w:w="2448"/>
          </w:tcPr>
          <w:p>
            <w:pPr>
              <w:spacing w:after="20" w:before="20"/>
            </w:pPr>
            <w:r>
              <w:rPr>
                <w:rFonts w:ascii="Calibri" w:hAnsi="Calibri" w:cs="Calibri"/>
                <w:b w:val="0"/>
                <w:sz w:val="20"/>
              </w:rPr>
              <w:t>cardiac surgery</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Mitral vegetation without abscess, severe regurgitation, heart failure, or uncontrolled infection.</w:t>
            </w:r>
          </w:p>
        </w:tc>
        <w:tc>
          <w:tcPr>
            <w:tcW w:type="dxa" w:w="2448"/>
          </w:tcPr>
          <w:p>
            <w:pPr>
              <w:spacing w:after="20" w:before="20"/>
            </w:pPr>
            <w:r>
              <w:rPr>
                <w:rFonts w:ascii="Calibri" w:hAnsi="Calibri" w:cs="Calibri"/>
                <w:b w:val="0"/>
                <w:sz w:val="20"/>
              </w:rPr>
              <w:t>No indication for valve surgery during this admission.</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Timepoint</w:t>
            </w:r>
          </w:p>
        </w:tc>
        <w:tc>
          <w:tcPr>
            <w:tcW w:type="dxa" w:w="1399"/>
            <w:shd w:val="clear" w:color="auto" w:fill="D9E2F3"/>
          </w:tcPr>
          <w:p>
            <w:pPr>
              <w:spacing w:after="20" w:before="20"/>
            </w:pPr>
            <w:r>
              <w:rPr>
                <w:rFonts w:ascii="Calibri" w:hAnsi="Calibri" w:cs="Calibri"/>
                <w:b/>
                <w:sz w:val="20"/>
              </w:rPr>
              <w:t>Specimen</w:t>
            </w:r>
          </w:p>
        </w:tc>
        <w:tc>
          <w:tcPr>
            <w:tcW w:type="dxa" w:w="1399"/>
            <w:shd w:val="clear" w:color="auto" w:fill="D9E2F3"/>
          </w:tcPr>
          <w:p>
            <w:pPr>
              <w:spacing w:after="20" w:before="20"/>
            </w:pPr>
            <w:r>
              <w:rPr>
                <w:rFonts w:ascii="Calibri" w:hAnsi="Calibri" w:cs="Calibri"/>
                <w:b/>
                <w:sz w:val="20"/>
              </w:rPr>
              <w:t>Test</w:t>
            </w:r>
          </w:p>
        </w:tc>
        <w:tc>
          <w:tcPr>
            <w:tcW w:type="dxa" w:w="1399"/>
            <w:shd w:val="clear" w:color="auto" w:fill="D9E2F3"/>
          </w:tcPr>
          <w:p>
            <w:pPr>
              <w:spacing w:after="20" w:before="20"/>
            </w:pPr>
            <w:r>
              <w:rPr>
                <w:rFonts w:ascii="Calibri" w:hAnsi="Calibri" w:cs="Calibri"/>
                <w:b/>
                <w:sz w:val="20"/>
              </w:rPr>
              <w:t>Organism</w:t>
            </w:r>
          </w:p>
        </w:tc>
        <w:tc>
          <w:tcPr>
            <w:tcW w:type="dxa" w:w="1399"/>
            <w:shd w:val="clear" w:color="auto" w:fill="D9E2F3"/>
          </w:tcPr>
          <w:p>
            <w:pPr>
              <w:spacing w:after="20" w:before="20"/>
            </w:pPr>
            <w:r>
              <w:rPr>
                <w:rFonts w:ascii="Calibri" w:hAnsi="Calibri" w:cs="Calibri"/>
                <w:b/>
                <w:sz w:val="20"/>
              </w:rPr>
              <w:t>Result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Notes</w:t>
            </w:r>
          </w:p>
        </w:tc>
      </w:tr>
      <w:tr>
        <w:trPr>
          <w:cantSplit/>
        </w:trPr>
        <w:tc>
          <w:tcPr>
            <w:tcW w:type="dxa" w:w="1399"/>
          </w:tcPr>
          <w:p>
            <w:pPr>
              <w:spacing w:after="20" w:before="20"/>
            </w:pPr>
            <w:r>
              <w:rPr>
                <w:rFonts w:ascii="Calibri" w:hAnsi="Calibri" w:cs="Calibri"/>
                <w:b w:val="0"/>
                <w:sz w:val="20"/>
              </w:rPr>
              <w:t>admission</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t>Streptococcus mitis group</w:t>
            </w:r>
          </w:p>
        </w:tc>
        <w:tc>
          <w:tcPr>
            <w:tcW w:type="dxa" w:w="1399"/>
          </w:tcPr>
          <w:p>
            <w:pPr>
              <w:spacing w:after="20" w:before="20"/>
            </w:pPr>
            <w:r>
              <w:rPr>
                <w:rFonts w:ascii="Calibri" w:hAnsi="Calibri" w:cs="Calibri"/>
                <w:b w:val="0"/>
                <w:sz w:val="20"/>
              </w:rPr>
              <w:t>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Drawn before antibiotics. Reported susceptible to penicillin.</w:t>
            </w:r>
          </w:p>
        </w:tc>
      </w:tr>
      <w:tr>
        <w:trPr>
          <w:cantSplit/>
        </w:trPr>
        <w:tc>
          <w:tcPr>
            <w:tcW w:type="dxa" w:w="1399"/>
          </w:tcPr>
          <w:p>
            <w:pPr>
              <w:spacing w:after="20" w:before="20"/>
            </w:pPr>
            <w:r>
              <w:rPr>
                <w:rFonts w:ascii="Calibri" w:hAnsi="Calibri" w:cs="Calibri"/>
                <w:b w:val="0"/>
                <w:sz w:val="20"/>
              </w:rPr>
              <w:t>hospital day 3</w:t>
            </w:r>
          </w:p>
        </w:tc>
        <w:tc>
          <w:tcPr>
            <w:tcW w:type="dxa" w:w="1399"/>
          </w:tcPr>
          <w:p>
            <w:pPr>
              <w:spacing w:after="20" w:before="20"/>
            </w:pPr>
            <w:r>
              <w:rPr>
                <w:rFonts w:ascii="Calibri" w:hAnsi="Calibri" w:cs="Calibri"/>
                <w:b w:val="0"/>
                <w:sz w:val="20"/>
              </w:rPr>
              <w:t>blood</w:t>
            </w:r>
          </w:p>
        </w:tc>
        <w:tc>
          <w:tcPr>
            <w:tcW w:type="dxa" w:w="1399"/>
          </w:tcPr>
          <w:p>
            <w:pPr>
              <w:spacing w:after="20" w:before="20"/>
            </w:pPr>
            <w:r>
              <w:rPr>
                <w:rFonts w:ascii="Calibri" w:hAnsi="Calibri" w:cs="Calibri"/>
                <w:b w:val="0"/>
                <w:sz w:val="20"/>
              </w:rPr>
              <w:t>blood culture</w:t>
            </w:r>
          </w:p>
        </w:tc>
        <w:tc>
          <w:tcPr>
            <w:tcW w:type="dxa" w:w="1399"/>
          </w:tcPr>
          <w:p>
            <w:pPr>
              <w:spacing w:after="20" w:before="20"/>
            </w:pPr>
            <w:r>
              <w:rPr>
                <w:rFonts w:ascii="Calibri" w:hAnsi="Calibri" w:cs="Calibri"/>
                <w:b w:val="0"/>
                <w:sz w:val="20"/>
              </w:rPr>
            </w:r>
          </w:p>
        </w:tc>
        <w:tc>
          <w:tcPr>
            <w:tcW w:type="dxa" w:w="1399"/>
          </w:tcPr>
          <w:p>
            <w:pPr>
              <w:spacing w:after="20" w:before="20"/>
            </w:pPr>
            <w:r>
              <w:rPr>
                <w:rFonts w:ascii="Calibri" w:hAnsi="Calibri" w:cs="Calibri"/>
                <w:b w:val="0"/>
                <w:sz w:val="20"/>
              </w:rPr>
              <w:t>no growth</w:t>
            </w:r>
          </w:p>
        </w:tc>
        <w:tc>
          <w:tcPr>
            <w:tcW w:type="dxa" w:w="1399"/>
          </w:tcPr>
          <w:p>
            <w:pPr>
              <w:spacing w:after="20" w:before="20"/>
            </w:pPr>
            <w:r>
              <w:rPr>
                <w:rFonts w:ascii="Calibri" w:hAnsi="Calibri" w:cs="Calibri"/>
                <w:b w:val="0"/>
                <w:sz w:val="20"/>
              </w:rPr>
              <w:t>final</w:t>
            </w:r>
          </w:p>
        </w:tc>
        <w:tc>
          <w:tcPr>
            <w:tcW w:type="dxa" w:w="1399"/>
          </w:tcPr>
          <w:p>
            <w:pPr>
              <w:spacing w:after="20" w:before="20"/>
            </w:pPr>
            <w:r>
              <w:rPr>
                <w:rFonts w:ascii="Calibri" w:hAnsi="Calibri" w:cs="Calibri"/>
                <w:b w:val="0"/>
                <w:sz w:val="20"/>
              </w:rPr>
              <w:t>First negative cultures. The four-week ceftriaxone course is counted from this day.</w:t>
            </w:r>
          </w:p>
        </w:tc>
      </w:tr>
    </w:tbl>
    <w:p>
      <w:pPr>
        <w:spacing w:after="40"/>
      </w:pPr>
    </w:p>
    <w:p>
      <w:pPr>
        <w:pStyle w:val="Heading2"/>
      </w:pPr>
      <w:r>
        <w:rPr>
          <w:rFonts w:ascii="Calibri" w:hAnsi="Calibri"/>
          <w:color w:val="1F3A5F"/>
        </w:rPr>
        <w:t>Devices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399"/>
            <w:shd w:val="clear" w:color="auto" w:fill="D9E2F3"/>
          </w:tcPr>
          <w:p>
            <w:pPr>
              <w:spacing w:after="20" w:before="20"/>
            </w:pPr>
            <w:r>
              <w:rPr>
                <w:rFonts w:ascii="Calibri" w:hAnsi="Calibri" w:cs="Calibri"/>
                <w:b/>
                <w:sz w:val="20"/>
              </w:rPr>
              <w:t>Device</w:t>
            </w:r>
          </w:p>
        </w:tc>
        <w:tc>
          <w:tcPr>
            <w:tcW w:type="dxa" w:w="1399"/>
            <w:shd w:val="clear" w:color="auto" w:fill="D9E2F3"/>
          </w:tcPr>
          <w:p>
            <w:pPr>
              <w:spacing w:after="20" w:before="20"/>
            </w:pPr>
            <w:r>
              <w:rPr>
                <w:rFonts w:ascii="Calibri" w:hAnsi="Calibri" w:cs="Calibri"/>
                <w:b/>
                <w:sz w:val="20"/>
              </w:rPr>
              <w:t>Site</w:t>
            </w:r>
          </w:p>
        </w:tc>
        <w:tc>
          <w:tcPr>
            <w:tcW w:type="dxa" w:w="1399"/>
            <w:shd w:val="clear" w:color="auto" w:fill="D9E2F3"/>
          </w:tcPr>
          <w:p>
            <w:pPr>
              <w:spacing w:after="20" w:before="20"/>
            </w:pPr>
            <w:r>
              <w:rPr>
                <w:rFonts w:ascii="Calibri" w:hAnsi="Calibri" w:cs="Calibri"/>
                <w:b/>
                <w:sz w:val="20"/>
              </w:rPr>
              <w:t>Placement</w:t>
            </w:r>
          </w:p>
        </w:tc>
        <w:tc>
          <w:tcPr>
            <w:tcW w:type="dxa" w:w="1399"/>
            <w:shd w:val="clear" w:color="auto" w:fill="D9E2F3"/>
          </w:tcPr>
          <w:p>
            <w:pPr>
              <w:spacing w:after="20" w:before="20"/>
            </w:pPr>
            <w:r>
              <w:rPr>
                <w:rFonts w:ascii="Calibri" w:hAnsi="Calibri" w:cs="Calibri"/>
                <w:b/>
                <w:sz w:val="20"/>
              </w:rPr>
              <w:t>Status</w:t>
            </w:r>
          </w:p>
        </w:tc>
        <w:tc>
          <w:tcPr>
            <w:tcW w:type="dxa" w:w="1399"/>
            <w:shd w:val="clear" w:color="auto" w:fill="D9E2F3"/>
          </w:tcPr>
          <w:p>
            <w:pPr>
              <w:spacing w:after="20" w:before="20"/>
            </w:pPr>
            <w:r>
              <w:rPr>
                <w:rFonts w:ascii="Calibri" w:hAnsi="Calibri" w:cs="Calibri"/>
                <w:b/>
                <w:sz w:val="20"/>
              </w:rPr>
              <w:t>Confirmation</w:t>
            </w:r>
          </w:p>
        </w:tc>
        <w:tc>
          <w:tcPr>
            <w:tcW w:type="dxa" w:w="1399"/>
            <w:shd w:val="clear" w:color="auto" w:fill="D9E2F3"/>
          </w:tcPr>
          <w:p>
            <w:pPr>
              <w:spacing w:after="20" w:before="20"/>
            </w:pPr>
            <w:r>
              <w:rPr>
                <w:rFonts w:ascii="Calibri" w:hAnsi="Calibri" w:cs="Calibri"/>
                <w:b/>
                <w:sz w:val="20"/>
              </w:rPr>
              <w:t>Care instructions</w:t>
            </w:r>
          </w:p>
        </w:tc>
        <w:tc>
          <w:tcPr>
            <w:tcW w:type="dxa" w:w="1399"/>
            <w:shd w:val="clear" w:color="auto" w:fill="D9E2F3"/>
          </w:tcPr>
          <w:p>
            <w:pPr>
              <w:spacing w:after="20" w:before="20"/>
            </w:pPr>
            <w:r>
              <w:rPr>
                <w:rFonts w:ascii="Calibri" w:hAnsi="Calibri" w:cs="Calibri"/>
                <w:b/>
                <w:sz w:val="20"/>
              </w:rPr>
              <w:t>Removal plan</w:t>
            </w:r>
          </w:p>
        </w:tc>
      </w:tr>
      <w:tr>
        <w:trPr>
          <w:cantSplit/>
        </w:trPr>
        <w:tc>
          <w:tcPr>
            <w:tcW w:type="dxa" w:w="1399"/>
          </w:tcPr>
          <w:p>
            <w:pPr>
              <w:spacing w:after="20" w:before="20"/>
            </w:pPr>
            <w:r>
              <w:rPr>
                <w:rFonts w:ascii="Calibri" w:hAnsi="Calibri" w:cs="Calibri"/>
                <w:b w:val="0"/>
                <w:sz w:val="20"/>
              </w:rPr>
              <w:t>peripherally inserted central catheter</w:t>
            </w:r>
          </w:p>
        </w:tc>
        <w:tc>
          <w:tcPr>
            <w:tcW w:type="dxa" w:w="1399"/>
          </w:tcPr>
          <w:p>
            <w:pPr>
              <w:spacing w:after="20" w:before="20"/>
            </w:pPr>
            <w:r>
              <w:rPr>
                <w:rFonts w:ascii="Calibri" w:hAnsi="Calibri" w:cs="Calibri"/>
                <w:b w:val="0"/>
                <w:sz w:val="20"/>
              </w:rPr>
              <w:t>right arm</w:t>
            </w:r>
          </w:p>
        </w:tc>
        <w:tc>
          <w:tcPr>
            <w:tcW w:type="dxa" w:w="1399"/>
          </w:tcPr>
          <w:p>
            <w:pPr>
              <w:spacing w:after="20" w:before="20"/>
            </w:pPr>
            <w:r>
              <w:rPr>
                <w:rFonts w:ascii="Calibri" w:hAnsi="Calibri" w:cs="Calibri"/>
                <w:b w:val="0"/>
                <w:sz w:val="20"/>
              </w:rPr>
              <w:t>inpatient</w:t>
            </w:r>
          </w:p>
        </w:tc>
        <w:tc>
          <w:tcPr>
            <w:tcW w:type="dxa" w:w="1399"/>
          </w:tcPr>
          <w:p>
            <w:pPr>
              <w:spacing w:after="20" w:before="20"/>
            </w:pPr>
            <w:r>
              <w:rPr>
                <w:rFonts w:ascii="Calibri" w:hAnsi="Calibri" w:cs="Calibri"/>
                <w:b w:val="0"/>
                <w:sz w:val="20"/>
              </w:rPr>
              <w:t>in place</w:t>
            </w:r>
          </w:p>
        </w:tc>
        <w:tc>
          <w:tcPr>
            <w:tcW w:type="dxa" w:w="1399"/>
          </w:tcPr>
          <w:p>
            <w:pPr>
              <w:spacing w:after="20" w:before="20"/>
            </w:pPr>
            <w:r>
              <w:rPr>
                <w:rFonts w:ascii="Calibri" w:hAnsi="Calibri" w:cs="Calibri"/>
                <w:b w:val="0"/>
                <w:sz w:val="20"/>
              </w:rPr>
              <w:t>Tip position confirmed. Site without erythema or drainage.</w:t>
            </w:r>
          </w:p>
        </w:tc>
        <w:tc>
          <w:tcPr>
            <w:tcW w:type="dxa" w:w="1399"/>
          </w:tcPr>
          <w:p>
            <w:pPr>
              <w:spacing w:after="20" w:before="20"/>
            </w:pPr>
            <w:r>
              <w:rPr>
                <w:rFonts w:ascii="Calibri" w:hAnsi="Calibri" w:cs="Calibri"/>
                <w:b w:val="0"/>
                <w:sz w:val="20"/>
              </w:rPr>
              <w:t>Standard line care during the remaining ceftriaxone course.</w:t>
            </w:r>
          </w:p>
        </w:tc>
        <w:tc>
          <w:tcPr>
            <w:tcW w:type="dxa" w:w="1399"/>
          </w:tcPr>
          <w:p>
            <w:pPr>
              <w:spacing w:after="20" w:before="20"/>
            </w:pPr>
            <w:r>
              <w:rPr>
                <w:rFonts w:ascii="Calibri" w:hAnsi="Calibri" w:cs="Calibri"/>
                <w:b w:val="0"/>
                <w:sz w:val="20"/>
              </w:rPr>
              <w:t>Remove when the four-week intravenous course is complete.</w:t>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Fatigue</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ceftriaxone 2000 MG Injection</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2000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Native mitral-valve endocarditis due to penicillin-susceptible Streptococcus mitis group</w:t>
            </w:r>
          </w:p>
        </w:tc>
        <w:tc>
          <w:tcPr>
            <w:tcW w:type="dxa" w:w="1728"/>
          </w:tcPr>
          <w:p>
            <w:pPr>
              <w:spacing w:after="20" w:before="20"/>
            </w:pPr>
            <w:r>
              <w:rPr>
                <w:rFonts w:ascii="Calibri" w:hAnsi="Calibri" w:cs="Calibri"/>
                <w:b w:val="0"/>
                <w:sz w:val="20"/>
              </w:rPr>
              <w:t>Started in the hospital after cultures were drawn. Infectious diseases recommends completing four weeks from the first negative culture on hospital day 3. The catheter is in place.</w:t>
            </w:r>
          </w:p>
        </w:tc>
      </w:tr>
      <w:tr>
        <w:trPr>
          <w:cantSplit/>
        </w:trPr>
        <w:tc>
          <w:tcPr>
            <w:tcW w:type="dxa" w:w="1872"/>
          </w:tcPr>
          <w:p>
            <w:pPr>
              <w:spacing w:after="20" w:before="20"/>
            </w:pPr>
            <w:r>
              <w:rPr>
                <w:rFonts w:ascii="Calibri" w:hAnsi="Calibri" w:cs="Calibri"/>
                <w:b w:val="0"/>
                <w:sz w:val="20"/>
              </w:rPr>
              <w:t>lisinopril 10 MG Oral Tablet</w:t>
            </w:r>
          </w:p>
        </w:tc>
        <w:tc>
          <w:tcPr>
            <w:tcW w:type="dxa" w:w="1152"/>
          </w:tcPr>
          <w:p>
            <w:pPr>
              <w:spacing w:after="20" w:before="20"/>
            </w:pPr>
            <w:r>
              <w:rPr>
                <w:rFonts w:ascii="Calibri" w:hAnsi="Calibri" w:cs="Calibri"/>
                <w:b w:val="0"/>
                <w:sz w:val="20"/>
              </w:rPr>
              <w:t>restart</w:t>
            </w:r>
          </w:p>
        </w:tc>
        <w:tc>
          <w:tcPr>
            <w:tcW w:type="dxa" w:w="1008"/>
          </w:tcPr>
          <w:p>
            <w:pPr>
              <w:spacing w:after="20" w:before="20"/>
            </w:pPr>
            <w:r>
              <w:rPr>
                <w:rFonts w:ascii="Calibri" w:hAnsi="Calibri" w:cs="Calibri"/>
                <w:b w:val="0"/>
                <w:sz w:val="20"/>
              </w:rPr>
              <w:t>10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Essential (primary) hypertension</w:t>
            </w:r>
          </w:p>
        </w:tc>
        <w:tc>
          <w:tcPr>
            <w:tcW w:type="dxa" w:w="1728"/>
          </w:tcPr>
          <w:p>
            <w:pPr>
              <w:spacing w:after="20" w:before="20"/>
            </w:pPr>
            <w:r>
              <w:rPr>
                <w:rFonts w:ascii="Calibri" w:hAnsi="Calibri" w:cs="Calibri"/>
                <w:b w:val="0"/>
                <w:sz w:val="20"/>
              </w:rPr>
              <w:t>Held when creatinine was 1.6 mg/dL. Restarted the day before discharge after creatinine was 0.8 mg/dL, and systolic blood pressure stayed in the 130s.</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Mixed hyperlipidemia</w:t>
            </w:r>
          </w:p>
        </w:tc>
        <w:tc>
          <w:tcPr>
            <w:tcW w:type="dxa" w:w="1728"/>
          </w:tcPr>
          <w:p>
            <w:pPr>
              <w:spacing w:after="20" w:before="20"/>
            </w:pPr>
            <w:r>
              <w:rPr>
                <w:rFonts w:ascii="Calibri" w:hAnsi="Calibri" w:cs="Calibri"/>
                <w:b w:val="0"/>
                <w:sz w:val="20"/>
              </w:rPr>
              <w:t>Home medicine continued through the admission. No new contraindication is described.</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168"/>
            <w:shd w:val="clear" w:color="auto" w:fill="D9E2F3"/>
          </w:tcPr>
          <w:p>
            <w:pPr>
              <w:spacing w:after="20" w:before="20"/>
            </w:pPr>
            <w:r>
              <w:rPr>
                <w:rFonts w:ascii="Calibri" w:hAnsi="Calibri" w:cs="Calibri"/>
                <w:b/>
                <w:sz w:val="20"/>
              </w:rPr>
              <w:t>Medication</w:t>
            </w:r>
          </w:p>
        </w:tc>
        <w:tc>
          <w:tcPr>
            <w:tcW w:type="dxa" w:w="3312"/>
            <w:shd w:val="clear" w:color="auto" w:fill="D9E2F3"/>
          </w:tcPr>
          <w:p>
            <w:pPr>
              <w:spacing w:after="20" w:before="20"/>
            </w:pPr>
            <w:r>
              <w:rPr>
                <w:rFonts w:ascii="Calibri" w:hAnsi="Calibri" w:cs="Calibri"/>
                <w:b/>
                <w:sz w:val="20"/>
              </w:rPr>
              <w:t>Monitoring</w:t>
            </w:r>
          </w:p>
        </w:tc>
        <w:tc>
          <w:tcPr>
            <w:tcW w:type="dxa" w:w="3312"/>
            <w:shd w:val="clear" w:color="auto" w:fill="D9E2F3"/>
          </w:tcPr>
          <w:p>
            <w:pPr>
              <w:spacing w:after="20" w:before="20"/>
            </w:pPr>
            <w:r>
              <w:rPr>
                <w:rFonts w:ascii="Calibri" w:hAnsi="Calibri" w:cs="Calibri"/>
                <w:b/>
                <w:sz w:val="20"/>
              </w:rPr>
              <w:t>Follow-up</w:t>
            </w:r>
          </w:p>
        </w:tc>
      </w:tr>
      <w:tr>
        <w:trPr>
          <w:cantSplit/>
        </w:trPr>
        <w:tc>
          <w:tcPr>
            <w:tcW w:type="dxa" w:w="3168"/>
          </w:tcPr>
          <w:p>
            <w:pPr>
              <w:spacing w:after="20" w:before="20"/>
            </w:pPr>
            <w:r>
              <w:rPr>
                <w:rFonts w:ascii="Calibri" w:hAnsi="Calibri" w:cs="Calibri"/>
                <w:b w:val="0"/>
                <w:sz w:val="20"/>
              </w:rPr>
              <w:t>ceftriaxone 2000 MG Injection</w:t>
            </w:r>
          </w:p>
        </w:tc>
        <w:tc>
          <w:tcPr>
            <w:tcW w:type="dxa" w:w="3312"/>
          </w:tcPr>
          <w:p>
            <w:pPr>
              <w:spacing w:after="20" w:before="20"/>
            </w:pPr>
            <w:r>
              <w:rPr>
                <w:rFonts w:ascii="Calibri" w:hAnsi="Calibri" w:cs="Calibri"/>
                <w:b w:val="0"/>
                <w:sz w:val="20"/>
              </w:rPr>
              <w:t>Weekly complete blood count and creatinine.</w:t>
            </w:r>
          </w:p>
        </w:tc>
        <w:tc>
          <w:tcPr>
            <w:tcW w:type="dxa" w:w="3312"/>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weekly complete blood count and creatinine during parenteral therapy</w:t>
            </w:r>
          </w:p>
        </w:tc>
        <w:tc>
          <w:tcPr>
            <w:tcW w:type="dxa" w:w="2592"/>
          </w:tcPr>
          <w:p>
            <w:pPr>
              <w:spacing w:after="20" w:before="20"/>
            </w:pPr>
            <w:r>
              <w:rPr>
                <w:rFonts w:ascii="Calibri" w:hAnsi="Calibri" w:cs="Calibri"/>
                <w:b w:val="0"/>
                <w:sz w:val="20"/>
              </w:rPr>
              <w:t>weekly</w:t>
            </w:r>
          </w:p>
        </w:tc>
        <w:tc>
          <w:tcPr>
            <w:tcW w:type="dxa" w:w="2304"/>
          </w:tcPr>
          <w:p>
            <w:pPr>
              <w:spacing w:after="20" w:before="20"/>
            </w:pPr>
            <w:r>
              <w:rPr>
                <w:rFonts w:ascii="Calibri" w:hAnsi="Calibri" w:cs="Calibri"/>
                <w:b w:val="0"/>
                <w:sz w:val="20"/>
              </w:rPr>
            </w:r>
          </w:p>
        </w:tc>
        <w:tc>
          <w:tcPr>
            <w:tcW w:type="dxa" w:w="1728"/>
          </w:tcPr>
          <w:p>
            <w:pPr>
              <w:spacing w:after="20" w:before="20"/>
            </w:pPr>
            <w:r>
              <w:rPr>
                <w:rFonts w:ascii="Calibri" w:hAnsi="Calibri" w:cs="Calibri"/>
                <w:b w:val="0"/>
                <w:sz w:val="20"/>
              </w:rPr>
              <w:t>for the remaining ceftriaxone course</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Infectious-disease follow-up with parenteral-therapy laboratory monitoring</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infectious disease</w:t>
            </w:r>
          </w:p>
        </w:tc>
      </w:tr>
      <w:tr>
        <w:trPr>
          <w:cantSplit/>
        </w:trPr>
        <w:tc>
          <w:tcPr>
            <w:tcW w:type="dxa" w:w="4896"/>
          </w:tcPr>
          <w:p>
            <w:pPr>
              <w:spacing w:after="20" w:before="20"/>
            </w:pPr>
            <w:r>
              <w:rPr>
                <w:rFonts w:ascii="Calibri" w:hAnsi="Calibri" w:cs="Calibri"/>
                <w:b w:val="0"/>
                <w:sz w:val="20"/>
              </w:rPr>
              <w:t>Dental follow-up for caries and periodontal disease</w:t>
            </w:r>
          </w:p>
        </w:tc>
        <w:tc>
          <w:tcPr>
            <w:tcW w:type="dxa" w:w="2304"/>
          </w:tcPr>
          <w:p>
            <w:pPr>
              <w:spacing w:after="20" w:before="20"/>
            </w:pPr>
            <w:r>
              <w:rPr>
                <w:rFonts w:ascii="Calibri" w:hAnsi="Calibri" w:cs="Calibri"/>
                <w:b w:val="0"/>
                <w:sz w:val="20"/>
              </w:rPr>
              <w:t>2 weeks</w:t>
            </w:r>
          </w:p>
        </w:tc>
        <w:tc>
          <w:tcPr>
            <w:tcW w:type="dxa" w:w="2592"/>
          </w:tcPr>
          <w:p>
            <w:pPr>
              <w:spacing w:after="20" w:before="20"/>
            </w:pPr>
            <w:r>
              <w:rPr>
                <w:rFonts w:ascii="Calibri" w:hAnsi="Calibri" w:cs="Calibri"/>
                <w:b w:val="0"/>
                <w:sz w:val="20"/>
              </w:rPr>
              <w:t>dentistry</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1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1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1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16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16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16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ectPr>
          <w:headerReference w:type="default" r:id="rId12"/>
          <w:pgSz w:w="12240" w:h="15840"/>
          <w:pgMar w:top="1224" w:right="1224" w:bottom="1080" w:left="1224" w:header="720" w:footer="504" w:gutter="0"/>
          <w:cols w:space="720"/>
          <w:docGrid w:linePitch="360"/>
        </w:sectPr>
      </w:pPr>
    </w:p>
    <w:p>
      <w:pPr>
        <w:pStyle w:val="Heading1"/>
        <w:pageBreakBefore w:val="0"/>
      </w:pPr>
      <w:r>
        <w:rPr>
          <w:rFonts w:ascii="Calibri" w:hAnsi="Calibri"/>
          <w:color w:val="1F3A5F"/>
        </w:rPr>
        <w:t>CASE VAL-813</w:t>
      </w:r>
    </w:p>
    <w:p>
      <w:pPr>
        <w:pStyle w:val="Heading2"/>
      </w:pPr>
      <w:r>
        <w:rPr>
          <w:rFonts w:ascii="Calibri" w:hAnsi="Calibri"/>
          <w:color w:val="1F3A5F"/>
        </w:rPr>
        <w:t>Patient overview</w:t>
      </w:r>
    </w:p>
    <w:p>
      <w:pPr>
        <w:pStyle w:val="ListBullet"/>
        <w:spacing w:after="40" w:before="0"/>
      </w:pPr>
      <w:r>
        <w:rPr>
          <w:rFonts w:ascii="Calibri" w:hAnsi="Calibri" w:cs="Calibri"/>
          <w:b/>
          <w:sz w:val="22"/>
        </w:rPr>
        <w:t xml:space="preserve">Age: </w:t>
      </w:r>
      <w:r>
        <w:rPr>
          <w:rFonts w:ascii="Calibri" w:hAnsi="Calibri" w:cs="Calibri"/>
          <w:b w:val="0"/>
          <w:sz w:val="22"/>
        </w:rPr>
        <w:t>64</w:t>
      </w:r>
    </w:p>
    <w:p>
      <w:pPr>
        <w:pStyle w:val="ListBullet"/>
        <w:spacing w:after="40" w:before="0"/>
      </w:pPr>
      <w:r>
        <w:rPr>
          <w:rFonts w:ascii="Calibri" w:hAnsi="Calibri" w:cs="Calibri"/>
          <w:b/>
          <w:sz w:val="22"/>
        </w:rPr>
        <w:t xml:space="preserve">Sex/gender: </w:t>
      </w:r>
      <w:r>
        <w:rPr>
          <w:rFonts w:ascii="Calibri" w:hAnsi="Calibri" w:cs="Calibri"/>
          <w:b w:val="0"/>
          <w:sz w:val="22"/>
        </w:rPr>
        <w:t>Female</w:t>
      </w:r>
    </w:p>
    <w:p>
      <w:pPr>
        <w:pStyle w:val="ListBullet"/>
        <w:spacing w:after="40" w:before="0"/>
      </w:pPr>
      <w:r>
        <w:rPr>
          <w:rFonts w:ascii="Calibri" w:hAnsi="Calibri" w:cs="Calibri"/>
          <w:b/>
          <w:sz w:val="22"/>
        </w:rPr>
        <w:t xml:space="preserve">Weight: </w:t>
      </w:r>
      <w:r>
        <w:rPr>
          <w:rFonts w:ascii="Calibri" w:hAnsi="Calibri" w:cs="Calibri"/>
          <w:b w:val="0"/>
          <w:sz w:val="22"/>
        </w:rPr>
        <w:t>64.000 kg</w:t>
      </w:r>
    </w:p>
    <w:p>
      <w:pPr>
        <w:pStyle w:val="ListBullet"/>
        <w:spacing w:after="40" w:before="0"/>
      </w:pPr>
      <w:r>
        <w:rPr>
          <w:rFonts w:ascii="Calibri" w:hAnsi="Calibri" w:cs="Calibri"/>
          <w:b/>
          <w:sz w:val="22"/>
        </w:rPr>
        <w:t xml:space="preserve">Clinical setting/specialty: </w:t>
      </w:r>
      <w:r>
        <w:rPr>
          <w:rFonts w:ascii="Calibri" w:hAnsi="Calibri" w:cs="Calibri"/>
          <w:b w:val="0"/>
          <w:sz w:val="22"/>
        </w:rPr>
        <w:t>nephrology</w:t>
      </w:r>
    </w:p>
    <w:p>
      <w:pPr>
        <w:pStyle w:val="ListBullet"/>
        <w:spacing w:after="40" w:before="0"/>
      </w:pPr>
      <w:r>
        <w:rPr>
          <w:rFonts w:ascii="Calibri" w:hAnsi="Calibri" w:cs="Calibri"/>
          <w:b/>
          <w:sz w:val="22"/>
        </w:rPr>
        <w:t xml:space="preserve">Admission diagnosis: </w:t>
      </w:r>
      <w:r>
        <w:rPr>
          <w:rFonts w:ascii="Calibri" w:hAnsi="Calibri" w:cs="Calibri"/>
          <w:b w:val="0"/>
          <w:sz w:val="22"/>
        </w:rPr>
        <w:t>Diarrhea after kidney transplant</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One-liner: </w:t>
      </w:r>
      <w:r>
        <w:rPr>
          <w:rFonts w:ascii="Calibri" w:hAnsi="Calibri" w:cs="Calibri"/>
          <w:b w:val="0"/>
          <w:sz w:val="22"/>
        </w:rPr>
        <w:t>64-year-old woman with diarrhea after kidney transplant, found to have cytomegalovirus colitis</w:t>
      </w:r>
    </w:p>
    <w:p>
      <w:pPr>
        <w:pStyle w:val="Heading2"/>
      </w:pPr>
      <w:r>
        <w:rPr>
          <w:rFonts w:ascii="Calibri" w:hAnsi="Calibri"/>
          <w:color w:val="1F3A5F"/>
        </w:rPr>
        <w:t>Reason for hospitalization</w:t>
      </w:r>
    </w:p>
    <w:p>
      <w:pPr>
        <w:pStyle w:val="ListBullet"/>
        <w:spacing w:after="40" w:before="0"/>
      </w:pPr>
      <w:r>
        <w:rPr>
          <w:rFonts w:ascii="Calibri" w:hAnsi="Calibri" w:cs="Calibri"/>
          <w:b/>
          <w:sz w:val="22"/>
        </w:rPr>
        <w:t xml:space="preserve">Chief complaint: </w:t>
      </w:r>
      <w:r>
        <w:rPr>
          <w:rFonts w:ascii="Calibri" w:hAnsi="Calibri" w:cs="Calibri"/>
          <w:b w:val="0"/>
          <w:sz w:val="22"/>
        </w:rPr>
        <w:t>Diarrhea and poor intake</w:t>
      </w:r>
    </w:p>
    <w:p>
      <w:pPr>
        <w:pStyle w:val="ListBullet"/>
        <w:spacing w:after="40" w:before="0"/>
      </w:pPr>
      <w:r>
        <w:rPr>
          <w:rFonts w:ascii="Calibri" w:hAnsi="Calibri" w:cs="Calibri"/>
          <w:b/>
          <w:sz w:val="22"/>
        </w:rPr>
        <w:t xml:space="preserve">Symptoms: </w:t>
      </w:r>
      <w:r>
        <w:rPr>
          <w:rFonts w:ascii="Calibri" w:hAnsi="Calibri" w:cs="Calibri"/>
          <w:b w:val="0"/>
          <w:sz w:val="22"/>
        </w:rPr>
        <w:t>Diarrhea</w:t>
      </w:r>
    </w:p>
    <w:p>
      <w:pPr>
        <w:pStyle w:val="ListBullet"/>
        <w:spacing w:after="40" w:before="0"/>
      </w:pPr>
      <w:r>
        <w:rPr>
          <w:rFonts w:ascii="Calibri" w:hAnsi="Calibri" w:cs="Calibri"/>
          <w:b/>
          <w:sz w:val="22"/>
        </w:rPr>
        <w:t xml:space="preserve">Symptom duration: </w:t>
      </w:r>
      <w:r>
        <w:rPr>
          <w:rFonts w:ascii="Calibri" w:hAnsi="Calibri" w:cs="Calibri"/>
          <w:b w:val="0"/>
          <w:sz w:val="22"/>
        </w:rPr>
        <w:t>several days</w:t>
      </w:r>
    </w:p>
    <w:p>
      <w:pPr>
        <w:pStyle w:val="ListBullet"/>
        <w:spacing w:after="40" w:before="0"/>
      </w:pPr>
      <w:r>
        <w:rPr>
          <w:rFonts w:ascii="Calibri" w:hAnsi="Calibri" w:cs="Calibri"/>
          <w:b/>
          <w:sz w:val="22"/>
        </w:rPr>
        <w:t xml:space="preserve">Symptom course: </w:t>
      </w:r>
      <w:r>
        <w:rPr>
          <w:rFonts w:ascii="Calibri" w:hAnsi="Calibri" w:cs="Calibri"/>
          <w:b w:val="0"/>
          <w:sz w:val="22"/>
        </w:rPr>
        <w:t>diarrhea slowed after volume repletion and antiviral treatment</w:t>
      </w:r>
    </w:p>
    <w:p>
      <w:pPr>
        <w:pStyle w:val="Heading3"/>
      </w:pPr>
      <w:r>
        <w:rPr>
          <w:rFonts w:ascii="Calibri" w:hAnsi="Calibri"/>
          <w:color w:val="1F3A5F"/>
        </w:rPr>
        <w:t>History of present illness</w:t>
      </w:r>
    </w:p>
    <w:p>
      <w:pPr>
        <w:spacing w:after="120"/>
      </w:pPr>
      <w:r>
        <w:rPr>
          <w:rFonts w:ascii="Calibri" w:hAnsi="Calibri" w:cs="Calibri"/>
          <w:b w:val="0"/>
          <w:sz w:val="22"/>
        </w:rPr>
        <w:t>A 64-year-old woman with a remote kidney transplant is admitted for several days of watery diarrhea and poor intake. She is not admitted with a diagnosis of cytomegalovirus colitis. Home immunosuppression is tacrolimus 1 mg orally every 12 hours, mycophenolate mofetil 1000 mg orally twice daily, and prednisone 5 mg orally once daily. She also takes amlodipine 5 mg daily and atorvastatin 40 mg daily. Valganciclovir is not a home medicine. Admission weight is 64 kg. Blood pressure is 100/62 mm Hg and heart rate is 110 beats per minute. Creatinine is 1.8 mg/dL, above an outpatient baseline of 1.0 mg/dL. Potassium is 3.2 mmol/L. Stool culture did not grow a bacterial pathogen, and Clostridioides difficile toxin is negative. On hospital day 2, colonoscopy shows colitis and the biopsy immunohistochemistry is positive for cytomegalovirus. Plasma cytomegalovirus DNA is 8500 IU/mL. Mycophenolate was not administered after that biopsy. Ganciclovir 5 mg/kg intravenously every 12 hours was given after the biopsy; at 66 kg that dose is 330 mg. Potassium chloride, 40 mEq orally, was given for the admission potassium. Diarrhea slows to one or two formed stools a day. Discharge weight is 66 kg, creatinine is 0.9 mg/dL, and potassium is 4.0 mmol/L. The transplant pharmacist records creatinine clearance above 60 mL/min from the discharge age, weight, and creatinine. Valganciclovir 900 mg orally twice daily, given as 450 mg tablets, was given after the intravenous ganciclovir once creatinine clearance was above 60 mL/min. Tacrolimus 1 mg every 12 hours was given through the stay; a trough is 6.5 ng/mL and the transplant target on the chart is 5 to 8 ng/mL. Prednisone 5 mg daily was given through the stay. Transplant clinic is in 7 days.</w:t>
      </w:r>
    </w:p>
    <w:p>
      <w:pPr>
        <w:pStyle w:val="Heading3"/>
      </w:pPr>
      <w:r>
        <w:rPr>
          <w:rFonts w:ascii="Calibri" w:hAnsi="Calibri"/>
          <w:color w:val="1F3A5F"/>
        </w:rPr>
        <w:t>Admission note</w:t>
      </w:r>
    </w:p>
    <w:p>
      <w:pPr>
        <w:spacing w:after="120"/>
      </w:pPr>
      <w:r>
        <w:rPr>
          <w:rFonts w:ascii="Calibri" w:hAnsi="Calibri" w:cs="Calibri"/>
          <w:b w:val="0"/>
          <w:sz w:val="22"/>
        </w:rPr>
        <w:t>Admission note for diarrhea and poor intake after kidney transplant. The cause is not yet known. Creatinine 1.8 mg/dL, potassium 3.2 mmol/L, baseline creatinine 1.0 mg/dL. Valganciclovir is not a home medicine.</w:t>
      </w:r>
    </w:p>
    <w:p>
      <w:pPr>
        <w:pStyle w:val="Heading2"/>
      </w:pPr>
      <w:r>
        <w:rPr>
          <w:rFonts w:ascii="Calibri" w:hAnsi="Calibri"/>
          <w:color w:val="1F3A5F"/>
        </w:rPr>
        <w:t>Relevant medical history</w:t>
      </w:r>
    </w:p>
    <w:p>
      <w:pPr>
        <w:pStyle w:val="ListBullet"/>
        <w:spacing w:after="40" w:before="0"/>
      </w:pPr>
      <w:r>
        <w:rPr>
          <w:rFonts w:ascii="Calibri" w:hAnsi="Calibri" w:cs="Calibri"/>
          <w:b/>
          <w:sz w:val="22"/>
        </w:rPr>
        <w:t xml:space="preserve">Past medical history: </w:t>
      </w:r>
      <w:r>
        <w:rPr>
          <w:rFonts w:ascii="Calibri" w:hAnsi="Calibri" w:cs="Calibri"/>
          <w:b w:val="0"/>
          <w:sz w:val="22"/>
        </w:rPr>
        <w:t>Kidney transplant status, Essential (primary) hypertension, Mixed hyperlipidemia</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c>
          <w:tcPr>
            <w:tcW w:type="dxa" w:w="2448"/>
            <w:shd w:val="clear" w:color="auto" w:fill="D9E2F3"/>
          </w:tcPr>
          <w:p>
            <w:pPr>
              <w:spacing w:after="20" w:before="20"/>
            </w:pPr>
            <w:r>
              <w:rPr>
                <w:rFonts w:ascii="Calibri" w:hAnsi="Calibri" w:cs="Calibri"/>
                <w:b/>
                <w:sz w:val="20"/>
              </w:rPr>
              <w:t>Context</w:t>
            </w:r>
          </w:p>
        </w:tc>
      </w:tr>
      <w:tr>
        <w:trPr>
          <w:cantSplit/>
        </w:trPr>
        <w:tc>
          <w:tcPr>
            <w:tcW w:type="dxa" w:w="2448"/>
          </w:tcPr>
          <w:p>
            <w:pPr>
              <w:spacing w:after="20" w:before="20"/>
            </w:pPr>
            <w:r>
              <w:rPr>
                <w:rFonts w:ascii="Calibri" w:hAnsi="Calibri" w:cs="Calibri"/>
                <w:b w:val="0"/>
                <w:sz w:val="20"/>
              </w:rPr>
              <w:t>Diarrhea after kidney transplant</w:t>
            </w:r>
          </w:p>
        </w:tc>
        <w:tc>
          <w:tcPr>
            <w:tcW w:type="dxa" w:w="2448"/>
          </w:tcPr>
          <w:p>
            <w:pPr>
              <w:spacing w:after="20" w:before="20"/>
            </w:pPr>
            <w:r>
              <w:rPr>
                <w:rFonts w:ascii="Calibri" w:hAnsi="Calibri" w:cs="Calibri"/>
                <w:b w:val="0"/>
                <w:sz w:val="20"/>
              </w:rPr>
              <w:t>admission</w:t>
            </w:r>
          </w:p>
        </w:tc>
        <w:tc>
          <w:tcPr>
            <w:tcW w:type="dxa" w:w="2448"/>
          </w:tcPr>
          <w:p>
            <w:pPr>
              <w:spacing w:after="20" w:before="20"/>
            </w:pPr>
            <w:r>
              <w:rPr>
                <w:rFonts w:ascii="Calibri" w:hAnsi="Calibri" w:cs="Calibri"/>
                <w:b w:val="0"/>
                <w:sz w:val="20"/>
              </w:rPr>
              <w:t>improving</w:t>
            </w:r>
          </w:p>
        </w:tc>
        <w:tc>
          <w:tcPr>
            <w:tcW w:type="dxa" w:w="2448"/>
          </w:tcPr>
          <w:p>
            <w:pPr>
              <w:spacing w:after="20" w:before="20"/>
            </w:pPr>
            <w:r>
              <w:rPr>
                <w:rFonts w:ascii="Calibri" w:hAnsi="Calibri" w:cs="Calibri"/>
                <w:b w:val="0"/>
                <w:sz w:val="20"/>
              </w:rPr>
              <w:t>inpatient</w:t>
            </w:r>
          </w:p>
        </w:tc>
      </w:tr>
      <w:tr>
        <w:trPr>
          <w:cantSplit/>
        </w:trPr>
        <w:tc>
          <w:tcPr>
            <w:tcW w:type="dxa" w:w="2448"/>
          </w:tcPr>
          <w:p>
            <w:pPr>
              <w:spacing w:after="20" w:before="20"/>
            </w:pPr>
            <w:r>
              <w:rPr>
                <w:rFonts w:ascii="Calibri" w:hAnsi="Calibri" w:cs="Calibri"/>
                <w:b w:val="0"/>
                <w:sz w:val="20"/>
              </w:rPr>
              <w:t>Cytomegalovirus colitis</w:t>
            </w:r>
          </w:p>
        </w:tc>
        <w:tc>
          <w:tcPr>
            <w:tcW w:type="dxa" w:w="2448"/>
          </w:tcPr>
          <w:p>
            <w:pPr>
              <w:spacing w:after="20" w:before="20"/>
            </w:pPr>
            <w:r>
              <w:rPr>
                <w:rFonts w:ascii="Calibri" w:hAnsi="Calibri" w:cs="Calibri"/>
                <w:b w:val="0"/>
                <w:sz w:val="20"/>
              </w:rPr>
              <w:t>established during admission</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Found on hospital day 2 by colonoscopic biopsy. Not the admitting label.</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past history</w:t>
            </w:r>
          </w:p>
        </w:tc>
        <w:tc>
          <w:tcPr>
            <w:tcW w:type="dxa" w:w="2448"/>
          </w:tcPr>
          <w:p>
            <w:pPr>
              <w:spacing w:after="20" w:before="20"/>
            </w:pPr>
            <w:r>
              <w:rPr>
                <w:rFonts w:ascii="Calibri" w:hAnsi="Calibri" w:cs="Calibri"/>
                <w:b w:val="0"/>
                <w:sz w:val="20"/>
              </w:rPr>
              <w:t>active</w:t>
            </w:r>
          </w:p>
        </w:tc>
        <w:tc>
          <w:tcPr>
            <w:tcW w:type="dxa" w:w="2448"/>
          </w:tcPr>
          <w:p>
            <w:pPr>
              <w:spacing w:after="20" w:before="20"/>
            </w:pPr>
            <w:r>
              <w:rPr>
                <w:rFonts w:ascii="Calibri" w:hAnsi="Calibri" w:cs="Calibri"/>
                <w:b w:val="0"/>
                <w:sz w:val="20"/>
              </w:rPr>
              <w:t>history</w:t>
            </w:r>
          </w:p>
        </w:tc>
      </w:tr>
    </w:tbl>
    <w:p>
      <w:pPr>
        <w:spacing w:after="40"/>
      </w:pPr>
    </w:p>
    <w:p>
      <w:pPr>
        <w:pStyle w:val="Heading3"/>
      </w:pPr>
      <w:r>
        <w:rPr>
          <w:rFonts w:ascii="Calibri" w:hAnsi="Calibri"/>
          <w:color w:val="1F3A5F"/>
        </w:rPr>
        <w:t>Problem list</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Problem</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Priority</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2448"/>
          </w:tcPr>
          <w:p>
            <w:pPr>
              <w:spacing w:after="20" w:before="20"/>
            </w:pPr>
            <w:r>
              <w:rPr>
                <w:rFonts w:ascii="Calibri" w:hAnsi="Calibri" w:cs="Calibri"/>
                <w:b w:val="0"/>
                <w:sz w:val="20"/>
              </w:rPr>
              <w:t>Diarrhea after kidney transplant</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Cytomegalovirus colitis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high</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Kidney transplant status</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Essential (primary) hypertension</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r>
        <w:trPr>
          <w:cantSplit/>
        </w:trPr>
        <w:tc>
          <w:tcPr>
            <w:tcW w:type="dxa" w:w="2448"/>
          </w:tcPr>
          <w:p>
            <w:pPr>
              <w:spacing w:after="20" w:before="20"/>
            </w:pPr>
            <w:r>
              <w:rPr>
                <w:rFonts w:ascii="Calibri" w:hAnsi="Calibri" w:cs="Calibri"/>
                <w:b w:val="0"/>
                <w:sz w:val="20"/>
              </w:rPr>
              <w:t>Mixed hyperlipidemia</w:t>
            </w:r>
          </w:p>
        </w:tc>
        <w:tc>
          <w:tcPr>
            <w:tcW w:type="dxa" w:w="2448"/>
          </w:tcPr>
          <w:p>
            <w:pPr>
              <w:spacing w:after="20" w:before="20"/>
            </w:pPr>
            <w:r>
              <w:rPr>
                <w:rFonts w:ascii="Calibri" w:hAnsi="Calibri" w:cs="Calibri"/>
                <w:b w:val="0"/>
                <w:sz w:val="20"/>
              </w:rPr>
              <w:t>diagnosis</w:t>
            </w:r>
          </w:p>
        </w:tc>
        <w:tc>
          <w:tcPr>
            <w:tcW w:type="dxa" w:w="2448"/>
          </w:tcPr>
          <w:p>
            <w:pPr>
              <w:spacing w:after="20" w:before="20"/>
            </w:pPr>
            <w:r>
              <w:rPr>
                <w:rFonts w:ascii="Calibri" w:hAnsi="Calibri" w:cs="Calibri"/>
                <w:b w:val="0"/>
                <w:sz w:val="20"/>
              </w:rPr>
              <w:t>medium</w:t>
            </w:r>
          </w:p>
        </w:tc>
        <w:tc>
          <w:tcPr>
            <w:tcW w:type="dxa" w:w="2448"/>
          </w:tcPr>
          <w:p>
            <w:pPr>
              <w:spacing w:after="20" w:before="20"/>
            </w:pPr>
            <w:r>
              <w:rPr>
                <w:rFonts w:ascii="Calibri" w:hAnsi="Calibri" w:cs="Calibri"/>
                <w:b w:val="0"/>
                <w:sz w:val="20"/>
              </w:rPr>
              <w:t>active</w:t>
            </w:r>
          </w:p>
        </w:tc>
      </w:tr>
    </w:tbl>
    <w:p>
      <w:pPr>
        <w:spacing w:after="40"/>
      </w:pPr>
    </w:p>
    <w:p>
      <w:pPr>
        <w:pStyle w:val="Heading3"/>
      </w:pPr>
      <w:r>
        <w:rPr>
          <w:rFonts w:ascii="Calibri" w:hAnsi="Calibri"/>
          <w:color w:val="1F3A5F"/>
        </w:rPr>
        <w:t>Social context</w:t>
      </w:r>
    </w:p>
    <w:p>
      <w:pPr>
        <w:pStyle w:val="ListBullet"/>
        <w:spacing w:after="40" w:before="0"/>
      </w:pPr>
      <w:r>
        <w:rPr>
          <w:rFonts w:ascii="Calibri" w:hAnsi="Calibri" w:cs="Calibri"/>
          <w:b/>
          <w:sz w:val="22"/>
        </w:rPr>
        <w:t xml:space="preserve">Living situation: </w:t>
      </w:r>
      <w:r>
        <w:rPr>
          <w:rFonts w:ascii="Calibri" w:hAnsi="Calibri" w:cs="Calibri"/>
          <w:b w:val="0"/>
          <w:sz w:val="22"/>
        </w:rPr>
        <w:t>Baseline living situation: lives at home</w:t>
      </w:r>
    </w:p>
    <w:p>
      <w:pPr>
        <w:pStyle w:val="ListBullet"/>
        <w:spacing w:after="40" w:before="0"/>
      </w:pPr>
      <w:r>
        <w:rPr>
          <w:rFonts w:ascii="Calibri" w:hAnsi="Calibri" w:cs="Calibri"/>
          <w:b/>
          <w:sz w:val="22"/>
        </w:rPr>
        <w:t xml:space="preserve">Language preference: </w:t>
      </w:r>
      <w:r>
        <w:rPr>
          <w:rFonts w:ascii="Calibri" w:hAnsi="Calibri" w:cs="Calibri"/>
          <w:b w:val="0"/>
          <w:sz w:val="22"/>
        </w:rPr>
        <w:t>English</w:t>
      </w:r>
    </w:p>
    <w:p>
      <w:pPr>
        <w:pStyle w:val="Heading2"/>
      </w:pPr>
      <w:r>
        <w:rPr>
          <w:rFonts w:ascii="Calibri" w:hAnsi="Calibri"/>
          <w:color w:val="1F3A5F"/>
        </w:rPr>
        <w:t>Hospital course</w:t>
      </w:r>
    </w:p>
    <w:p>
      <w:pPr>
        <w:spacing w:after="120"/>
      </w:pPr>
      <w:r>
        <w:rPr>
          <w:rFonts w:ascii="Calibri" w:hAnsi="Calibri" w:cs="Calibri"/>
          <w:b w:val="0"/>
          <w:sz w:val="22"/>
        </w:rPr>
        <w:t>Bacterial stool studies and Clostridioides difficile toxin are negative. Colonoscopic biopsy is positive for cytomegalovirus. Plasma cytomegalovirus DNA is 8500 IU/mL. Ganciclovir was given intravenously. Valganciclovir 900 mg orally twice daily was given after creatinine clearance was above 60 mL/min. Mycophenolate was not administered after cytomegalovirus colitis was established.</w:t>
      </w:r>
    </w:p>
    <w:p>
      <w:pPr>
        <w:pStyle w:val="Heading3"/>
      </w:pPr>
      <w:r>
        <w:rPr>
          <w:rFonts w:ascii="Calibri" w:hAnsi="Calibri"/>
          <w:color w:val="1F3A5F"/>
        </w:rPr>
        <w:t>Intake and output</w:t>
      </w:r>
    </w:p>
    <w:tbl>
      <w:tblPr>
        <w:tblStyle w:val="TableGrid"/>
        <w:tblW w:type="dxa" w:w="9791"/>
        <w:tblLayout w:type="fixed"/>
        <w:tblLook w:firstColumn="1" w:firstRow="1" w:lastColumn="0" w:lastRow="0" w:noHBand="0" w:noVBand="1" w:val="04A0"/>
      </w:tblPr>
      <w:tblGrid>
        <w:gridCol w:w="1958"/>
        <w:gridCol w:w="1958"/>
        <w:gridCol w:w="1958"/>
        <w:gridCol w:w="1958"/>
        <w:gridCol w:w="1958"/>
      </w:tblGrid>
      <w:tr>
        <w:trPr>
          <w:tblHeader/>
          <w:cantSplit/>
        </w:trPr>
        <w:tc>
          <w:tcPr>
            <w:tcW w:type="dxa" w:w="1958"/>
            <w:shd w:val="clear" w:color="auto" w:fill="D9E2F3"/>
          </w:tcPr>
          <w:p>
            <w:pPr>
              <w:spacing w:after="20" w:before="20"/>
            </w:pPr>
            <w:r>
              <w:rPr>
                <w:rFonts w:ascii="Calibri" w:hAnsi="Calibri" w:cs="Calibri"/>
                <w:b/>
                <w:sz w:val="20"/>
              </w:rPr>
              <w:t>Timepoint</w:t>
            </w:r>
          </w:p>
        </w:tc>
        <w:tc>
          <w:tcPr>
            <w:tcW w:type="dxa" w:w="1958"/>
            <w:shd w:val="clear" w:color="auto" w:fill="D9E2F3"/>
          </w:tcPr>
          <w:p>
            <w:pPr>
              <w:spacing w:after="20" w:before="20"/>
            </w:pPr>
            <w:r>
              <w:rPr>
                <w:rFonts w:ascii="Calibri" w:hAnsi="Calibri" w:cs="Calibri"/>
                <w:b/>
                <w:sz w:val="20"/>
              </w:rPr>
              <w:t>Intake (mL)</w:t>
            </w:r>
          </w:p>
        </w:tc>
        <w:tc>
          <w:tcPr>
            <w:tcW w:type="dxa" w:w="1958"/>
            <w:shd w:val="clear" w:color="auto" w:fill="D9E2F3"/>
          </w:tcPr>
          <w:p>
            <w:pPr>
              <w:spacing w:after="20" w:before="20"/>
            </w:pPr>
            <w:r>
              <w:rPr>
                <w:rFonts w:ascii="Calibri" w:hAnsi="Calibri" w:cs="Calibri"/>
                <w:b/>
                <w:sz w:val="20"/>
              </w:rPr>
              <w:t>Output (mL)</w:t>
            </w:r>
          </w:p>
        </w:tc>
        <w:tc>
          <w:tcPr>
            <w:tcW w:type="dxa" w:w="1958"/>
            <w:shd w:val="clear" w:color="auto" w:fill="D9E2F3"/>
          </w:tcPr>
          <w:p>
            <w:pPr>
              <w:spacing w:after="20" w:before="20"/>
            </w:pPr>
            <w:r>
              <w:rPr>
                <w:rFonts w:ascii="Calibri" w:hAnsi="Calibri" w:cs="Calibri"/>
                <w:b/>
                <w:sz w:val="20"/>
              </w:rPr>
              <w:t>Net (mL)</w:t>
            </w:r>
          </w:p>
        </w:tc>
        <w:tc>
          <w:tcPr>
            <w:tcW w:type="dxa" w:w="1958"/>
            <w:shd w:val="clear" w:color="auto" w:fill="D9E2F3"/>
          </w:tcPr>
          <w:p>
            <w:pPr>
              <w:spacing w:after="20" w:before="20"/>
            </w:pPr>
            <w:r>
              <w:rPr>
                <w:rFonts w:ascii="Calibri" w:hAnsi="Calibri" w:cs="Calibri"/>
                <w:b/>
                <w:sz w:val="20"/>
              </w:rPr>
              <w:t>Notes</w:t>
            </w:r>
          </w:p>
        </w:tc>
      </w:tr>
      <w:tr>
        <w:trPr>
          <w:cantSplit/>
        </w:trPr>
        <w:tc>
          <w:tcPr>
            <w:tcW w:type="dxa" w:w="1958"/>
          </w:tcPr>
          <w:p>
            <w:pPr>
              <w:spacing w:after="20" w:before="20"/>
            </w:pPr>
            <w:r>
              <w:rPr>
                <w:rFonts w:ascii="Calibri" w:hAnsi="Calibri" w:cs="Calibri"/>
                <w:b w:val="0"/>
                <w:sz w:val="20"/>
              </w:rPr>
              <w:t>hospital day 1</w:t>
            </w:r>
          </w:p>
        </w:tc>
        <w:tc>
          <w:tcPr>
            <w:tcW w:type="dxa" w:w="1958"/>
          </w:tcPr>
          <w:p>
            <w:pPr>
              <w:spacing w:after="20" w:before="20"/>
            </w:pPr>
            <w:r>
              <w:rPr>
                <w:rFonts w:ascii="Calibri" w:hAnsi="Calibri" w:cs="Calibri"/>
                <w:b w:val="0"/>
                <w:sz w:val="20"/>
              </w:rPr>
              <w:t>2800</w:t>
            </w:r>
          </w:p>
        </w:tc>
        <w:tc>
          <w:tcPr>
            <w:tcW w:type="dxa" w:w="1958"/>
          </w:tcPr>
          <w:p>
            <w:pPr>
              <w:spacing w:after="20" w:before="20"/>
            </w:pPr>
            <w:r>
              <w:rPr>
                <w:rFonts w:ascii="Calibri" w:hAnsi="Calibri" w:cs="Calibri"/>
                <w:b w:val="0"/>
                <w:sz w:val="20"/>
              </w:rPr>
              <w:t>1600</w:t>
            </w:r>
          </w:p>
        </w:tc>
        <w:tc>
          <w:tcPr>
            <w:tcW w:type="dxa" w:w="1958"/>
          </w:tcPr>
          <w:p>
            <w:pPr>
              <w:spacing w:after="20" w:before="20"/>
            </w:pPr>
            <w:r>
              <w:rPr>
                <w:rFonts w:ascii="Calibri" w:hAnsi="Calibri" w:cs="Calibri"/>
                <w:b w:val="0"/>
                <w:sz w:val="20"/>
              </w:rPr>
              <w:t>1200</w:t>
            </w:r>
          </w:p>
        </w:tc>
        <w:tc>
          <w:tcPr>
            <w:tcW w:type="dxa" w:w="1958"/>
          </w:tcPr>
          <w:p>
            <w:pPr>
              <w:spacing w:after="20" w:before="20"/>
            </w:pPr>
            <w:r>
              <w:rPr>
                <w:rFonts w:ascii="Calibri" w:hAnsi="Calibri" w:cs="Calibri"/>
                <w:b w:val="0"/>
                <w:sz w:val="20"/>
              </w:rPr>
              <w:t>Intravenous volume repletion while diarrhea was still frequent.</w:t>
            </w:r>
          </w:p>
        </w:tc>
      </w:tr>
    </w:tbl>
    <w:p>
      <w:pPr>
        <w:spacing w:after="40"/>
      </w:pPr>
    </w:p>
    <w:p>
      <w:pPr>
        <w:pStyle w:val="Heading3"/>
      </w:pPr>
      <w:r>
        <w:rPr>
          <w:rFonts w:ascii="Calibri" w:hAnsi="Calibri"/>
          <w:color w:val="1F3A5F"/>
        </w:rPr>
        <w:t>Discharge planning</w:t>
      </w:r>
    </w:p>
    <w:p>
      <w:pPr>
        <w:pStyle w:val="ListBullet"/>
        <w:spacing w:after="40" w:before="0"/>
      </w:pPr>
      <w:r>
        <w:rPr>
          <w:rFonts w:ascii="Calibri" w:hAnsi="Calibri" w:cs="Calibri"/>
          <w:b/>
          <w:sz w:val="22"/>
        </w:rPr>
        <w:t xml:space="preserve">Disposition: </w:t>
      </w:r>
      <w:r>
        <w:rPr>
          <w:rFonts w:ascii="Calibri" w:hAnsi="Calibri" w:cs="Calibri"/>
          <w:b w:val="0"/>
          <w:sz w:val="22"/>
        </w:rPr>
        <w:t>home</w:t>
      </w:r>
    </w:p>
    <w:p>
      <w:pPr>
        <w:pStyle w:val="ListBullet"/>
        <w:spacing w:after="40" w:before="0"/>
      </w:pPr>
      <w:r>
        <w:rPr>
          <w:rFonts w:ascii="Calibri" w:hAnsi="Calibri" w:cs="Calibri"/>
          <w:b/>
          <w:sz w:val="22"/>
        </w:rPr>
        <w:t xml:space="preserve">Transportation needed: </w:t>
      </w:r>
      <w:r>
        <w:rPr>
          <w:rFonts w:ascii="Calibri" w:hAnsi="Calibri" w:cs="Calibri"/>
          <w:b w:val="0"/>
          <w:sz w:val="22"/>
        </w:rPr>
        <w:t>No</w:t>
      </w:r>
    </w:p>
    <w:p>
      <w:pPr>
        <w:pStyle w:val="ListBullet"/>
        <w:spacing w:after="40" w:before="0"/>
      </w:pPr>
      <w:r>
        <w:rPr>
          <w:rFonts w:ascii="Calibri" w:hAnsi="Calibri" w:cs="Calibri"/>
          <w:b/>
          <w:sz w:val="22"/>
        </w:rPr>
        <w:t xml:space="preserve">Discharge readiness: </w:t>
      </w:r>
      <w:r>
        <w:rPr>
          <w:rFonts w:ascii="Calibri" w:hAnsi="Calibri" w:cs="Calibri"/>
          <w:b w:val="0"/>
          <w:sz w:val="22"/>
        </w:rPr>
        <w:t>ready</w:t>
      </w:r>
    </w:p>
    <w:p>
      <w:pPr>
        <w:pStyle w:val="ListBullet"/>
        <w:spacing w:after="40" w:before="0"/>
      </w:pPr>
      <w:r>
        <w:rPr>
          <w:rFonts w:ascii="Calibri" w:hAnsi="Calibri" w:cs="Calibri"/>
          <w:b/>
          <w:sz w:val="22"/>
        </w:rPr>
        <w:t xml:space="preserve">Home health ordered: </w:t>
      </w:r>
      <w:r>
        <w:rPr>
          <w:rFonts w:ascii="Calibri" w:hAnsi="Calibri" w:cs="Calibri"/>
          <w:b w:val="0"/>
          <w:sz w:val="22"/>
        </w:rPr>
        <w:t>No</w:t>
      </w:r>
    </w:p>
    <w:p>
      <w:pPr>
        <w:pStyle w:val="Heading2"/>
      </w:pPr>
      <w:r>
        <w:rPr>
          <w:rFonts w:ascii="Calibri" w:hAnsi="Calibri"/>
          <w:color w:val="1F3A5F"/>
        </w:rPr>
        <w:t>Admission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37.40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100/62</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110</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19</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1.8</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3.2</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64.000</w:t>
            </w:r>
          </w:p>
        </w:tc>
      </w:tr>
    </w:tbl>
    <w:p>
      <w:pPr>
        <w:spacing w:after="40"/>
      </w:pPr>
    </w:p>
    <w:p>
      <w:pPr>
        <w:pStyle w:val="Heading2"/>
      </w:pPr>
      <w:r>
        <w:rPr>
          <w:rFonts w:ascii="Calibri" w:hAnsi="Calibri"/>
          <w:color w:val="1F3A5F"/>
        </w:rPr>
        <w:t>Discharge / most recent clinical status</w:t>
      </w:r>
    </w:p>
    <w:p>
      <w:pPr>
        <w:pStyle w:val="Heading3"/>
      </w:pPr>
      <w:r>
        <w:rPr>
          <w:rFonts w:ascii="Calibri" w:hAnsi="Calibri"/>
          <w:color w:val="1F3A5F"/>
        </w:rPr>
        <w:t>Vital signs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608"/>
            <w:shd w:val="clear" w:color="auto" w:fill="D9E2F3"/>
          </w:tcPr>
          <w:p>
            <w:pPr>
              <w:spacing w:after="20" w:before="20"/>
            </w:pPr>
            <w:r>
              <w:rPr>
                <w:rFonts w:ascii="Calibri" w:hAnsi="Calibri" w:cs="Calibri"/>
                <w:b/>
                <w:sz w:val="20"/>
              </w:rPr>
              <w:t>Measure</w:t>
            </w:r>
          </w:p>
        </w:tc>
        <w:tc>
          <w:tcPr>
            <w:tcW w:type="dxa" w:w="2592"/>
            <w:shd w:val="clear" w:color="auto" w:fill="D9E2F3"/>
          </w:tcPr>
          <w:p>
            <w:pPr>
              <w:spacing w:after="20" w:before="20"/>
            </w:pPr>
            <w:r>
              <w:rPr>
                <w:rFonts w:ascii="Calibri" w:hAnsi="Calibri" w:cs="Calibri"/>
                <w:b/>
                <w:sz w:val="20"/>
              </w:rPr>
              <w:t>Value</w:t>
            </w:r>
          </w:p>
        </w:tc>
        <w:tc>
          <w:tcPr>
            <w:tcW w:type="dxa" w:w="2592"/>
            <w:shd w:val="clear" w:color="auto" w:fill="D9E2F3"/>
          </w:tcPr>
          <w:p>
            <w:pPr>
              <w:spacing w:after="20" w:before="20"/>
            </w:pPr>
            <w:r>
              <w:rPr>
                <w:rFonts w:ascii="Calibri" w:hAnsi="Calibri" w:cs="Calibri"/>
                <w:b/>
                <w:sz w:val="20"/>
              </w:rPr>
              <w:t>Unit</w:t>
            </w:r>
          </w:p>
        </w:tc>
      </w:tr>
      <w:tr>
        <w:trPr>
          <w:cantSplit/>
        </w:trPr>
        <w:tc>
          <w:tcPr>
            <w:tcW w:type="dxa" w:w="4608"/>
          </w:tcPr>
          <w:p>
            <w:pPr>
              <w:spacing w:after="20" w:before="20"/>
            </w:pPr>
            <w:r>
              <w:rPr>
                <w:rFonts w:ascii="Calibri" w:hAnsi="Calibri" w:cs="Calibri"/>
                <w:b w:val="0"/>
                <w:sz w:val="20"/>
              </w:rPr>
              <w:t>Temperature</w:t>
            </w:r>
          </w:p>
        </w:tc>
        <w:tc>
          <w:tcPr>
            <w:tcW w:type="dxa" w:w="2592"/>
          </w:tcPr>
          <w:p>
            <w:pPr>
              <w:spacing w:after="20" w:before="20"/>
            </w:pPr>
            <w:r>
              <w:rPr>
                <w:rFonts w:ascii="Calibri" w:hAnsi="Calibri" w:cs="Calibri"/>
                <w:b w:val="0"/>
                <w:sz w:val="20"/>
              </w:rPr>
              <w:t>36.80</w:t>
            </w:r>
          </w:p>
        </w:tc>
        <w:tc>
          <w:tcPr>
            <w:tcW w:type="dxa" w:w="2592"/>
          </w:tcPr>
          <w:p>
            <w:pPr>
              <w:spacing w:after="20" w:before="20"/>
            </w:pPr>
            <w:r>
              <w:rPr>
                <w:rFonts w:ascii="Calibri" w:hAnsi="Calibri" w:cs="Calibri"/>
                <w:b w:val="0"/>
                <w:sz w:val="20"/>
              </w:rPr>
              <w:t>°C</w:t>
            </w:r>
          </w:p>
        </w:tc>
      </w:tr>
      <w:tr>
        <w:trPr>
          <w:cantSplit/>
        </w:trPr>
        <w:tc>
          <w:tcPr>
            <w:tcW w:type="dxa" w:w="4608"/>
          </w:tcPr>
          <w:p>
            <w:pPr>
              <w:spacing w:after="20" w:before="20"/>
            </w:pPr>
            <w:r>
              <w:rPr>
                <w:rFonts w:ascii="Calibri" w:hAnsi="Calibri" w:cs="Calibri"/>
                <w:b w:val="0"/>
                <w:sz w:val="20"/>
              </w:rPr>
              <w:t>Blood pressure</w:t>
            </w:r>
          </w:p>
        </w:tc>
        <w:tc>
          <w:tcPr>
            <w:tcW w:type="dxa" w:w="2592"/>
          </w:tcPr>
          <w:p>
            <w:pPr>
              <w:spacing w:after="20" w:before="20"/>
            </w:pPr>
            <w:r>
              <w:rPr>
                <w:rFonts w:ascii="Calibri" w:hAnsi="Calibri" w:cs="Calibri"/>
                <w:b w:val="0"/>
                <w:sz w:val="20"/>
              </w:rPr>
              <w:t>128/76</w:t>
            </w:r>
          </w:p>
        </w:tc>
        <w:tc>
          <w:tcPr>
            <w:tcW w:type="dxa" w:w="2592"/>
          </w:tcPr>
          <w:p>
            <w:pPr>
              <w:spacing w:after="20" w:before="20"/>
            </w:pPr>
            <w:r>
              <w:rPr>
                <w:rFonts w:ascii="Calibri" w:hAnsi="Calibri" w:cs="Calibri"/>
                <w:b w:val="0"/>
                <w:sz w:val="20"/>
              </w:rPr>
              <w:t>mmHg</w:t>
            </w:r>
          </w:p>
        </w:tc>
      </w:tr>
      <w:tr>
        <w:trPr>
          <w:cantSplit/>
        </w:trPr>
        <w:tc>
          <w:tcPr>
            <w:tcW w:type="dxa" w:w="4608"/>
          </w:tcPr>
          <w:p>
            <w:pPr>
              <w:spacing w:after="20" w:before="20"/>
            </w:pPr>
            <w:r>
              <w:rPr>
                <w:rFonts w:ascii="Calibri" w:hAnsi="Calibri" w:cs="Calibri"/>
                <w:b w:val="0"/>
                <w:sz w:val="20"/>
              </w:rPr>
              <w:t>Heart rate</w:t>
            </w:r>
          </w:p>
        </w:tc>
        <w:tc>
          <w:tcPr>
            <w:tcW w:type="dxa" w:w="2592"/>
          </w:tcPr>
          <w:p>
            <w:pPr>
              <w:spacing w:after="20" w:before="20"/>
            </w:pPr>
            <w:r>
              <w:rPr>
                <w:rFonts w:ascii="Calibri" w:hAnsi="Calibri" w:cs="Calibri"/>
                <w:b w:val="0"/>
                <w:sz w:val="20"/>
              </w:rPr>
              <w:t>76</w:t>
            </w:r>
          </w:p>
        </w:tc>
        <w:tc>
          <w:tcPr>
            <w:tcW w:type="dxa" w:w="2592"/>
          </w:tcPr>
          <w:p>
            <w:pPr>
              <w:spacing w:after="20" w:before="20"/>
            </w:pPr>
            <w:r>
              <w:rPr>
                <w:rFonts w:ascii="Calibri" w:hAnsi="Calibri" w:cs="Calibri"/>
                <w:b w:val="0"/>
                <w:sz w:val="20"/>
              </w:rPr>
              <w:t>beats/min</w:t>
            </w:r>
          </w:p>
        </w:tc>
      </w:tr>
      <w:tr>
        <w:trPr>
          <w:cantSplit/>
        </w:trPr>
        <w:tc>
          <w:tcPr>
            <w:tcW w:type="dxa" w:w="4608"/>
          </w:tcPr>
          <w:p>
            <w:pPr>
              <w:spacing w:after="20" w:before="20"/>
            </w:pPr>
            <w:r>
              <w:rPr>
                <w:rFonts w:ascii="Calibri" w:hAnsi="Calibri" w:cs="Calibri"/>
                <w:b w:val="0"/>
                <w:sz w:val="20"/>
              </w:rPr>
              <w:t>Respiratory rate</w:t>
            </w:r>
          </w:p>
        </w:tc>
        <w:tc>
          <w:tcPr>
            <w:tcW w:type="dxa" w:w="2592"/>
          </w:tcPr>
          <w:p>
            <w:pPr>
              <w:spacing w:after="20" w:before="20"/>
            </w:pPr>
            <w:r>
              <w:rPr>
                <w:rFonts w:ascii="Calibri" w:hAnsi="Calibri" w:cs="Calibri"/>
                <w:b w:val="0"/>
                <w:sz w:val="20"/>
              </w:rPr>
              <w:t>17</w:t>
            </w:r>
          </w:p>
        </w:tc>
        <w:tc>
          <w:tcPr>
            <w:tcW w:type="dxa" w:w="2592"/>
          </w:tcPr>
          <w:p>
            <w:pPr>
              <w:spacing w:after="20" w:before="20"/>
            </w:pPr>
            <w:r>
              <w:rPr>
                <w:rFonts w:ascii="Calibri" w:hAnsi="Calibri" w:cs="Calibri"/>
                <w:b w:val="0"/>
                <w:sz w:val="20"/>
              </w:rPr>
              <w:t>breaths/min</w:t>
            </w:r>
          </w:p>
        </w:tc>
      </w:tr>
      <w:tr>
        <w:trPr>
          <w:cantSplit/>
        </w:trPr>
        <w:tc>
          <w:tcPr>
            <w:tcW w:type="dxa" w:w="4608"/>
          </w:tcPr>
          <w:p>
            <w:pPr>
              <w:spacing w:after="20" w:before="20"/>
            </w:pPr>
            <w:r>
              <w:rPr>
                <w:rFonts w:ascii="Calibri" w:hAnsi="Calibri" w:cs="Calibri"/>
                <w:b w:val="0"/>
                <w:sz w:val="20"/>
              </w:rPr>
              <w:t>SpO2</w:t>
            </w:r>
          </w:p>
        </w:tc>
        <w:tc>
          <w:tcPr>
            <w:tcW w:type="dxa" w:w="2592"/>
          </w:tcPr>
          <w:p>
            <w:pPr>
              <w:spacing w:after="20" w:before="20"/>
            </w:pPr>
            <w:r>
              <w:rPr>
                <w:rFonts w:ascii="Calibri" w:hAnsi="Calibri" w:cs="Calibri"/>
                <w:b w:val="0"/>
                <w:sz w:val="20"/>
              </w:rPr>
              <w:t>98.00</w:t>
            </w:r>
          </w:p>
        </w:tc>
        <w:tc>
          <w:tcPr>
            <w:tcW w:type="dxa" w:w="2592"/>
          </w:tcPr>
          <w:p>
            <w:pPr>
              <w:spacing w:after="20" w:before="20"/>
            </w:pPr>
            <w:r>
              <w:rPr>
                <w:rFonts w:ascii="Calibri" w:hAnsi="Calibri" w:cs="Calibri"/>
                <w:b w:val="0"/>
                <w:sz w:val="20"/>
              </w:rPr>
              <w:t>%</w:t>
            </w:r>
          </w:p>
        </w:tc>
      </w:tr>
    </w:tbl>
    <w:p>
      <w:pPr>
        <w:spacing w:after="40"/>
      </w:pPr>
    </w:p>
    <w:p>
      <w:pPr>
        <w:pStyle w:val="Heading3"/>
      </w:pPr>
      <w:r>
        <w:rPr>
          <w:rFonts w:ascii="Calibri" w:hAnsi="Calibri"/>
          <w:color w:val="1F3A5F"/>
        </w:rPr>
        <w:t>Laboratory findings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5760"/>
            <w:shd w:val="clear" w:color="auto" w:fill="D9E2F3"/>
          </w:tcPr>
          <w:p>
            <w:pPr>
              <w:spacing w:after="20" w:before="20"/>
            </w:pPr>
            <w:r>
              <w:rPr>
                <w:rFonts w:ascii="Calibri" w:hAnsi="Calibri" w:cs="Calibri"/>
                <w:b/>
                <w:sz w:val="20"/>
              </w:rPr>
              <w:t>Laboratory test</w:t>
            </w:r>
          </w:p>
        </w:tc>
        <w:tc>
          <w:tcPr>
            <w:tcW w:type="dxa" w:w="1872"/>
            <w:shd w:val="clear" w:color="auto" w:fill="D9E2F3"/>
          </w:tcPr>
          <w:p>
            <w:pPr>
              <w:spacing w:after="20" w:before="20"/>
            </w:pPr>
            <w:r>
              <w:rPr>
                <w:rFonts w:ascii="Calibri" w:hAnsi="Calibri" w:cs="Calibri"/>
                <w:b/>
                <w:sz w:val="20"/>
              </w:rPr>
              <w:t>Result</w:t>
            </w:r>
          </w:p>
        </w:tc>
        <w:tc>
          <w:tcPr>
            <w:tcW w:type="dxa" w:w="2160"/>
            <w:shd w:val="clear" w:color="auto" w:fill="D9E2F3"/>
          </w:tcPr>
          <w:p>
            <w:pPr>
              <w:spacing w:after="20" w:before="20"/>
            </w:pPr>
            <w:r>
              <w:rPr>
                <w:rFonts w:ascii="Calibri" w:hAnsi="Calibri" w:cs="Calibri"/>
                <w:b/>
                <w:sz w:val="20"/>
              </w:rPr>
              <w:t>Unit</w:t>
            </w:r>
          </w:p>
        </w:tc>
      </w:tr>
      <w:tr>
        <w:trPr>
          <w:cantSplit/>
        </w:trPr>
        <w:tc>
          <w:tcPr>
            <w:tcW w:type="dxa" w:w="5760"/>
          </w:tcPr>
          <w:p>
            <w:pPr>
              <w:spacing w:after="20" w:before="20"/>
            </w:pPr>
            <w:r>
              <w:rPr>
                <w:rFonts w:ascii="Calibri" w:hAnsi="Calibri" w:cs="Calibri"/>
                <w:b w:val="0"/>
                <w:sz w:val="20"/>
              </w:rPr>
              <w:t>Creatinine [Mass/volume] in Serum or Plasma</w:t>
            </w:r>
          </w:p>
        </w:tc>
        <w:tc>
          <w:tcPr>
            <w:tcW w:type="dxa" w:w="1872"/>
          </w:tcPr>
          <w:p>
            <w:pPr>
              <w:spacing w:after="20" w:before="20"/>
            </w:pPr>
            <w:r>
              <w:rPr>
                <w:rFonts w:ascii="Calibri" w:hAnsi="Calibri" w:cs="Calibri"/>
                <w:b w:val="0"/>
                <w:sz w:val="20"/>
              </w:rPr>
              <w:t>0.9</w:t>
            </w:r>
          </w:p>
        </w:tc>
        <w:tc>
          <w:tcPr>
            <w:tcW w:type="dxa" w:w="2160"/>
          </w:tcPr>
          <w:p>
            <w:pPr>
              <w:spacing w:after="20" w:before="20"/>
            </w:pPr>
            <w:r>
              <w:rPr>
                <w:rFonts w:ascii="Calibri" w:hAnsi="Calibri" w:cs="Calibri"/>
                <w:b w:val="0"/>
                <w:sz w:val="20"/>
              </w:rPr>
              <w:t>mg/dL</w:t>
            </w:r>
          </w:p>
        </w:tc>
      </w:tr>
      <w:tr>
        <w:trPr>
          <w:cantSplit/>
        </w:trPr>
        <w:tc>
          <w:tcPr>
            <w:tcW w:type="dxa" w:w="5760"/>
          </w:tcPr>
          <w:p>
            <w:pPr>
              <w:spacing w:after="20" w:before="20"/>
            </w:pPr>
            <w:r>
              <w:rPr>
                <w:rFonts w:ascii="Calibri" w:hAnsi="Calibri" w:cs="Calibri"/>
                <w:b w:val="0"/>
                <w:sz w:val="20"/>
              </w:rPr>
              <w:t>Potassium [Moles/volume] in Serum or Plasma</w:t>
            </w:r>
          </w:p>
        </w:tc>
        <w:tc>
          <w:tcPr>
            <w:tcW w:type="dxa" w:w="1872"/>
          </w:tcPr>
          <w:p>
            <w:pPr>
              <w:spacing w:after="20" w:before="20"/>
            </w:pPr>
            <w:r>
              <w:rPr>
                <w:rFonts w:ascii="Calibri" w:hAnsi="Calibri" w:cs="Calibri"/>
                <w:b w:val="0"/>
                <w:sz w:val="20"/>
              </w:rPr>
              <w:t>4.0</w:t>
            </w:r>
          </w:p>
        </w:tc>
        <w:tc>
          <w:tcPr>
            <w:tcW w:type="dxa" w:w="2160"/>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Pr>
      <w:tblGrid>
        <w:gridCol w:w="9792"/>
      </w:tblGrid>
      <w:tr>
        <w:trPr>
          <w:tblHeader/>
          <w:cantSplit/>
        </w:trPr>
        <w:tc>
          <w:tcPr>
            <w:tcW w:type="dxa" w:w="9792"/>
            <w:shd w:val="clear" w:color="auto" w:fill="D9E2F3"/>
          </w:tcPr>
          <w:p>
            <w:pPr>
              <w:spacing w:after="20" w:before="20"/>
            </w:pPr>
            <w:r>
              <w:rPr>
                <w:rFonts w:ascii="Calibri" w:hAnsi="Calibri" w:cs="Calibri"/>
                <w:b/>
                <w:sz w:val="20"/>
              </w:rPr>
              <w:t>Weight (kg)</w:t>
            </w:r>
          </w:p>
        </w:tc>
      </w:tr>
      <w:tr>
        <w:trPr>
          <w:cantSplit/>
        </w:trPr>
        <w:tc>
          <w:tcPr>
            <w:tcW w:type="dxa" w:w="9792"/>
          </w:tcPr>
          <w:p>
            <w:pPr>
              <w:spacing w:after="20" w:before="20"/>
            </w:pPr>
            <w:r>
              <w:rPr>
                <w:rFonts w:ascii="Calibri" w:hAnsi="Calibri" w:cs="Calibri"/>
                <w:b w:val="0"/>
                <w:sz w:val="20"/>
              </w:rPr>
              <w:t>66.000</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Kidney transplant status; Note: Given as 500 MG tablets.</w:t>
            </w:r>
          </w:p>
        </w:tc>
      </w:tr>
      <w:tr>
        <w:trPr>
          <w:cantSplit/>
        </w:trPr>
        <w:tc>
          <w:tcPr>
            <w:tcW w:type="dxa" w:w="3384"/>
          </w:tcPr>
          <w:p>
            <w:pPr>
              <w:spacing w:after="20" w:before="20"/>
            </w:pPr>
            <w:r>
              <w:rPr>
                <w:rFonts w:ascii="Calibri" w:hAnsi="Calibri" w:cs="Calibri"/>
                <w:b w:val="0"/>
                <w:sz w:val="20"/>
              </w:rPr>
              <w:t>prednisone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Kidney transplant status</w:t>
            </w:r>
          </w:p>
        </w:tc>
      </w:tr>
    </w:tbl>
    <w:p>
      <w:pPr>
        <w:spacing w:after="40"/>
      </w:pPr>
    </w:p>
    <w:p>
      <w:pPr>
        <w:pStyle w:val="Heading2"/>
      </w:pPr>
      <w:r>
        <w:rPr>
          <w:rFonts w:ascii="Calibri" w:hAnsi="Calibri"/>
          <w:color w:val="1F3A5F"/>
        </w:rPr>
        <w:t>Medications during hospitalization</w:t>
      </w:r>
    </w:p>
    <w:tbl>
      <w:tblPr>
        <w:tblStyle w:val="TableGrid"/>
        <w:tblW w:type="dxa" w:w="9792"/>
        <w:tblLayout w:type="fixed"/>
        <w:tblLook w:firstColumn="1" w:firstRow="1" w:lastColumn="0" w:lastRow="0" w:noHBand="0" w:noVBand="1" w:val="04A0"/>
      </w:tblPr>
      <w:tblGrid>
        <w:gridCol w:w="1958"/>
        <w:gridCol w:w="1958"/>
        <w:gridCol w:w="1958"/>
        <w:gridCol w:w="1958"/>
        <w:gridCol w:w="1958"/>
      </w:tblGrid>
      <w:tr>
        <w:trPr>
          <w:tblHeader/>
          <w:cantSplit/>
        </w:trPr>
        <w:tc>
          <w:tcPr>
            <w:tcW w:type="dxa" w:w="3384"/>
            <w:shd w:val="clear" w:color="auto" w:fill="D9E2F3"/>
          </w:tcPr>
          <w:p>
            <w:pPr>
              <w:spacing w:after="20" w:before="20"/>
            </w:pPr>
            <w:r>
              <w:rPr>
                <w:rFonts w:ascii="Calibri" w:hAnsi="Calibri" w:cs="Calibri"/>
                <w:b/>
                <w:sz w:val="20"/>
              </w:rPr>
              <w:t>Medication</w:t>
            </w:r>
          </w:p>
        </w:tc>
        <w:tc>
          <w:tcPr>
            <w:tcW w:type="dxa" w:w="1224"/>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12"/>
            <w:shd w:val="clear" w:color="auto" w:fill="D9E2F3"/>
          </w:tcPr>
          <w:p>
            <w:pPr>
              <w:spacing w:after="20" w:before="20"/>
            </w:pPr>
            <w:r>
              <w:rPr>
                <w:rFonts w:ascii="Calibri" w:hAnsi="Calibri" w:cs="Calibri"/>
                <w:b/>
                <w:sz w:val="20"/>
              </w:rPr>
              <w:t>Frequency</w:t>
            </w:r>
          </w:p>
        </w:tc>
        <w:tc>
          <w:tcPr>
            <w:tcW w:type="dxa" w:w="2520"/>
            <w:shd w:val="clear" w:color="auto" w:fill="D9E2F3"/>
          </w:tcPr>
          <w:p>
            <w:pPr>
              <w:spacing w:after="20" w:before="20"/>
            </w:pPr>
            <w:r>
              <w:rPr>
                <w:rFonts w:ascii="Calibri" w:hAnsi="Calibri" w:cs="Calibri"/>
                <w:b/>
                <w:sz w:val="20"/>
              </w:rPr>
              <w:t>Indication / relevant note</w:t>
            </w:r>
          </w:p>
        </w:tc>
      </w:tr>
      <w:tr>
        <w:trPr>
          <w:cantSplit/>
        </w:trPr>
        <w:tc>
          <w:tcPr>
            <w:tcW w:type="dxa" w:w="3384"/>
          </w:tcPr>
          <w:p>
            <w:pPr>
              <w:spacing w:after="20" w:before="20"/>
            </w:pPr>
            <w:r>
              <w:rPr>
                <w:rFonts w:ascii="Calibri" w:hAnsi="Calibri" w:cs="Calibri"/>
                <w:b w:val="0"/>
                <w:sz w:val="20"/>
              </w:rPr>
              <w:t>BX Rating tacrolimus 1 MG Oral Capsule</w:t>
            </w:r>
          </w:p>
        </w:tc>
        <w:tc>
          <w:tcPr>
            <w:tcW w:type="dxa" w:w="1224"/>
          </w:tcPr>
          <w:p>
            <w:pPr>
              <w:spacing w:after="20" w:before="20"/>
            </w:pPr>
            <w:r>
              <w:rPr>
                <w:rFonts w:ascii="Calibri" w:hAnsi="Calibri" w:cs="Calibri"/>
                <w:b w:val="0"/>
                <w:sz w:val="20"/>
              </w:rPr>
              <w:t>1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Indication: Kidney transplant status; Note: Discharge trough 6.5 ng/mL. Transplant target written on the chart is 5 to 8 ng/mL.</w:t>
            </w:r>
          </w:p>
        </w:tc>
      </w:tr>
      <w:tr>
        <w:trPr>
          <w:cantSplit/>
        </w:trPr>
        <w:tc>
          <w:tcPr>
            <w:tcW w:type="dxa" w:w="3384"/>
          </w:tcPr>
          <w:p>
            <w:pPr>
              <w:spacing w:after="20" w:before="20"/>
            </w:pPr>
            <w:r>
              <w:rPr>
                <w:rFonts w:ascii="Calibri" w:hAnsi="Calibri" w:cs="Calibri"/>
                <w:b w:val="0"/>
                <w:sz w:val="20"/>
              </w:rPr>
              <w:t>amlodipine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Essential (primary) hypertension</w:t>
            </w:r>
          </w:p>
        </w:tc>
      </w:tr>
      <w:tr>
        <w:trPr>
          <w:cantSplit/>
        </w:trPr>
        <w:tc>
          <w:tcPr>
            <w:tcW w:type="dxa" w:w="3384"/>
          </w:tcPr>
          <w:p>
            <w:pPr>
              <w:spacing w:after="20" w:before="20"/>
            </w:pPr>
            <w:r>
              <w:rPr>
                <w:rFonts w:ascii="Calibri" w:hAnsi="Calibri" w:cs="Calibri"/>
                <w:b w:val="0"/>
                <w:sz w:val="20"/>
              </w:rPr>
              <w:t>atorvastatin 40 MG Oral Tablet</w:t>
            </w:r>
          </w:p>
        </w:tc>
        <w:tc>
          <w:tcPr>
            <w:tcW w:type="dxa" w:w="1224"/>
          </w:tcPr>
          <w:p>
            <w:pPr>
              <w:spacing w:after="20" w:before="20"/>
            </w:pPr>
            <w:r>
              <w:rPr>
                <w:rFonts w:ascii="Calibri" w:hAnsi="Calibri" w:cs="Calibri"/>
                <w:b w:val="0"/>
                <w:sz w:val="20"/>
              </w:rPr>
              <w:t>40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Mixed hyperlipidemia</w:t>
            </w:r>
          </w:p>
        </w:tc>
      </w:tr>
      <w:tr>
        <w:trPr>
          <w:cantSplit/>
        </w:trPr>
        <w:tc>
          <w:tcPr>
            <w:tcW w:type="dxa" w:w="3384"/>
          </w:tcPr>
          <w:p>
            <w:pPr>
              <w:spacing w:after="20" w:before="20"/>
            </w:pPr>
            <w:r>
              <w:rPr>
                <w:rFonts w:ascii="Calibri" w:hAnsi="Calibri" w:cs="Calibri"/>
                <w:b w:val="0"/>
                <w:sz w:val="20"/>
              </w:rPr>
              <w:t>ganciclovir injection</w:t>
            </w:r>
          </w:p>
        </w:tc>
        <w:tc>
          <w:tcPr>
            <w:tcW w:type="dxa" w:w="1224"/>
          </w:tcPr>
          <w:p>
            <w:pPr>
              <w:spacing w:after="20" w:before="20"/>
            </w:pPr>
            <w:r>
              <w:rPr>
                <w:rFonts w:ascii="Calibri" w:hAnsi="Calibri" w:cs="Calibri"/>
                <w:b w:val="0"/>
                <w:sz w:val="20"/>
              </w:rPr>
              <w:t>330 MG</w:t>
            </w:r>
          </w:p>
        </w:tc>
        <w:tc>
          <w:tcPr>
            <w:tcW w:type="dxa" w:w="1152"/>
          </w:tcPr>
          <w:p>
            <w:pPr>
              <w:spacing w:after="20" w:before="20"/>
            </w:pPr>
            <w:r>
              <w:rPr>
                <w:rFonts w:ascii="Calibri" w:hAnsi="Calibri" w:cs="Calibri"/>
                <w:b w:val="0"/>
                <w:sz w:val="20"/>
              </w:rPr>
              <w:t>intravenous</w:t>
            </w:r>
          </w:p>
        </w:tc>
        <w:tc>
          <w:tcPr>
            <w:tcW w:type="dxa" w:w="1512"/>
          </w:tcPr>
          <w:p>
            <w:pPr>
              <w:spacing w:after="20" w:before="20"/>
            </w:pPr>
            <w:r>
              <w:rPr>
                <w:rFonts w:ascii="Calibri" w:hAnsi="Calibri" w:cs="Calibri"/>
                <w:b w:val="0"/>
                <w:sz w:val="20"/>
              </w:rPr>
              <w:t>every 12 hours</w:t>
            </w:r>
          </w:p>
        </w:tc>
        <w:tc>
          <w:tcPr>
            <w:tcW w:type="dxa" w:w="2520"/>
          </w:tcPr>
          <w:p>
            <w:pPr>
              <w:spacing w:after="20" w:before="20"/>
            </w:pPr>
            <w:r>
              <w:rPr>
                <w:rFonts w:ascii="Calibri" w:hAnsi="Calibri" w:cs="Calibri"/>
                <w:b w:val="0"/>
                <w:sz w:val="20"/>
              </w:rPr>
              <w:t>Status: discontinued; Indication: Cytomegalovirus colitis; Note: 5 mg/kg at 66 kg, given after the biopsy. Oral valganciclovir was given once creatinine clearance was above 60 mL/min.</w:t>
            </w:r>
          </w:p>
        </w:tc>
      </w:tr>
      <w:tr>
        <w:trPr>
          <w:cantSplit/>
        </w:trPr>
        <w:tc>
          <w:tcPr>
            <w:tcW w:type="dxa" w:w="3384"/>
          </w:tcPr>
          <w:p>
            <w:pPr>
              <w:spacing w:after="20" w:before="20"/>
            </w:pPr>
            <w:r>
              <w:rPr>
                <w:rFonts w:ascii="Calibri" w:hAnsi="Calibri" w:cs="Calibri"/>
                <w:b w:val="0"/>
                <w:sz w:val="20"/>
              </w:rPr>
              <w:t>mycophenolate mofetil 500 MG Oral Tablet</w:t>
            </w:r>
          </w:p>
        </w:tc>
        <w:tc>
          <w:tcPr>
            <w:tcW w:type="dxa" w:w="1224"/>
          </w:tcPr>
          <w:p>
            <w:pPr>
              <w:spacing w:after="20" w:before="20"/>
            </w:pPr>
            <w:r>
              <w:rPr>
                <w:rFonts w:ascii="Calibri" w:hAnsi="Calibri" w:cs="Calibri"/>
                <w:b w:val="0"/>
                <w:sz w:val="20"/>
              </w:rPr>
              <w:t>1000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Status: held; Indication: Kidney transplant status; Held reason: Not administered after cytomegalovirus colitis was established. The transplant visit is in 7 days.; Note: Given as 500 MG tablets.</w:t>
            </w:r>
          </w:p>
        </w:tc>
      </w:tr>
      <w:tr>
        <w:trPr>
          <w:cantSplit/>
        </w:trPr>
        <w:tc>
          <w:tcPr>
            <w:tcW w:type="dxa" w:w="3384"/>
          </w:tcPr>
          <w:p>
            <w:pPr>
              <w:spacing w:after="20" w:before="20"/>
            </w:pPr>
            <w:r>
              <w:rPr>
                <w:rFonts w:ascii="Calibri" w:hAnsi="Calibri" w:cs="Calibri"/>
                <w:b w:val="0"/>
                <w:sz w:val="20"/>
              </w:rPr>
              <w:t>prednisone 5 MG Oral Tablet</w:t>
            </w:r>
          </w:p>
        </w:tc>
        <w:tc>
          <w:tcPr>
            <w:tcW w:type="dxa" w:w="1224"/>
          </w:tcPr>
          <w:p>
            <w:pPr>
              <w:spacing w:after="20" w:before="20"/>
            </w:pPr>
            <w:r>
              <w:rPr>
                <w:rFonts w:ascii="Calibri" w:hAnsi="Calibri" w:cs="Calibri"/>
                <w:b w:val="0"/>
                <w:sz w:val="20"/>
              </w:rPr>
              <w:t>5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once daily</w:t>
            </w:r>
          </w:p>
        </w:tc>
        <w:tc>
          <w:tcPr>
            <w:tcW w:type="dxa" w:w="2520"/>
          </w:tcPr>
          <w:p>
            <w:pPr>
              <w:spacing w:after="20" w:before="20"/>
            </w:pPr>
            <w:r>
              <w:rPr>
                <w:rFonts w:ascii="Calibri" w:hAnsi="Calibri" w:cs="Calibri"/>
                <w:b w:val="0"/>
                <w:sz w:val="20"/>
              </w:rPr>
              <w:t>Indication: Kidney transplant status; Note: Maintenance corticosteroid, given through the stay.</w:t>
            </w:r>
          </w:p>
        </w:tc>
      </w:tr>
      <w:tr>
        <w:trPr>
          <w:cantSplit/>
        </w:trPr>
        <w:tc>
          <w:tcPr>
            <w:tcW w:type="dxa" w:w="3384"/>
          </w:tcPr>
          <w:p>
            <w:pPr>
              <w:spacing w:after="20" w:before="20"/>
            </w:pPr>
            <w:r>
              <w:rPr>
                <w:rFonts w:ascii="Calibri" w:hAnsi="Calibri" w:cs="Calibri"/>
                <w:b w:val="0"/>
                <w:sz w:val="20"/>
              </w:rPr>
              <w:t>valganciclovir 450 MG Oral Tablet</w:t>
            </w:r>
          </w:p>
        </w:tc>
        <w:tc>
          <w:tcPr>
            <w:tcW w:type="dxa" w:w="1224"/>
          </w:tcPr>
          <w:p>
            <w:pPr>
              <w:spacing w:after="20" w:before="20"/>
            </w:pPr>
            <w:r>
              <w:rPr>
                <w:rFonts w:ascii="Calibri" w:hAnsi="Calibri" w:cs="Calibri"/>
                <w:b w:val="0"/>
                <w:sz w:val="20"/>
              </w:rPr>
              <w:t>900 MG</w:t>
            </w:r>
          </w:p>
        </w:tc>
        <w:tc>
          <w:tcPr>
            <w:tcW w:type="dxa" w:w="1152"/>
          </w:tcPr>
          <w:p>
            <w:pPr>
              <w:spacing w:after="20" w:before="20"/>
            </w:pPr>
            <w:r>
              <w:rPr>
                <w:rFonts w:ascii="Calibri" w:hAnsi="Calibri" w:cs="Calibri"/>
                <w:b w:val="0"/>
                <w:sz w:val="20"/>
              </w:rPr>
              <w:t>oral</w:t>
            </w:r>
          </w:p>
        </w:tc>
        <w:tc>
          <w:tcPr>
            <w:tcW w:type="dxa" w:w="1512"/>
          </w:tcPr>
          <w:p>
            <w:pPr>
              <w:spacing w:after="20" w:before="20"/>
            </w:pPr>
            <w:r>
              <w:rPr>
                <w:rFonts w:ascii="Calibri" w:hAnsi="Calibri" w:cs="Calibri"/>
                <w:b w:val="0"/>
                <w:sz w:val="20"/>
              </w:rPr>
              <w:t>twice daily</w:t>
            </w:r>
          </w:p>
        </w:tc>
        <w:tc>
          <w:tcPr>
            <w:tcW w:type="dxa" w:w="2520"/>
          </w:tcPr>
          <w:p>
            <w:pPr>
              <w:spacing w:after="20" w:before="20"/>
            </w:pPr>
            <w:r>
              <w:rPr>
                <w:rFonts w:ascii="Calibri" w:hAnsi="Calibri" w:cs="Calibri"/>
                <w:b w:val="0"/>
                <w:sz w:val="20"/>
              </w:rPr>
              <w:t>Indication: Other cytomegaloviral diseases; Note: Not a home medicine. Given after intravenous ganciclovir, once creatinine clearance was above 60 mL/min. The dose recorded during the stay is 900 mg orally twice daily, as 450 mg tablets.</w:t>
            </w:r>
          </w:p>
        </w:tc>
      </w:tr>
    </w:tbl>
    <w:p>
      <w:pPr>
        <w:spacing w:after="40"/>
      </w:pPr>
    </w:p>
    <w:p>
      <w:pPr>
        <w:pStyle w:val="Heading2"/>
      </w:pPr>
      <w:r>
        <w:rPr>
          <w:rFonts w:ascii="Calibri" w:hAnsi="Calibri"/>
          <w:color w:val="1F3A5F"/>
        </w:rPr>
        <w:t>Discharge medications</w:t>
      </w:r>
    </w:p>
    <w:p>
      <w:pPr>
        <w:spacing w:after="120"/>
      </w:pPr>
      <w:r>
        <w:rPr>
          <w:rFonts w:ascii="Calibri" w:hAnsi="Calibri" w:cs="Calibri"/>
          <w:b w:val="0"/>
          <w:sz w:val="22"/>
        </w:rPr>
        <w:t>No medications were specified for this list.</w:t>
      </w:r>
    </w:p>
    <w:p>
      <w:pPr>
        <w:pStyle w:val="Heading2"/>
      </w:pPr>
      <w:r>
        <w:rPr>
          <w:rFonts w:ascii="Calibri" w:hAnsi="Calibri"/>
          <w:color w:val="1F3A5F"/>
        </w:rPr>
        <w:t>Medication reconciliation</w:t>
      </w:r>
    </w:p>
    <w:p>
      <w:pPr>
        <w:pStyle w:val="ListBullet"/>
        <w:spacing w:after="40" w:before="0"/>
      </w:pPr>
      <w:r>
        <w:rPr>
          <w:rFonts w:ascii="Calibri" w:hAnsi="Calibri" w:cs="Calibri"/>
          <w:b/>
          <w:sz w:val="22"/>
        </w:rPr>
        <w:t xml:space="preserve">Best possible medication history source: </w:t>
      </w:r>
      <w:r>
        <w:rPr>
          <w:rFonts w:ascii="Calibri" w:hAnsi="Calibri" w:cs="Calibri"/>
          <w:b w:val="0"/>
          <w:sz w:val="22"/>
        </w:rPr>
        <w:t>patient and prior records</w:t>
      </w:r>
    </w:p>
    <w:p>
      <w:pPr>
        <w:pStyle w:val="ListBullet"/>
        <w:spacing w:after="40" w:before="0"/>
      </w:pPr>
      <w:r>
        <w:rPr>
          <w:rFonts w:ascii="Calibri" w:hAnsi="Calibri" w:cs="Calibri"/>
          <w:b/>
          <w:sz w:val="22"/>
        </w:rPr>
        <w:t xml:space="preserve">Reconciliation status: </w:t>
      </w:r>
      <w:r>
        <w:rPr>
          <w:rFonts w:ascii="Calibri" w:hAnsi="Calibri" w:cs="Calibri"/>
          <w:b w:val="0"/>
          <w:sz w:val="22"/>
        </w:rPr>
        <w:t>complete</w:t>
      </w:r>
    </w:p>
    <w:p>
      <w:pPr>
        <w:pStyle w:val="ListBullet"/>
        <w:spacing w:after="40" w:before="0"/>
      </w:pPr>
      <w:r>
        <w:rPr>
          <w:rFonts w:ascii="Calibri" w:hAnsi="Calibri" w:cs="Calibri"/>
          <w:b/>
          <w:sz w:val="22"/>
        </w:rPr>
        <w:t xml:space="preserve">Patient able to participate: </w:t>
      </w:r>
      <w:r>
        <w:rPr>
          <w:rFonts w:ascii="Calibri" w:hAnsi="Calibri" w:cs="Calibri"/>
          <w:b w:val="0"/>
          <w:sz w:val="22"/>
        </w:rPr>
        <w:t>Yes</w:t>
      </w:r>
    </w:p>
    <w:p>
      <w:pPr>
        <w:pStyle w:val="ListBullet"/>
        <w:spacing w:after="40" w:before="0"/>
      </w:pPr>
      <w:r>
        <w:rPr>
          <w:rFonts w:ascii="Calibri" w:hAnsi="Calibri" w:cs="Calibri"/>
          <w:b/>
          <w:sz w:val="22"/>
        </w:rPr>
        <w:t xml:space="preserve">Pharmacist review: </w:t>
      </w:r>
      <w:r>
        <w:rPr>
          <w:rFonts w:ascii="Calibri" w:hAnsi="Calibri" w:cs="Calibri"/>
          <w:b w:val="0"/>
          <w:sz w:val="22"/>
        </w:rPr>
        <w:t>Yes</w:t>
      </w:r>
    </w:p>
    <w:p>
      <w:pPr>
        <w:pStyle w:val="Heading2"/>
      </w:pPr>
      <w:r>
        <w:rPr>
          <w:rFonts w:ascii="Calibri" w:hAnsi="Calibri"/>
          <w:color w:val="1F3A5F"/>
        </w:rPr>
        <w:t>Monitoring</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Parameter</w:t>
            </w:r>
          </w:p>
        </w:tc>
        <w:tc>
          <w:tcPr>
            <w:tcW w:type="dxa" w:w="3264"/>
            <w:shd w:val="clear" w:color="auto" w:fill="D9E2F3"/>
          </w:tcPr>
          <w:p>
            <w:pPr>
              <w:spacing w:after="20" w:before="20"/>
            </w:pPr>
            <w:r>
              <w:rPr>
                <w:rFonts w:ascii="Calibri" w:hAnsi="Calibri" w:cs="Calibri"/>
                <w:b/>
                <w:sz w:val="20"/>
              </w:rPr>
              <w:t>Frequency</w:t>
            </w:r>
          </w:p>
        </w:tc>
        <w:tc>
          <w:tcPr>
            <w:tcW w:type="dxa" w:w="3264"/>
            <w:shd w:val="clear" w:color="auto" w:fill="D9E2F3"/>
          </w:tcPr>
          <w:p>
            <w:pPr>
              <w:spacing w:after="20" w:before="20"/>
            </w:pPr>
            <w:r>
              <w:rPr>
                <w:rFonts w:ascii="Calibri" w:hAnsi="Calibri" w:cs="Calibri"/>
                <w:b/>
                <w:sz w:val="20"/>
              </w:rPr>
              <w:t>Responsible service</w:t>
            </w:r>
          </w:p>
        </w:tc>
      </w:tr>
      <w:tr>
        <w:trPr>
          <w:cantSplit/>
        </w:trPr>
        <w:tc>
          <w:tcPr>
            <w:tcW w:type="dxa" w:w="3264"/>
          </w:tcPr>
          <w:p>
            <w:pPr>
              <w:spacing w:after="20" w:before="20"/>
            </w:pPr>
            <w:r>
              <w:rPr>
                <w:rFonts w:ascii="Calibri" w:hAnsi="Calibri" w:cs="Calibri"/>
                <w:b w:val="0"/>
                <w:sz w:val="20"/>
              </w:rPr>
              <w:t>tacrolimus trough, serum creatinine, complete blood count, and plasma cytomegalovirus DNA</w:t>
            </w:r>
          </w:p>
        </w:tc>
        <w:tc>
          <w:tcPr>
            <w:tcW w:type="dxa" w:w="3264"/>
          </w:tcPr>
          <w:p>
            <w:pPr>
              <w:spacing w:after="20" w:before="20"/>
            </w:pPr>
            <w:r>
              <w:rPr>
                <w:rFonts w:ascii="Calibri" w:hAnsi="Calibri" w:cs="Calibri"/>
                <w:b w:val="0"/>
                <w:sz w:val="20"/>
              </w:rPr>
              <w:t>at the transplant visit in 7 days, sooner if diarrhea or fever returns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tcPr>
          <w:p>
            <w:pPr>
              <w:spacing w:after="20" w:before="20"/>
            </w:pPr>
            <w:r>
              <w:rPr>
                <w:rFonts w:ascii="Calibri" w:hAnsi="Calibri" w:cs="Calibri"/>
                <w:b w:val="0"/>
                <w:sz w:val="20"/>
              </w:rPr>
              <w:t>Transplant clinic to review the antiviral course and mycophenolate</w:t>
            </w:r>
          </w:p>
        </w:tc>
        <w:tc>
          <w:tcPr>
            <w:tcW w:type="dxa" w:w="3264"/>
          </w:tcPr>
          <w:p>
            <w:pPr>
              <w:spacing w:after="20" w:before="20"/>
            </w:pPr>
            <w:r>
              <w:rPr>
                <w:rFonts w:ascii="Calibri" w:hAnsi="Calibri" w:cs="Calibri"/>
                <w:b w:val="0"/>
                <w:sz w:val="20"/>
              </w:rPr>
              <w:t>7 days</w:t>
            </w:r>
          </w:p>
        </w:tc>
        <w:tc>
          <w:tcPr>
            <w:tcW w:type="dxa" w:w="3264"/>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Discharge instructions</w:t>
      </w:r>
    </w:p>
    <w:p>
      <w:pPr>
        <w:spacing w:after="120"/>
      </w:pPr>
      <w:r>
        <w:rPr>
          <w:rFonts w:ascii="Calibri" w:hAnsi="Calibri" w:cs="Calibri"/>
          <w:b w:val="0"/>
          <w:sz w:val="22"/>
        </w:rPr>
        <w:t>No discharge instructions were specified.</w:t>
      </w: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264"/>
            <w:shd w:val="clear" w:color="auto" w:fill="D9E2F3"/>
          </w:tcPr>
          <w:p>
            <w:pPr>
              <w:spacing w:after="20" w:before="20"/>
            </w:pPr>
            <w:r>
              <w:rPr>
                <w:rFonts w:ascii="Calibri" w:hAnsi="Calibri" w:cs="Calibri"/>
                <w:b/>
                <w:sz w:val="20"/>
              </w:rPr>
              <w:t>Procedure</w:t>
            </w:r>
          </w:p>
        </w:tc>
        <w:tc>
          <w:tcPr>
            <w:tcW w:type="dxa" w:w="3264"/>
            <w:shd w:val="clear" w:color="auto" w:fill="D9E2F3"/>
          </w:tcPr>
          <w:p>
            <w:pPr>
              <w:spacing w:after="20" w:before="20"/>
            </w:pPr>
            <w:r>
              <w:rPr>
                <w:rFonts w:ascii="Calibri" w:hAnsi="Calibri" w:cs="Calibri"/>
                <w:b/>
                <w:sz w:val="20"/>
              </w:rPr>
              <w:t>Type</w:t>
            </w:r>
          </w:p>
        </w:tc>
        <w:tc>
          <w:tcPr>
            <w:tcW w:type="dxa" w:w="3264"/>
            <w:shd w:val="clear" w:color="auto" w:fill="D9E2F3"/>
          </w:tcPr>
          <w:p>
            <w:pPr>
              <w:spacing w:after="20" w:before="20"/>
            </w:pPr>
            <w:r>
              <w:rPr>
                <w:rFonts w:ascii="Calibri" w:hAnsi="Calibri" w:cs="Calibri"/>
                <w:b/>
                <w:sz w:val="20"/>
              </w:rPr>
              <w:t>Findings</w:t>
            </w:r>
          </w:p>
        </w:tc>
      </w:tr>
      <w:tr>
        <w:trPr>
          <w:cantSplit/>
        </w:trPr>
        <w:tc>
          <w:tcPr>
            <w:tcW w:type="dxa" w:w="3264"/>
          </w:tcPr>
          <w:p>
            <w:pPr>
              <w:spacing w:after="20" w:before="20"/>
            </w:pPr>
            <w:r>
              <w:rPr>
                <w:rFonts w:ascii="Calibri" w:hAnsi="Calibri" w:cs="Calibri"/>
                <w:b w:val="0"/>
                <w:sz w:val="20"/>
              </w:rPr>
              <w:t>Colonoscopy with biopsy</w:t>
            </w:r>
          </w:p>
        </w:tc>
        <w:tc>
          <w:tcPr>
            <w:tcW w:type="dxa" w:w="3264"/>
          </w:tcPr>
          <w:p>
            <w:pPr>
              <w:spacing w:after="20" w:before="20"/>
            </w:pPr>
            <w:r>
              <w:rPr>
                <w:rFonts w:ascii="Calibri" w:hAnsi="Calibri" w:cs="Calibri"/>
                <w:b w:val="0"/>
                <w:sz w:val="20"/>
              </w:rPr>
              <w:t>diagnostic</w:t>
            </w:r>
          </w:p>
        </w:tc>
        <w:tc>
          <w:tcPr>
            <w:tcW w:type="dxa" w:w="3264"/>
          </w:tcPr>
          <w:p>
            <w:pPr>
              <w:spacing w:after="20" w:before="20"/>
            </w:pPr>
            <w:r>
              <w:rPr>
                <w:rFonts w:ascii="Calibri" w:hAnsi="Calibri" w:cs="Calibri"/>
                <w:b w:val="0"/>
                <w:sz w:val="20"/>
              </w:rPr>
              <w:t>Colitis. Biopsy immunohistochemistry positive for cytomegalovirus.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Service</w:t>
            </w:r>
          </w:p>
        </w:tc>
        <w:tc>
          <w:tcPr>
            <w:tcW w:type="dxa" w:w="2448"/>
            <w:shd w:val="clear" w:color="auto" w:fill="D9E2F3"/>
          </w:tcPr>
          <w:p>
            <w:pPr>
              <w:spacing w:after="20" w:before="20"/>
            </w:pPr>
            <w:r>
              <w:rPr>
                <w:rFonts w:ascii="Calibri" w:hAnsi="Calibri" w:cs="Calibri"/>
                <w:b/>
                <w:sz w:val="20"/>
              </w:rPr>
              <w:t>Timepoint</w:t>
            </w:r>
          </w:p>
        </w:tc>
        <w:tc>
          <w:tcPr>
            <w:tcW w:type="dxa" w:w="2448"/>
            <w:shd w:val="clear" w:color="auto" w:fill="D9E2F3"/>
          </w:tcPr>
          <w:p>
            <w:pPr>
              <w:spacing w:after="20" w:before="20"/>
            </w:pPr>
            <w:r>
              <w:rPr>
                <w:rFonts w:ascii="Calibri" w:hAnsi="Calibri" w:cs="Calibri"/>
                <w:b/>
                <w:sz w:val="20"/>
              </w:rPr>
              <w:t>Assessment</w:t>
            </w:r>
          </w:p>
        </w:tc>
        <w:tc>
          <w:tcPr>
            <w:tcW w:type="dxa" w:w="2448"/>
            <w:shd w:val="clear" w:color="auto" w:fill="D9E2F3"/>
          </w:tcPr>
          <w:p>
            <w:pPr>
              <w:spacing w:after="20" w:before="20"/>
            </w:pPr>
            <w:r>
              <w:rPr>
                <w:rFonts w:ascii="Calibri" w:hAnsi="Calibri" w:cs="Calibri"/>
                <w:b/>
                <w:sz w:val="20"/>
              </w:rPr>
              <w:t>Recommendation</w:t>
            </w:r>
          </w:p>
        </w:tc>
      </w:tr>
      <w:tr>
        <w:trPr>
          <w:cantSplit/>
        </w:trPr>
        <w:tc>
          <w:tcPr>
            <w:tcW w:type="dxa" w:w="2448"/>
          </w:tcPr>
          <w:p>
            <w:pPr>
              <w:spacing w:after="20" w:before="20"/>
            </w:pPr>
            <w:r>
              <w:rPr>
                <w:rFonts w:ascii="Calibri" w:hAnsi="Calibri" w:cs="Calibri"/>
                <w:b w:val="0"/>
                <w:sz w:val="20"/>
              </w:rPr>
              <w:t>transplant</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Cytomegalovirus colitis after the biopsy. Volume depletion on admission has improved. Tacrolimus trough is in the stated target range.</w:t>
            </w:r>
          </w:p>
        </w:tc>
        <w:tc>
          <w:tcPr>
            <w:tcW w:type="dxa" w:w="2448"/>
          </w:tcPr>
          <w:p>
            <w:pPr>
              <w:spacing w:after="20" w:before="20"/>
            </w:pPr>
            <w:r>
              <w:rPr>
                <w:rFonts w:ascii="Calibri" w:hAnsi="Calibri" w:cs="Calibri"/>
                <w:b w:val="0"/>
                <w:sz w:val="20"/>
              </w:rPr>
              <w:t>The tacrolimus trough is in the stated target range. Recheck the viral load, blood count, and creatinine in clinic in 7 days.</w:t>
            </w:r>
          </w:p>
        </w:tc>
      </w:tr>
      <w:tr>
        <w:trPr>
          <w:cantSplit/>
        </w:trPr>
        <w:tc>
          <w:tcPr>
            <w:tcW w:type="dxa" w:w="2448"/>
          </w:tcPr>
          <w:p>
            <w:pPr>
              <w:spacing w:after="20" w:before="20"/>
            </w:pPr>
            <w:r>
              <w:rPr>
                <w:rFonts w:ascii="Calibri" w:hAnsi="Calibri" w:cs="Calibri"/>
                <w:b w:val="0"/>
                <w:sz w:val="20"/>
              </w:rPr>
              <w:t>infectious disease</w:t>
            </w:r>
          </w:p>
        </w:tc>
        <w:tc>
          <w:tcPr>
            <w:tcW w:type="dxa" w:w="2448"/>
          </w:tcPr>
          <w:p>
            <w:pPr>
              <w:spacing w:after="20" w:before="20"/>
            </w:pPr>
            <w:r>
              <w:rPr>
                <w:rFonts w:ascii="Calibri" w:hAnsi="Calibri" w:cs="Calibri"/>
                <w:b w:val="0"/>
                <w:sz w:val="20"/>
              </w:rPr>
              <w:t>inpatient</w:t>
            </w:r>
          </w:p>
        </w:tc>
        <w:tc>
          <w:tcPr>
            <w:tcW w:type="dxa" w:w="2448"/>
          </w:tcPr>
          <w:p>
            <w:pPr>
              <w:spacing w:after="20" w:before="20"/>
            </w:pPr>
            <w:r>
              <w:rPr>
                <w:rFonts w:ascii="Calibri" w:hAnsi="Calibri" w:cs="Calibri"/>
                <w:b w:val="0"/>
                <w:sz w:val="20"/>
              </w:rPr>
              <w:t>Tissue-proven cytomegalovirus colitis. Bacterial stool studies and Clostridioides difficile toxin are negative.</w:t>
            </w:r>
          </w:p>
        </w:tc>
        <w:tc>
          <w:tcPr>
            <w:tcW w:type="dxa" w:w="2448"/>
          </w:tcPr>
          <w:p>
            <w:pPr>
              <w:spacing w:after="20" w:before="20"/>
            </w:pPr>
            <w:r>
              <w:rPr>
                <w:rFonts w:ascii="Calibri" w:hAnsi="Calibri" w:cs="Calibri"/>
                <w:b w:val="0"/>
                <w:sz w:val="20"/>
              </w:rPr>
              <w:t>Creatinine clearance is above 60 mL/min. The oral valganciclovir dose recorded during the stay is 900 mg twice daily. Recheck the viral load, blood count, and creatinine.</w:t>
            </w:r>
          </w:p>
        </w:tc>
      </w:tr>
    </w:tbl>
    <w:p>
      <w:pPr>
        <w:spacing w:after="40"/>
      </w:pPr>
    </w:p>
    <w:p>
      <w:pPr>
        <w:pStyle w:val="Heading2"/>
      </w:pPr>
      <w:r>
        <w:rPr>
          <w:rFonts w:ascii="Calibri" w:hAnsi="Calibri"/>
          <w:color w:val="1F3A5F"/>
        </w:rPr>
        <w:t>Microbiology</w:t>
      </w:r>
    </w:p>
    <w:tbl>
      <w:tblPr>
        <w:tblStyle w:val="TableGrid"/>
        <w:tblW w:type="dxa" w:w="9792"/>
        <w:tblLayout w:type="fixed"/>
        <w:tblLook w:firstColumn="1" w:firstRow="1" w:lastColumn="0" w:lastRow="0" w:noHBand="0" w:noVBand="1" w:val="04A0"/>
      </w:tblPr>
      <w:tblGrid>
        <w:gridCol w:w="1632"/>
        <w:gridCol w:w="1632"/>
        <w:gridCol w:w="1632"/>
        <w:gridCol w:w="1632"/>
        <w:gridCol w:w="1632"/>
        <w:gridCol w:w="1632"/>
      </w:tblGrid>
      <w:tr>
        <w:trPr>
          <w:tblHeader/>
          <w:cantSplit/>
        </w:trPr>
        <w:tc>
          <w:tcPr>
            <w:tcW w:type="dxa" w:w="1632"/>
            <w:shd w:val="clear" w:color="auto" w:fill="D9E2F3"/>
          </w:tcPr>
          <w:p>
            <w:pPr>
              <w:spacing w:after="20" w:before="20"/>
            </w:pPr>
            <w:r>
              <w:rPr>
                <w:rFonts w:ascii="Calibri" w:hAnsi="Calibri" w:cs="Calibri"/>
                <w:b/>
                <w:sz w:val="20"/>
              </w:rPr>
              <w:t>Timepoint</w:t>
            </w:r>
          </w:p>
        </w:tc>
        <w:tc>
          <w:tcPr>
            <w:tcW w:type="dxa" w:w="1632"/>
            <w:shd w:val="clear" w:color="auto" w:fill="D9E2F3"/>
          </w:tcPr>
          <w:p>
            <w:pPr>
              <w:spacing w:after="20" w:before="20"/>
            </w:pPr>
            <w:r>
              <w:rPr>
                <w:rFonts w:ascii="Calibri" w:hAnsi="Calibri" w:cs="Calibri"/>
                <w:b/>
                <w:sz w:val="20"/>
              </w:rPr>
              <w:t>Specimen</w:t>
            </w:r>
          </w:p>
        </w:tc>
        <w:tc>
          <w:tcPr>
            <w:tcW w:type="dxa" w:w="1632"/>
            <w:shd w:val="clear" w:color="auto" w:fill="D9E2F3"/>
          </w:tcPr>
          <w:p>
            <w:pPr>
              <w:spacing w:after="20" w:before="20"/>
            </w:pPr>
            <w:r>
              <w:rPr>
                <w:rFonts w:ascii="Calibri" w:hAnsi="Calibri" w:cs="Calibri"/>
                <w:b/>
                <w:sz w:val="20"/>
              </w:rPr>
              <w:t>Test</w:t>
            </w:r>
          </w:p>
        </w:tc>
        <w:tc>
          <w:tcPr>
            <w:tcW w:type="dxa" w:w="1632"/>
            <w:shd w:val="clear" w:color="auto" w:fill="D9E2F3"/>
          </w:tcPr>
          <w:p>
            <w:pPr>
              <w:spacing w:after="20" w:before="20"/>
            </w:pPr>
            <w:r>
              <w:rPr>
                <w:rFonts w:ascii="Calibri" w:hAnsi="Calibri" w:cs="Calibri"/>
                <w:b/>
                <w:sz w:val="20"/>
              </w:rPr>
              <w:t>Result</w:t>
            </w:r>
          </w:p>
        </w:tc>
        <w:tc>
          <w:tcPr>
            <w:tcW w:type="dxa" w:w="1632"/>
            <w:shd w:val="clear" w:color="auto" w:fill="D9E2F3"/>
          </w:tcPr>
          <w:p>
            <w:pPr>
              <w:spacing w:after="20" w:before="20"/>
            </w:pPr>
            <w:r>
              <w:rPr>
                <w:rFonts w:ascii="Calibri" w:hAnsi="Calibri" w:cs="Calibri"/>
                <w:b/>
                <w:sz w:val="20"/>
              </w:rPr>
              <w:t>Status</w:t>
            </w:r>
          </w:p>
        </w:tc>
        <w:tc>
          <w:tcPr>
            <w:tcW w:type="dxa" w:w="1632"/>
            <w:shd w:val="clear" w:color="auto" w:fill="D9E2F3"/>
          </w:tcPr>
          <w:p>
            <w:pPr>
              <w:spacing w:after="20" w:before="20"/>
            </w:pPr>
            <w:r>
              <w:rPr>
                <w:rFonts w:ascii="Calibri" w:hAnsi="Calibri" w:cs="Calibri"/>
                <w:b/>
                <w:sz w:val="20"/>
              </w:rPr>
              <w:t>Notes</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stool</w:t>
            </w:r>
          </w:p>
        </w:tc>
        <w:tc>
          <w:tcPr>
            <w:tcW w:type="dxa" w:w="1632"/>
          </w:tcPr>
          <w:p>
            <w:pPr>
              <w:spacing w:after="20" w:before="20"/>
            </w:pPr>
            <w:r>
              <w:rPr>
                <w:rFonts w:ascii="Calibri" w:hAnsi="Calibri" w:cs="Calibri"/>
                <w:b w:val="0"/>
                <w:sz w:val="20"/>
              </w:rPr>
              <w:t>stool culture</w:t>
            </w:r>
          </w:p>
        </w:tc>
        <w:tc>
          <w:tcPr>
            <w:tcW w:type="dxa" w:w="1632"/>
          </w:tcPr>
          <w:p>
            <w:pPr>
              <w:spacing w:after="20" w:before="20"/>
            </w:pPr>
            <w:r>
              <w:rPr>
                <w:rFonts w:ascii="Calibri" w:hAnsi="Calibri" w:cs="Calibri"/>
                <w:b w:val="0"/>
                <w:sz w:val="20"/>
              </w:rPr>
              <w:t>no growth</w:t>
            </w:r>
          </w:p>
        </w:tc>
        <w:tc>
          <w:tcPr>
            <w:tcW w:type="dxa" w:w="1632"/>
          </w:tcPr>
          <w:p>
            <w:pPr>
              <w:spacing w:after="20" w:before="20"/>
            </w:pPr>
            <w:r>
              <w:rPr>
                <w:rFonts w:ascii="Calibri" w:hAnsi="Calibri" w:cs="Calibri"/>
                <w:b w:val="0"/>
                <w:sz w:val="20"/>
              </w:rPr>
              <w:t>final</w:t>
            </w:r>
          </w:p>
        </w:tc>
        <w:tc>
          <w:tcPr>
            <w:tcW w:type="dxa" w:w="1632"/>
          </w:tcPr>
          <w:p>
            <w:pPr>
              <w:spacing w:after="20" w:before="20"/>
            </w:pPr>
            <w:r>
              <w:rPr>
                <w:rFonts w:ascii="Calibri" w:hAnsi="Calibri" w:cs="Calibri"/>
                <w:b w:val="0"/>
                <w:sz w:val="20"/>
              </w:rPr>
              <w:t>No bacterial pathogen.</w:t>
            </w:r>
          </w:p>
        </w:tc>
      </w:tr>
      <w:tr>
        <w:trPr>
          <w:cantSplit/>
        </w:trPr>
        <w:tc>
          <w:tcPr>
            <w:tcW w:type="dxa" w:w="1632"/>
          </w:tcPr>
          <w:p>
            <w:pPr>
              <w:spacing w:after="20" w:before="20"/>
            </w:pPr>
            <w:r>
              <w:rPr>
                <w:rFonts w:ascii="Calibri" w:hAnsi="Calibri" w:cs="Calibri"/>
                <w:b w:val="0"/>
                <w:sz w:val="20"/>
              </w:rPr>
              <w:t>admission</w:t>
            </w:r>
          </w:p>
        </w:tc>
        <w:tc>
          <w:tcPr>
            <w:tcW w:type="dxa" w:w="1632"/>
          </w:tcPr>
          <w:p>
            <w:pPr>
              <w:spacing w:after="20" w:before="20"/>
            </w:pPr>
            <w:r>
              <w:rPr>
                <w:rFonts w:ascii="Calibri" w:hAnsi="Calibri" w:cs="Calibri"/>
                <w:b w:val="0"/>
                <w:sz w:val="20"/>
              </w:rPr>
              <w:t>stool</w:t>
            </w:r>
          </w:p>
        </w:tc>
        <w:tc>
          <w:tcPr>
            <w:tcW w:type="dxa" w:w="1632"/>
          </w:tcPr>
          <w:p>
            <w:pPr>
              <w:spacing w:after="20" w:before="20"/>
            </w:pPr>
            <w:r>
              <w:rPr>
                <w:rFonts w:ascii="Calibri" w:hAnsi="Calibri" w:cs="Calibri"/>
                <w:b w:val="0"/>
                <w:sz w:val="20"/>
              </w:rPr>
              <w:t>Clostridioides difficile toxin</w:t>
            </w:r>
          </w:p>
        </w:tc>
        <w:tc>
          <w:tcPr>
            <w:tcW w:type="dxa" w:w="1632"/>
          </w:tcPr>
          <w:p>
            <w:pPr>
              <w:spacing w:after="20" w:before="20"/>
            </w:pPr>
            <w:r>
              <w:rPr>
                <w:rFonts w:ascii="Calibri" w:hAnsi="Calibri" w:cs="Calibri"/>
                <w:b w:val="0"/>
                <w:sz w:val="20"/>
              </w:rPr>
              <w:t>negative</w:t>
            </w:r>
          </w:p>
        </w:tc>
        <w:tc>
          <w:tcPr>
            <w:tcW w:type="dxa" w:w="1632"/>
          </w:tcPr>
          <w:p>
            <w:pPr>
              <w:spacing w:after="20" w:before="20"/>
            </w:pPr>
            <w:r>
              <w:rPr>
                <w:rFonts w:ascii="Calibri" w:hAnsi="Calibri" w:cs="Calibri"/>
                <w:b w:val="0"/>
                <w:sz w:val="20"/>
              </w:rPr>
              <w:t>final</w:t>
            </w:r>
          </w:p>
        </w:tc>
        <w:tc>
          <w:tcPr>
            <w:tcW w:type="dxa" w:w="1632"/>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Return precautions</w:t>
      </w: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2448"/>
            <w:shd w:val="clear" w:color="auto" w:fill="D9E2F3"/>
          </w:tcPr>
          <w:p>
            <w:pPr>
              <w:spacing w:after="20" w:before="20"/>
            </w:pPr>
            <w:r>
              <w:rPr>
                <w:rFonts w:ascii="Calibri" w:hAnsi="Calibri" w:cs="Calibri"/>
                <w:b/>
                <w:sz w:val="20"/>
              </w:rPr>
              <w:t>Symptom</w:t>
            </w:r>
          </w:p>
        </w:tc>
        <w:tc>
          <w:tcPr>
            <w:tcW w:type="dxa" w:w="2448"/>
            <w:shd w:val="clear" w:color="auto" w:fill="D9E2F3"/>
          </w:tcPr>
          <w:p>
            <w:pPr>
              <w:spacing w:after="20" w:before="20"/>
            </w:pPr>
            <w:r>
              <w:rPr>
                <w:rFonts w:ascii="Calibri" w:hAnsi="Calibri" w:cs="Calibri"/>
                <w:b/>
                <w:sz w:val="20"/>
              </w:rPr>
              <w:t>Reason</w:t>
            </w:r>
          </w:p>
        </w:tc>
        <w:tc>
          <w:tcPr>
            <w:tcW w:type="dxa" w:w="2448"/>
            <w:shd w:val="clear" w:color="auto" w:fill="D9E2F3"/>
          </w:tcPr>
          <w:p>
            <w:pPr>
              <w:spacing w:after="20" w:before="20"/>
            </w:pPr>
            <w:r>
              <w:rPr>
                <w:rFonts w:ascii="Calibri" w:hAnsi="Calibri" w:cs="Calibri"/>
                <w:b/>
                <w:sz w:val="20"/>
              </w:rPr>
              <w:t>Action</w:t>
            </w:r>
          </w:p>
        </w:tc>
        <w:tc>
          <w:tcPr>
            <w:tcW w:type="dxa" w:w="2448"/>
            <w:shd w:val="clear" w:color="auto" w:fill="D9E2F3"/>
          </w:tcPr>
          <w:p>
            <w:pPr>
              <w:spacing w:after="20" w:before="20"/>
            </w:pPr>
            <w:r>
              <w:rPr>
                <w:rFonts w:ascii="Calibri" w:hAnsi="Calibri" w:cs="Calibri"/>
                <w:b/>
                <w:sz w:val="20"/>
              </w:rPr>
              <w:t>Severity</w:t>
            </w:r>
          </w:p>
        </w:tc>
      </w:tr>
      <w:tr>
        <w:trPr>
          <w:cantSplit/>
        </w:trPr>
        <w:tc>
          <w:tcPr>
            <w:tcW w:type="dxa" w:w="2448"/>
          </w:tcPr>
          <w:p>
            <w:pPr>
              <w:spacing w:after="20" w:before="20"/>
            </w:pPr>
            <w:r>
              <w:rPr>
                <w:rFonts w:ascii="Calibri" w:hAnsi="Calibri" w:cs="Calibri"/>
                <w:b w:val="0"/>
                <w:sz w:val="20"/>
              </w:rPr>
              <w:t>Diarrhea</w:t>
            </w:r>
          </w:p>
        </w:tc>
        <w:tc>
          <w:tcPr>
            <w:tcW w:type="dxa" w:w="2448"/>
          </w:tcPr>
          <w:p>
            <w:pPr>
              <w:spacing w:after="20" w:before="20"/>
            </w:pPr>
            <w:r>
              <w:rPr>
                <w:rFonts w:ascii="Calibri" w:hAnsi="Calibri" w:cs="Calibri"/>
                <w:b w:val="0"/>
                <w:sz w:val="20"/>
              </w:rPr>
              <w:t>Worsening of the presenting symptom</w:t>
            </w:r>
          </w:p>
        </w:tc>
        <w:tc>
          <w:tcPr>
            <w:tcW w:type="dxa" w:w="2448"/>
          </w:tcPr>
          <w:p>
            <w:pPr>
              <w:spacing w:after="20" w:before="20"/>
            </w:pPr>
            <w:r>
              <w:rPr>
                <w:rFonts w:ascii="Calibri" w:hAnsi="Calibri" w:cs="Calibri"/>
                <w:b w:val="0"/>
                <w:sz w:val="20"/>
              </w:rPr>
              <w:t>Seek urgent evaluation</w:t>
            </w:r>
          </w:p>
        </w:tc>
        <w:tc>
          <w:tcPr>
            <w:tcW w:type="dxa" w:w="2448"/>
          </w:tcPr>
          <w:p>
            <w:pPr>
              <w:spacing w:after="20" w:before="20"/>
            </w:pPr>
            <w:r>
              <w:rPr>
                <w:rFonts w:ascii="Calibri" w:hAnsi="Calibri" w:cs="Calibri"/>
                <w:b w:val="0"/>
                <w:sz w:val="20"/>
              </w:rPr>
              <w:t>urgent</w:t>
            </w:r>
          </w:p>
        </w:tc>
      </w:tr>
    </w:tbl>
    <w:p>
      <w:pPr>
        <w:spacing w:after="40"/>
      </w:pPr>
    </w:p>
    <w:p>
      <w:pPr>
        <w:pStyle w:val="Heading2"/>
      </w:pPr>
      <w:r>
        <w:rPr>
          <w:rFonts w:ascii="Calibri" w:hAnsi="Calibri"/>
          <w:color w:val="1F3A5F"/>
        </w:rPr>
        <w:t>Clinical validation</w:t>
      </w:r>
    </w:p>
    <w:p>
      <w:pPr>
        <w:pStyle w:val="Heading3"/>
      </w:pPr>
      <w:r>
        <w:rPr>
          <w:rFonts w:ascii="Calibri" w:hAnsi="Calibri"/>
          <w:color w:val="1F3A5F"/>
        </w:rPr>
        <w:t>C1 — Clinical plausibility</w:t>
      </w:r>
    </w:p>
    <w:p>
      <w:pPr>
        <w:spacing w:after="120"/>
      </w:pPr>
      <w:r>
        <w:rPr>
          <w:rFonts w:ascii="Calibri" w:hAnsi="Calibri" w:cs="Calibri"/>
          <w:b w:val="0"/>
          <w:sz w:val="22"/>
        </w:rPr>
        <w:t>Could this reasonably represent a patient encountered in the stated inpatient clinical setting?</w:t>
      </w:r>
    </w:p>
    <w:p>
      <w:pPr>
        <w:spacing w:after="120"/>
      </w:pPr>
      <w:r>
        <w:rPr>
          <w:rFonts w:ascii="Calibri" w:hAnsi="Calibri" w:cs="Calibri"/>
          <w:b w:val="0"/>
          <w:sz w:val="22"/>
        </w:rPr>
        <w:t>A rating of 1 means implausible. A rating of 2 means questionable and requires revision. A rating of 3 means plausible with minor concern. A rating of 4 means fully plausible. Any domain rated 1 or 2 needs a written explanation. C1 passes when every clinically relevant domain is rated 3 or 4.</w:t>
      </w:r>
    </w:p>
    <w:tbl>
      <w:tblPr>
        <w:tblStyle w:val="TableGrid"/>
        <w:tblW w:type="dxa" w:w="9792"/>
        <w:tblLayout w:type="fixed"/>
        <w:tblLook w:firstColumn="1" w:firstRow="1" w:lastColumn="0" w:lastRow="0" w:noHBand="0" w:noVBand="1" w:val="04A0"/>
      </w:tblPr>
      <w:tblGrid>
        <w:gridCol w:w="5184"/>
        <w:gridCol w:w="1152"/>
        <w:gridCol w:w="1152"/>
        <w:gridCol w:w="1152"/>
        <w:gridCol w:w="1152"/>
      </w:tblGrid>
      <w:tr>
        <w:trPr>
          <w:tblHeade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vAlign w:val="center"/>
          </w:tcPr>
          <w:p>
            <w:pPr>
              <w:spacing w:after="20" w:before="20"/>
              <w:jc w:val="center"/>
            </w:pPr>
            <w:r>
              <w:rPr>
                <w:rFonts w:ascii="Calibri" w:hAnsi="Calibri" w:cs="Calibri"/>
                <w:b/>
                <w:sz w:val="20"/>
              </w:rPr>
              <w:t>1</w:t>
            </w:r>
          </w:p>
        </w:tc>
        <w:tc>
          <w:tcPr>
            <w:tcW w:type="dxa" w:w="1152"/>
            <w:shd w:val="clear" w:color="auto" w:fill="D9E2F3"/>
            <w:vAlign w:val="center"/>
          </w:tcPr>
          <w:p>
            <w:pPr>
              <w:spacing w:after="20" w:before="20"/>
              <w:jc w:val="center"/>
            </w:pPr>
            <w:r>
              <w:rPr>
                <w:rFonts w:ascii="Calibri" w:hAnsi="Calibri" w:cs="Calibri"/>
                <w:b/>
                <w:sz w:val="20"/>
              </w:rPr>
              <w:t>2</w:t>
            </w:r>
          </w:p>
        </w:tc>
        <w:tc>
          <w:tcPr>
            <w:tcW w:type="dxa" w:w="1152"/>
            <w:shd w:val="clear" w:color="auto" w:fill="D9E2F3"/>
            <w:vAlign w:val="center"/>
          </w:tcPr>
          <w:p>
            <w:pPr>
              <w:spacing w:after="20" w:before="20"/>
              <w:jc w:val="center"/>
            </w:pPr>
            <w:r>
              <w:rPr>
                <w:rFonts w:ascii="Calibri" w:hAnsi="Calibri" w:cs="Calibri"/>
                <w:b/>
                <w:sz w:val="20"/>
              </w:rPr>
              <w:t>3</w:t>
            </w:r>
          </w:p>
        </w:tc>
        <w:tc>
          <w:tcPr>
            <w:tcW w:type="dxa" w:w="1152"/>
            <w:shd w:val="clear" w:color="auto" w:fill="D9E2F3"/>
            <w:vAlign w:val="center"/>
          </w:tcPr>
          <w:p>
            <w:pPr>
              <w:spacing w:after="20" w:before="20"/>
              <w:jc w:val="center"/>
            </w:pPr>
            <w:r>
              <w:rPr>
                <w:rFonts w:ascii="Calibri" w:hAnsi="Calibri" w:cs="Calibri"/>
                <w:b/>
                <w:sz w:val="20"/>
              </w:rPr>
              <w:t>4</w:t>
            </w:r>
          </w:p>
        </w:tc>
      </w:tr>
      <w:tr>
        <w:trPr>
          <w:trHeight w:val="420" w:hRule="atLeast"/>
          <w:cantSplit/>
        </w:trPr>
        <w:tc>
          <w:tcPr>
            <w:tcW w:type="dxa" w:w="5184"/>
            <w:vAlign w:val="center"/>
          </w:tcPr>
          <w:p>
            <w:pPr>
              <w:spacing w:after="20" w:before="20"/>
            </w:pPr>
            <w:r>
              <w:rPr>
                <w:rFonts w:ascii="Calibri" w:hAnsi="Calibri" w:cs="Calibri"/>
                <w:b w:val="0"/>
                <w:sz w:val="20"/>
              </w:rPr>
              <w:t>Presentation and demographics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Fit between presentation and diagnosis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Vital signs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Laboratory findings</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Medication regimen</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Hospital course</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Consistency across the chart</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trHeight w:val="420" w:hRule="atLeast"/>
          <w:cantSplit/>
        </w:trPr>
        <w:tc>
          <w:tcPr>
            <w:tcW w:type="dxa" w:w="5184"/>
            <w:vAlign w:val="center"/>
          </w:tcPr>
          <w:p>
            <w:pPr>
              <w:spacing w:after="20" w:before="20"/>
            </w:pPr>
            <w:r>
              <w:rPr>
                <w:rFonts w:ascii="Calibri" w:hAnsi="Calibri" w:cs="Calibri"/>
                <w:b w:val="0"/>
                <w:sz w:val="20"/>
              </w:rPr>
              <w:t>Discharge plan and follow-up</w:t>
            </w:r>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spacing w:before="40" w:after="40"/>
              <w:jc w:val="center"/>
            </w:pPr>
            <w:sdt>
              <w:sdtPr>
                <w:rPr>
                  <w:rFonts w:ascii="MS Gothic" w:hAnsi="MS Gothic" w:cs="MS Gothic" w:eastAsia="MS Gothic" w:hint="eastAsia"/>
                  <w:sz w:val="28"/>
                  <w:szCs w:val="28"/>
                </w:rPr>
                <w:alias w:val="C1 domain rating"/>
                <w:tag w:val="c1-score"/>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p>
      <w:pPr>
        <w:keepLines/>
        <w:spacing w:before="80" w:after="160"/>
      </w:pPr>
      <w:r>
        <w:rPr>
          <w:rFonts w:ascii="Calibri" w:hAnsi="Calibri" w:cs="Calibri"/>
          <w:b w:val="0"/>
          <w:sz w:val="22"/>
        </w:rPr>
        <w:t xml:space="preserve">Overall C1:  </w:t>
      </w:r>
      <w:sdt>
        <w:sdtPr>
          <w:rPr>
            <w:rFonts w:ascii="MS Gothic" w:hAnsi="MS Gothic" w:cs="MS Gothic" w:eastAsia="MS Gothic" w:hint="eastAsia"/>
            <w:sz w:val="28"/>
            <w:szCs w:val="28"/>
          </w:rPr>
          <w:alias w:val="C1 overall result"/>
          <w:tag w:val="c1-result"/>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1 overall result"/>
          <w:tag w:val="c1-result"/>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C1 reviewer comments</w:t>
            </w:r>
          </w:p>
          <w:sdt>
            <w:sdtPr>
              <w:alias w:val="C1 reviewer comments"/>
              <w:tag w:val="c1-comments"/>
              <w:id w:val="20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2"/>
      </w:pPr>
      <w:r>
        <w:rPr>
          <w:rFonts w:ascii="Calibri" w:hAnsi="Calibri"/>
          <w:color w:val="1F3A5F"/>
        </w:rPr>
        <w:t>Validation Reference</w:t>
      </w:r>
    </w:p>
    <w:tbl>
      <w:tblPr>
        <w:tblStyle w:val="TableGrid"/>
        <w:tblW w:type="auto" w:w="0"/>
        <w:tblLook w:firstColumn="1" w:firstRow="1" w:lastColumn="0" w:lastRow="0" w:noHBand="0" w:noVBand="1" w:val="04A0"/>
      </w:tblPr>
      <w:tblGrid>
        <w:gridCol w:w="9792"/>
      </w:tblGrid>
      <w:tr>
        <w:tc>
          <w:tcPr>
            <w:tcW w:type="dxa" w:w="9792"/>
            <w:shd w:val="clear" w:color="auto" w:fill="F4E8C1"/>
          </w:tcPr>
          <w:p>
            <w:r>
              <w:rPr>
                <w:rFonts w:ascii="Calibri" w:hAnsi="Calibri" w:cs="Calibri"/>
                <w:b/>
                <w:color w:val="1F3A5F"/>
                <w:sz w:val="22"/>
              </w:rPr>
              <w:t>For clinician validation only. This section would not be shown to a resident completing the later assessment.</w:t>
            </w:r>
          </w:p>
        </w:tc>
      </w:tr>
    </w:tbl>
    <w:p>
      <w:pPr>
        <w:spacing w:after="80"/>
      </w:pP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3744"/>
            <w:shd w:val="clear" w:color="auto" w:fill="D9E2F3"/>
          </w:tcPr>
          <w:p>
            <w:pPr>
              <w:spacing w:after="20" w:before="20"/>
            </w:pPr>
            <w:r>
              <w:rPr>
                <w:rFonts w:ascii="Calibri" w:hAnsi="Calibri" w:cs="Calibri"/>
                <w:b/>
                <w:sz w:val="20"/>
              </w:rPr>
              <w:t>Field</w:t>
            </w:r>
          </w:p>
        </w:tc>
        <w:tc>
          <w:tcPr>
            <w:tcW w:type="dxa" w:w="6048"/>
            <w:shd w:val="clear" w:color="auto" w:fill="D9E2F3"/>
          </w:tcPr>
          <w:p>
            <w:pPr>
              <w:spacing w:after="20" w:before="20"/>
            </w:pPr>
            <w:r>
              <w:rPr>
                <w:rFonts w:ascii="Calibri" w:hAnsi="Calibri" w:cs="Calibri"/>
                <w:b/>
                <w:sz w:val="20"/>
              </w:rPr>
              <w:t>Validation reference</w:t>
            </w:r>
          </w:p>
        </w:tc>
      </w:tr>
      <w:tr>
        <w:trPr>
          <w:cantSplit/>
        </w:trPr>
        <w:tc>
          <w:tcPr>
            <w:tcW w:type="dxa" w:w="3744"/>
          </w:tcPr>
          <w:p>
            <w:pPr>
              <w:spacing w:after="20" w:before="20"/>
            </w:pPr>
            <w:r>
              <w:rPr>
                <w:rFonts w:ascii="Calibri" w:hAnsi="Calibri" w:cs="Calibri"/>
                <w:b w:val="0"/>
                <w:sz w:val="20"/>
              </w:rPr>
              <w:t>Case type</w:t>
            </w:r>
          </w:p>
        </w:tc>
        <w:tc>
          <w:tcPr>
            <w:tcW w:type="dxa" w:w="6048"/>
          </w:tcPr>
          <w:p>
            <w:pPr>
              <w:spacing w:after="20" w:before="20"/>
            </w:pPr>
            <w:r>
              <w:rPr>
                <w:rFonts w:ascii="Calibri" w:hAnsi="Calibri" w:cs="Calibri"/>
                <w:b w:val="0"/>
                <w:sz w:val="20"/>
              </w:rPr>
              <w:t>Clean control</w:t>
            </w:r>
          </w:p>
        </w:tc>
      </w:tr>
      <w:tr>
        <w:trPr>
          <w:cantSplit/>
        </w:trPr>
        <w:tc>
          <w:tcPr>
            <w:tcW w:type="dxa" w:w="3744"/>
          </w:tcPr>
          <w:p>
            <w:pPr>
              <w:spacing w:after="20" w:before="20"/>
            </w:pPr>
            <w:r>
              <w:rPr>
                <w:rFonts w:ascii="Calibri" w:hAnsi="Calibri" w:cs="Calibri"/>
                <w:b w:val="0"/>
                <w:sz w:val="20"/>
              </w:rPr>
              <w:t>Error family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Error category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Planted assessment discrepancy</w:t>
            </w:r>
          </w:p>
        </w:tc>
        <w:tc>
          <w:tcPr>
            <w:tcW w:type="dxa" w:w="6048"/>
          </w:tcPr>
          <w:p>
            <w:pPr>
              <w:spacing w:after="20" w:before="20"/>
            </w:pPr>
            <w:r>
              <w:rPr>
                <w:rFonts w:ascii="Calibri" w:hAnsi="Calibri" w:cs="Calibri"/>
                <w:b w:val="0"/>
                <w:sz w:val="20"/>
              </w:rPr>
              <w:t>None</w:t>
            </w:r>
          </w:p>
        </w:tc>
      </w:tr>
      <w:tr>
        <w:trPr>
          <w:cantSplit/>
        </w:trPr>
        <w:tc>
          <w:tcPr>
            <w:tcW w:type="dxa" w:w="3744"/>
          </w:tcPr>
          <w:p>
            <w:pPr>
              <w:spacing w:after="20" w:before="20"/>
            </w:pPr>
            <w:r>
              <w:rPr>
                <w:rFonts w:ascii="Calibri" w:hAnsi="Calibri" w:cs="Calibri"/>
                <w:b w:val="0"/>
                <w:sz w:val="20"/>
              </w:rPr>
              <w:t>Expected condition</w:t>
            </w:r>
          </w:p>
        </w:tc>
        <w:tc>
          <w:tcPr>
            <w:tcW w:type="dxa" w:w="6048"/>
          </w:tcPr>
          <w:p>
            <w:pPr>
              <w:spacing w:after="20" w:before="20"/>
            </w:pPr>
            <w:r>
              <w:rPr>
                <w:rFonts w:ascii="Calibri" w:hAnsi="Calibri" w:cs="Calibri"/>
                <w:b w:val="0"/>
                <w:sz w:val="20"/>
              </w:rPr>
              <w:t>No deliberately introduced medication-reconciliation or transition-of-care discrepancy</w:t>
            </w:r>
          </w:p>
        </w:tc>
      </w:tr>
    </w:tbl>
    <w:p>
      <w:pPr>
        <w:spacing w:after="40"/>
      </w:pPr>
    </w:p>
    <w:p>
      <w:pPr>
        <w:spacing w:after="120"/>
      </w:pPr>
      <w:r>
        <w:rPr>
          <w:rFonts w:ascii="Calibri" w:hAnsi="Calibri" w:cs="Calibri"/>
          <w:b w:val="0"/>
          <w:sz w:val="22"/>
        </w:rPr>
        <w:t>The reviewer should actively inspect this case for any unintended clinically meaningful discrepancy.</w:t>
      </w:r>
    </w:p>
    <w:p>
      <w:pPr>
        <w:pStyle w:val="Heading3"/>
      </w:pPr>
      <w:r>
        <w:rPr>
          <w:rFonts w:ascii="Calibri" w:hAnsi="Calibri"/>
          <w:color w:val="1F3A5F"/>
        </w:rPr>
        <w:t>Hidden reference discharge plan</w:t>
      </w:r>
    </w:p>
    <w:p>
      <w:pPr>
        <w:spacing w:after="120"/>
      </w:pPr>
      <w:r>
        <w:rPr>
          <w:rFonts w:ascii="Calibri" w:hAnsi="Calibri" w:cs="Calibri"/>
          <w:b w:val="0"/>
          <w:sz w:val="22"/>
        </w:rPr>
        <w:t>For clinician validation only — not shown to residents.</w:t>
      </w:r>
    </w:p>
    <w:tbl>
      <w:tblPr>
        <w:tblStyle w:val="TableGrid"/>
        <w:tblW w:type="dxa" w:w="9792"/>
        <w:tblLayout w:type="fixed"/>
        <w:tblLook w:firstColumn="1" w:firstRow="1" w:lastColumn="0" w:lastRow="0" w:noHBand="0" w:noVBand="1" w:val="04A0"/>
      </w:tblPr>
      <w:tblGrid>
        <w:gridCol w:w="1399"/>
        <w:gridCol w:w="1399"/>
        <w:gridCol w:w="1399"/>
        <w:gridCol w:w="1399"/>
        <w:gridCol w:w="1399"/>
        <w:gridCol w:w="1399"/>
        <w:gridCol w:w="1399"/>
      </w:tblGrid>
      <w:tr>
        <w:trPr>
          <w:tblHeader/>
          <w:cantSplit/>
        </w:trPr>
        <w:tc>
          <w:tcPr>
            <w:tcW w:type="dxa" w:w="187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Action</w:t>
            </w:r>
          </w:p>
        </w:tc>
        <w:tc>
          <w:tcPr>
            <w:tcW w:type="dxa" w:w="1008"/>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296"/>
            <w:shd w:val="clear" w:color="auto" w:fill="D9E2F3"/>
          </w:tcPr>
          <w:p>
            <w:pPr>
              <w:spacing w:after="20" w:before="20"/>
            </w:pPr>
            <w:r>
              <w:rPr>
                <w:rFonts w:ascii="Calibri" w:hAnsi="Calibri" w:cs="Calibri"/>
                <w:b/>
                <w:sz w:val="20"/>
              </w:rPr>
              <w:t>Frequency</w:t>
            </w:r>
          </w:p>
        </w:tc>
        <w:tc>
          <w:tcPr>
            <w:tcW w:type="dxa" w:w="1728"/>
            <w:shd w:val="clear" w:color="auto" w:fill="D9E2F3"/>
          </w:tcPr>
          <w:p>
            <w:pPr>
              <w:spacing w:after="20" w:before="20"/>
            </w:pPr>
            <w:r>
              <w:rPr>
                <w:rFonts w:ascii="Calibri" w:hAnsi="Calibri" w:cs="Calibri"/>
                <w:b/>
                <w:sz w:val="20"/>
              </w:rPr>
              <w:t>Indication</w:t>
            </w:r>
          </w:p>
        </w:tc>
        <w:tc>
          <w:tcPr>
            <w:tcW w:type="dxa" w:w="1728"/>
            <w:shd w:val="clear" w:color="auto" w:fill="D9E2F3"/>
          </w:tcPr>
          <w:p>
            <w:pPr>
              <w:spacing w:after="20" w:before="20"/>
            </w:pPr>
            <w:r>
              <w:rPr>
                <w:rFonts w:ascii="Calibri" w:hAnsi="Calibri" w:cs="Calibri"/>
                <w:b/>
                <w:sz w:val="20"/>
              </w:rPr>
              <w:t>Rationale</w:t>
            </w:r>
          </w:p>
        </w:tc>
      </w:tr>
      <w:tr>
        <w:trPr>
          <w:cantSplit/>
        </w:trPr>
        <w:tc>
          <w:tcPr>
            <w:tcW w:type="dxa" w:w="1872"/>
          </w:tcPr>
          <w:p>
            <w:pPr>
              <w:spacing w:after="20" w:before="20"/>
            </w:pPr>
            <w:r>
              <w:rPr>
                <w:rFonts w:ascii="Calibri" w:hAnsi="Calibri" w:cs="Calibri"/>
                <w:b w:val="0"/>
                <w:sz w:val="20"/>
              </w:rPr>
              <w:t>valganciclovir 450 MG Oral Tablet</w:t>
            </w:r>
          </w:p>
        </w:tc>
        <w:tc>
          <w:tcPr>
            <w:tcW w:type="dxa" w:w="1152"/>
          </w:tcPr>
          <w:p>
            <w:pPr>
              <w:spacing w:after="20" w:before="20"/>
            </w:pPr>
            <w:r>
              <w:rPr>
                <w:rFonts w:ascii="Calibri" w:hAnsi="Calibri" w:cs="Calibri"/>
                <w:b w:val="0"/>
                <w:sz w:val="20"/>
              </w:rPr>
              <w:t>start</w:t>
            </w:r>
          </w:p>
        </w:tc>
        <w:tc>
          <w:tcPr>
            <w:tcW w:type="dxa" w:w="1008"/>
          </w:tcPr>
          <w:p>
            <w:pPr>
              <w:spacing w:after="20" w:before="20"/>
            </w:pPr>
            <w:r>
              <w:rPr>
                <w:rFonts w:ascii="Calibri" w:hAnsi="Calibri" w:cs="Calibri"/>
                <w:b w:val="0"/>
                <w:sz w:val="20"/>
              </w:rPr>
              <w:t>900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Cytomegalovirus colitis, after a positive biopsy</w:t>
            </w:r>
          </w:p>
        </w:tc>
        <w:tc>
          <w:tcPr>
            <w:tcW w:type="dxa" w:w="1728"/>
          </w:tcPr>
          <w:p>
            <w:pPr>
              <w:spacing w:after="20" w:before="20"/>
            </w:pPr>
            <w:r>
              <w:rPr>
                <w:rFonts w:ascii="Calibri" w:hAnsi="Calibri" w:cs="Calibri"/>
                <w:b w:val="0"/>
                <w:sz w:val="20"/>
              </w:rPr>
              <w:t>Not a home medicine. Started after intravenous ganciclovir once the pharmacist recorded creatinine clearance above 60 mL/min. Induction dose, given as 450 mg tablets. Duration is rechecked with the viral load; it is not a completed course at discharge.</w:t>
            </w:r>
          </w:p>
        </w:tc>
      </w:tr>
      <w:tr>
        <w:trPr>
          <w:cantSplit/>
        </w:trPr>
        <w:tc>
          <w:tcPr>
            <w:tcW w:type="dxa" w:w="1872"/>
          </w:tcPr>
          <w:p>
            <w:pPr>
              <w:spacing w:after="20" w:before="20"/>
            </w:pPr>
            <w:r>
              <w:rPr>
                <w:rFonts w:ascii="Calibri" w:hAnsi="Calibri" w:cs="Calibri"/>
                <w:b w:val="0"/>
                <w:sz w:val="20"/>
              </w:rPr>
              <w:t>mycophenolate mofetil 500 MG Oral Tablet</w:t>
            </w:r>
          </w:p>
        </w:tc>
        <w:tc>
          <w:tcPr>
            <w:tcW w:type="dxa" w:w="1152"/>
          </w:tcPr>
          <w:p>
            <w:pPr>
              <w:spacing w:after="20" w:before="20"/>
            </w:pPr>
            <w:r>
              <w:rPr>
                <w:rFonts w:ascii="Calibri" w:hAnsi="Calibri" w:cs="Calibri"/>
                <w:b w:val="0"/>
                <w:sz w:val="20"/>
              </w:rPr>
              <w:t>hold</w:t>
            </w:r>
          </w:p>
        </w:tc>
        <w:tc>
          <w:tcPr>
            <w:tcW w:type="dxa" w:w="1008"/>
          </w:tcPr>
          <w:p>
            <w:pPr>
              <w:spacing w:after="20" w:before="20"/>
            </w:pPr>
            <w:r>
              <w:rPr>
                <w:rFonts w:ascii="Calibri" w:hAnsi="Calibri" w:cs="Calibri"/>
                <w:b w:val="0"/>
                <w:sz w:val="20"/>
              </w:rPr>
              <w:t>1000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twice daily</w:t>
            </w:r>
          </w:p>
        </w:tc>
        <w:tc>
          <w:tcPr>
            <w:tcW w:type="dxa" w:w="1728"/>
          </w:tcPr>
          <w:p>
            <w:pPr>
              <w:spacing w:after="20" w:before="20"/>
            </w:pPr>
            <w:r>
              <w:rPr>
                <w:rFonts w:ascii="Calibri" w:hAnsi="Calibri" w:cs="Calibri"/>
                <w:b w:val="0"/>
                <w:sz w:val="20"/>
              </w:rPr>
              <w:t>Kidney transplant status</w:t>
            </w:r>
          </w:p>
        </w:tc>
        <w:tc>
          <w:tcPr>
            <w:tcW w:type="dxa" w:w="1728"/>
          </w:tcPr>
          <w:p>
            <w:pPr>
              <w:spacing w:after="20" w:before="20"/>
            </w:pPr>
            <w:r>
              <w:rPr>
                <w:rFonts w:ascii="Calibri" w:hAnsi="Calibri" w:cs="Calibri"/>
                <w:b w:val="0"/>
                <w:sz w:val="20"/>
              </w:rPr>
              <w:t>Held after the biopsy established cytomegalovirus colitis. The transplant note says not to restart it at discharge and to reassess in 7 days.</w:t>
            </w:r>
          </w:p>
        </w:tc>
      </w:tr>
      <w:tr>
        <w:trPr>
          <w:cantSplit/>
        </w:trPr>
        <w:tc>
          <w:tcPr>
            <w:tcW w:type="dxa" w:w="1872"/>
          </w:tcPr>
          <w:p>
            <w:pPr>
              <w:spacing w:after="20" w:before="20"/>
            </w:pPr>
            <w:r>
              <w:rPr>
                <w:rFonts w:ascii="Calibri" w:hAnsi="Calibri" w:cs="Calibri"/>
                <w:b w:val="0"/>
                <w:sz w:val="20"/>
              </w:rPr>
              <w:t>BX Rating tacrolimus 1 MG Oral Capsule</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1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every 12 hours</w:t>
            </w:r>
          </w:p>
        </w:tc>
        <w:tc>
          <w:tcPr>
            <w:tcW w:type="dxa" w:w="1728"/>
          </w:tcPr>
          <w:p>
            <w:pPr>
              <w:spacing w:after="20" w:before="20"/>
            </w:pPr>
            <w:r>
              <w:rPr>
                <w:rFonts w:ascii="Calibri" w:hAnsi="Calibri" w:cs="Calibri"/>
                <w:b w:val="0"/>
                <w:sz w:val="20"/>
              </w:rPr>
              <w:t>Kidney transplant status</w:t>
            </w:r>
          </w:p>
        </w:tc>
        <w:tc>
          <w:tcPr>
            <w:tcW w:type="dxa" w:w="1728"/>
          </w:tcPr>
          <w:p>
            <w:pPr>
              <w:spacing w:after="20" w:before="20"/>
            </w:pPr>
            <w:r>
              <w:rPr>
                <w:rFonts w:ascii="Calibri" w:hAnsi="Calibri" w:cs="Calibri"/>
                <w:b w:val="0"/>
                <w:sz w:val="20"/>
              </w:rPr>
              <w:t>Discharge trough 6.5 ng/mL is inside the 5 to 8 ng/mL target written by transplant. The note says to continue 1 mg every 12 hours.</w:t>
            </w:r>
          </w:p>
        </w:tc>
      </w:tr>
      <w:tr>
        <w:trPr>
          <w:cantSplit/>
        </w:trPr>
        <w:tc>
          <w:tcPr>
            <w:tcW w:type="dxa" w:w="1872"/>
          </w:tcPr>
          <w:p>
            <w:pPr>
              <w:spacing w:after="20" w:before="20"/>
            </w:pPr>
            <w:r>
              <w:rPr>
                <w:rFonts w:ascii="Calibri" w:hAnsi="Calibri" w:cs="Calibri"/>
                <w:b w:val="0"/>
                <w:sz w:val="20"/>
              </w:rPr>
              <w:t>prednisone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Kidney transplant status</w:t>
            </w:r>
          </w:p>
        </w:tc>
        <w:tc>
          <w:tcPr>
            <w:tcW w:type="dxa" w:w="1728"/>
          </w:tcPr>
          <w:p>
            <w:pPr>
              <w:spacing w:after="20" w:before="20"/>
            </w:pPr>
            <w:r>
              <w:rPr>
                <w:rFonts w:ascii="Calibri" w:hAnsi="Calibri" w:cs="Calibri"/>
                <w:b w:val="0"/>
                <w:sz w:val="20"/>
              </w:rPr>
              <w:t>Home maintenance corticosteroid. Transplant says to continue it.</w:t>
            </w:r>
          </w:p>
        </w:tc>
      </w:tr>
      <w:tr>
        <w:trPr>
          <w:cantSplit/>
        </w:trPr>
        <w:tc>
          <w:tcPr>
            <w:tcW w:type="dxa" w:w="1872"/>
          </w:tcPr>
          <w:p>
            <w:pPr>
              <w:spacing w:after="20" w:before="20"/>
            </w:pPr>
            <w:r>
              <w:rPr>
                <w:rFonts w:ascii="Calibri" w:hAnsi="Calibri" w:cs="Calibri"/>
                <w:b w:val="0"/>
                <w:sz w:val="20"/>
              </w:rPr>
              <w:t>amlodipine 5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5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Essential (primary) hypertension</w:t>
            </w:r>
          </w:p>
        </w:tc>
        <w:tc>
          <w:tcPr>
            <w:tcW w:type="dxa" w:w="1728"/>
          </w:tcPr>
          <w:p>
            <w:pPr>
              <w:spacing w:after="20" w:before="20"/>
            </w:pPr>
            <w:r>
              <w:rPr>
                <w:rFonts w:ascii="Calibri" w:hAnsi="Calibri" w:cs="Calibri"/>
                <w:b w:val="0"/>
                <w:sz w:val="20"/>
              </w:rPr>
              <w:t>Home medicine continued. Discharge blood pressure is 128/76 mm Hg.</w:t>
            </w:r>
          </w:p>
        </w:tc>
      </w:tr>
      <w:tr>
        <w:trPr>
          <w:cantSplit/>
        </w:trPr>
        <w:tc>
          <w:tcPr>
            <w:tcW w:type="dxa" w:w="1872"/>
          </w:tcPr>
          <w:p>
            <w:pPr>
              <w:spacing w:after="20" w:before="20"/>
            </w:pPr>
            <w:r>
              <w:rPr>
                <w:rFonts w:ascii="Calibri" w:hAnsi="Calibri" w:cs="Calibri"/>
                <w:b w:val="0"/>
                <w:sz w:val="20"/>
              </w:rPr>
              <w:t>atorvastatin 40 MG Oral Tablet</w:t>
            </w:r>
          </w:p>
        </w:tc>
        <w:tc>
          <w:tcPr>
            <w:tcW w:type="dxa" w:w="1152"/>
          </w:tcPr>
          <w:p>
            <w:pPr>
              <w:spacing w:after="20" w:before="20"/>
            </w:pPr>
            <w:r>
              <w:rPr>
                <w:rFonts w:ascii="Calibri" w:hAnsi="Calibri" w:cs="Calibri"/>
                <w:b w:val="0"/>
                <w:sz w:val="20"/>
              </w:rPr>
              <w:t>continue</w:t>
            </w:r>
          </w:p>
        </w:tc>
        <w:tc>
          <w:tcPr>
            <w:tcW w:type="dxa" w:w="1008"/>
          </w:tcPr>
          <w:p>
            <w:pPr>
              <w:spacing w:after="20" w:before="20"/>
            </w:pPr>
            <w:r>
              <w:rPr>
                <w:rFonts w:ascii="Calibri" w:hAnsi="Calibri" w:cs="Calibri"/>
                <w:b w:val="0"/>
                <w:sz w:val="20"/>
              </w:rPr>
              <w:t>40 MG</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 daily</w:t>
            </w:r>
          </w:p>
        </w:tc>
        <w:tc>
          <w:tcPr>
            <w:tcW w:type="dxa" w:w="1728"/>
          </w:tcPr>
          <w:p>
            <w:pPr>
              <w:spacing w:after="20" w:before="20"/>
            </w:pPr>
            <w:r>
              <w:rPr>
                <w:rFonts w:ascii="Calibri" w:hAnsi="Calibri" w:cs="Calibri"/>
                <w:b w:val="0"/>
                <w:sz w:val="20"/>
              </w:rPr>
              <w:t>Mixed hyperlipidemia</w:t>
            </w:r>
          </w:p>
        </w:tc>
        <w:tc>
          <w:tcPr>
            <w:tcW w:type="dxa" w:w="1728"/>
          </w:tcPr>
          <w:p>
            <w:pPr>
              <w:spacing w:after="20" w:before="20"/>
            </w:pPr>
            <w:r>
              <w:rPr>
                <w:rFonts w:ascii="Calibri" w:hAnsi="Calibri" w:cs="Calibri"/>
                <w:b w:val="0"/>
                <w:sz w:val="20"/>
              </w:rPr>
              <w:t>Home medicine continued. No new contraindication is described.</w:t>
            </w:r>
          </w:p>
        </w:tc>
      </w:tr>
      <w:tr>
        <w:trPr>
          <w:cantSplit/>
        </w:trPr>
        <w:tc>
          <w:tcPr>
            <w:tcW w:type="dxa" w:w="1872"/>
          </w:tcPr>
          <w:p>
            <w:pPr>
              <w:spacing w:after="20" w:before="20"/>
            </w:pPr>
            <w:r>
              <w:rPr>
                <w:rFonts w:ascii="Calibri" w:hAnsi="Calibri" w:cs="Calibri"/>
                <w:b w:val="0"/>
                <w:sz w:val="20"/>
              </w:rPr>
              <w:t>ganciclovir injection</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330 MG</w:t>
            </w:r>
          </w:p>
        </w:tc>
        <w:tc>
          <w:tcPr>
            <w:tcW w:type="dxa" w:w="1008"/>
          </w:tcPr>
          <w:p>
            <w:pPr>
              <w:spacing w:after="20" w:before="20"/>
            </w:pPr>
            <w:r>
              <w:rPr>
                <w:rFonts w:ascii="Calibri" w:hAnsi="Calibri" w:cs="Calibri"/>
                <w:b w:val="0"/>
                <w:sz w:val="20"/>
              </w:rPr>
              <w:t>intravenous</w:t>
            </w:r>
          </w:p>
        </w:tc>
        <w:tc>
          <w:tcPr>
            <w:tcW w:type="dxa" w:w="1296"/>
          </w:tcPr>
          <w:p>
            <w:pPr>
              <w:spacing w:after="20" w:before="20"/>
            </w:pPr>
            <w:r>
              <w:rPr>
                <w:rFonts w:ascii="Calibri" w:hAnsi="Calibri" w:cs="Calibri"/>
                <w:b w:val="0"/>
                <w:sz w:val="20"/>
              </w:rPr>
              <w:t>every 12 hours</w:t>
            </w:r>
          </w:p>
        </w:tc>
        <w:tc>
          <w:tcPr>
            <w:tcW w:type="dxa" w:w="1728"/>
          </w:tcPr>
          <w:p>
            <w:pPr>
              <w:spacing w:after="20" w:before="20"/>
            </w:pPr>
            <w:r>
              <w:rPr>
                <w:rFonts w:ascii="Calibri" w:hAnsi="Calibri" w:cs="Calibri"/>
                <w:b w:val="0"/>
                <w:sz w:val="20"/>
              </w:rPr>
              <w:t>Cytomegalovirus colitis</w:t>
            </w:r>
          </w:p>
        </w:tc>
        <w:tc>
          <w:tcPr>
            <w:tcW w:type="dxa" w:w="1728"/>
          </w:tcPr>
          <w:p>
            <w:pPr>
              <w:spacing w:after="20" w:before="20"/>
            </w:pPr>
            <w:r>
              <w:rPr>
                <w:rFonts w:ascii="Calibri" w:hAnsi="Calibri" w:cs="Calibri"/>
                <w:b w:val="0"/>
                <w:sz w:val="20"/>
              </w:rPr>
              <w:t>Intravenous induction was stopped when oral valganciclovir began. It is not a discharge medicine.</w:t>
            </w:r>
          </w:p>
        </w:tc>
      </w:tr>
      <w:tr>
        <w:trPr>
          <w:cantSplit/>
        </w:trPr>
        <w:tc>
          <w:tcPr>
            <w:tcW w:type="dxa" w:w="1872"/>
          </w:tcPr>
          <w:p>
            <w:pPr>
              <w:spacing w:after="20" w:before="20"/>
            </w:pPr>
            <w:r>
              <w:rPr>
                <w:rFonts w:ascii="Calibri" w:hAnsi="Calibri" w:cs="Calibri"/>
                <w:b w:val="0"/>
                <w:sz w:val="20"/>
              </w:rPr>
              <w:t>potassium chloride</w:t>
            </w:r>
          </w:p>
        </w:tc>
        <w:tc>
          <w:tcPr>
            <w:tcW w:type="dxa" w:w="1152"/>
          </w:tcPr>
          <w:p>
            <w:pPr>
              <w:spacing w:after="20" w:before="20"/>
            </w:pPr>
            <w:r>
              <w:rPr>
                <w:rFonts w:ascii="Calibri" w:hAnsi="Calibri" w:cs="Calibri"/>
                <w:b w:val="0"/>
                <w:sz w:val="20"/>
              </w:rPr>
              <w:t>stop</w:t>
            </w:r>
          </w:p>
        </w:tc>
        <w:tc>
          <w:tcPr>
            <w:tcW w:type="dxa" w:w="1008"/>
          </w:tcPr>
          <w:p>
            <w:pPr>
              <w:spacing w:after="20" w:before="20"/>
            </w:pPr>
            <w:r>
              <w:rPr>
                <w:rFonts w:ascii="Calibri" w:hAnsi="Calibri" w:cs="Calibri"/>
                <w:b w:val="0"/>
                <w:sz w:val="20"/>
              </w:rPr>
              <w:t>40 MEQ</w:t>
            </w:r>
          </w:p>
        </w:tc>
        <w:tc>
          <w:tcPr>
            <w:tcW w:type="dxa" w:w="1008"/>
          </w:tcPr>
          <w:p>
            <w:pPr>
              <w:spacing w:after="20" w:before="20"/>
            </w:pPr>
            <w:r>
              <w:rPr>
                <w:rFonts w:ascii="Calibri" w:hAnsi="Calibri" w:cs="Calibri"/>
                <w:b w:val="0"/>
                <w:sz w:val="20"/>
              </w:rPr>
              <w:t>oral</w:t>
            </w:r>
          </w:p>
        </w:tc>
        <w:tc>
          <w:tcPr>
            <w:tcW w:type="dxa" w:w="1296"/>
          </w:tcPr>
          <w:p>
            <w:pPr>
              <w:spacing w:after="20" w:before="20"/>
            </w:pPr>
            <w:r>
              <w:rPr>
                <w:rFonts w:ascii="Calibri" w:hAnsi="Calibri" w:cs="Calibri"/>
                <w:b w:val="0"/>
                <w:sz w:val="20"/>
              </w:rPr>
              <w:t>once</w:t>
            </w:r>
          </w:p>
        </w:tc>
        <w:tc>
          <w:tcPr>
            <w:tcW w:type="dxa" w:w="1728"/>
          </w:tcPr>
          <w:p>
            <w:pPr>
              <w:spacing w:after="20" w:before="20"/>
            </w:pPr>
            <w:r>
              <w:rPr>
                <w:rFonts w:ascii="Calibri" w:hAnsi="Calibri" w:cs="Calibri"/>
                <w:b w:val="0"/>
                <w:sz w:val="20"/>
              </w:rPr>
              <w:t>Admission potassium 3.2 mmol/L</w:t>
            </w:r>
          </w:p>
        </w:tc>
        <w:tc>
          <w:tcPr>
            <w:tcW w:type="dxa" w:w="1728"/>
          </w:tcPr>
          <w:p>
            <w:pPr>
              <w:spacing w:after="20" w:before="20"/>
            </w:pPr>
            <w:r>
              <w:rPr>
                <w:rFonts w:ascii="Calibri" w:hAnsi="Calibri" w:cs="Calibri"/>
                <w:b w:val="0"/>
                <w:sz w:val="20"/>
              </w:rPr>
              <w:t>One replacement dose is described. Discharge potassium is 4.0 mmol/L and diarrhea has slowed, so no standing potassium is indicated.</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3168"/>
            <w:shd w:val="clear" w:color="auto" w:fill="D9E2F3"/>
          </w:tcPr>
          <w:p>
            <w:pPr>
              <w:spacing w:after="20" w:before="20"/>
            </w:pPr>
            <w:r>
              <w:rPr>
                <w:rFonts w:ascii="Calibri" w:hAnsi="Calibri" w:cs="Calibri"/>
                <w:b/>
                <w:sz w:val="20"/>
              </w:rPr>
              <w:t>Medication</w:t>
            </w:r>
          </w:p>
        </w:tc>
        <w:tc>
          <w:tcPr>
            <w:tcW w:type="dxa" w:w="3312"/>
            <w:shd w:val="clear" w:color="auto" w:fill="D9E2F3"/>
          </w:tcPr>
          <w:p>
            <w:pPr>
              <w:spacing w:after="20" w:before="20"/>
            </w:pPr>
            <w:r>
              <w:rPr>
                <w:rFonts w:ascii="Calibri" w:hAnsi="Calibri" w:cs="Calibri"/>
                <w:b/>
                <w:sz w:val="20"/>
              </w:rPr>
              <w:t>Monitoring</w:t>
            </w:r>
          </w:p>
        </w:tc>
        <w:tc>
          <w:tcPr>
            <w:tcW w:type="dxa" w:w="3312"/>
            <w:shd w:val="clear" w:color="auto" w:fill="D9E2F3"/>
          </w:tcPr>
          <w:p>
            <w:pPr>
              <w:spacing w:after="20" w:before="20"/>
            </w:pPr>
            <w:r>
              <w:rPr>
                <w:rFonts w:ascii="Calibri" w:hAnsi="Calibri" w:cs="Calibri"/>
                <w:b/>
                <w:sz w:val="20"/>
              </w:rPr>
              <w:t>Follow-up</w:t>
            </w:r>
          </w:p>
        </w:tc>
      </w:tr>
      <w:tr>
        <w:trPr>
          <w:cantSplit/>
        </w:trPr>
        <w:tc>
          <w:tcPr>
            <w:tcW w:type="dxa" w:w="3168"/>
          </w:tcPr>
          <w:p>
            <w:pPr>
              <w:spacing w:after="20" w:before="20"/>
            </w:pPr>
            <w:r>
              <w:rPr>
                <w:rFonts w:ascii="Calibri" w:hAnsi="Calibri" w:cs="Calibri"/>
                <w:b w:val="0"/>
                <w:sz w:val="20"/>
              </w:rPr>
              <w:t>valganciclovir 450 MG Oral Tablet</w:t>
            </w:r>
          </w:p>
        </w:tc>
        <w:tc>
          <w:tcPr>
            <w:tcW w:type="dxa" w:w="3312"/>
          </w:tcPr>
          <w:p>
            <w:pPr>
              <w:spacing w:after="20" w:before="20"/>
            </w:pPr>
            <w:r>
              <w:rPr>
                <w:rFonts w:ascii="Calibri" w:hAnsi="Calibri" w:cs="Calibri"/>
                <w:b w:val="0"/>
                <w:sz w:val="20"/>
              </w:rPr>
              <w:t>Blood count, creatinine, and plasma cytomegalovirus DNA.</w:t>
            </w:r>
          </w:p>
        </w:tc>
        <w:tc>
          <w:tcPr>
            <w:tcW w:type="dxa" w:w="3312"/>
          </w:tcPr>
          <w:p>
            <w:pPr>
              <w:spacing w:after="20" w:before="20"/>
            </w:pPr>
            <w:r>
              <w:rPr>
                <w:rFonts w:ascii="Calibri" w:hAnsi="Calibri" w:cs="Calibri"/>
                <w:b w:val="0"/>
                <w:sz w:val="20"/>
              </w:rPr>
            </w:r>
          </w:p>
        </w:tc>
      </w:tr>
    </w:tbl>
    <w:p>
      <w:pPr>
        <w:spacing w:after="40"/>
      </w:pPr>
    </w:p>
    <w:tbl>
      <w:tblPr>
        <w:tblStyle w:val="TableGrid"/>
        <w:tblW w:type="dxa" w:w="9792"/>
        <w:tblLayout w:type="fixed"/>
        <w:tblLook w:firstColumn="1" w:firstRow="1" w:lastColumn="0" w:lastRow="0" w:noHBand="0" w:noVBand="1" w:val="04A0"/>
      </w:tblPr>
      <w:tblGrid>
        <w:gridCol w:w="2448"/>
        <w:gridCol w:w="2448"/>
        <w:gridCol w:w="2448"/>
        <w:gridCol w:w="2448"/>
      </w:tblGrid>
      <w:tr>
        <w:trPr>
          <w:tblHeader/>
          <w:cantSplit/>
        </w:trPr>
        <w:tc>
          <w:tcPr>
            <w:tcW w:type="dxa" w:w="3168"/>
            <w:shd w:val="clear" w:color="auto" w:fill="D9E2F3"/>
          </w:tcPr>
          <w:p>
            <w:pPr>
              <w:spacing w:after="20" w:before="20"/>
            </w:pPr>
            <w:r>
              <w:rPr>
                <w:rFonts w:ascii="Calibri" w:hAnsi="Calibri" w:cs="Calibri"/>
                <w:b/>
                <w:sz w:val="20"/>
              </w:rPr>
              <w:t>Monitoring parameter</w:t>
            </w:r>
          </w:p>
        </w:tc>
        <w:tc>
          <w:tcPr>
            <w:tcW w:type="dxa" w:w="2592"/>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Target</w:t>
            </w:r>
          </w:p>
        </w:tc>
        <w:tc>
          <w:tcPr>
            <w:tcW w:type="dxa" w:w="1728"/>
            <w:shd w:val="clear" w:color="auto" w:fill="D9E2F3"/>
          </w:tcPr>
          <w:p>
            <w:pPr>
              <w:spacing w:after="20" w:before="20"/>
            </w:pPr>
            <w:r>
              <w:rPr>
                <w:rFonts w:ascii="Calibri" w:hAnsi="Calibri" w:cs="Calibri"/>
                <w:b/>
                <w:sz w:val="20"/>
              </w:rPr>
              <w:t>Duration</w:t>
            </w:r>
          </w:p>
        </w:tc>
      </w:tr>
      <w:tr>
        <w:trPr>
          <w:cantSplit/>
        </w:trPr>
        <w:tc>
          <w:tcPr>
            <w:tcW w:type="dxa" w:w="3168"/>
          </w:tcPr>
          <w:p>
            <w:pPr>
              <w:spacing w:after="20" w:before="20"/>
            </w:pPr>
            <w:r>
              <w:rPr>
                <w:rFonts w:ascii="Calibri" w:hAnsi="Calibri" w:cs="Calibri"/>
                <w:b w:val="0"/>
                <w:sz w:val="20"/>
              </w:rPr>
              <w:t>tacrolimus trough, serum creatinine, complete blood count, and plasma cytomegalovirus DNA</w:t>
            </w:r>
          </w:p>
        </w:tc>
        <w:tc>
          <w:tcPr>
            <w:tcW w:type="dxa" w:w="2592"/>
          </w:tcPr>
          <w:p>
            <w:pPr>
              <w:spacing w:after="20" w:before="20"/>
            </w:pPr>
            <w:r>
              <w:rPr>
                <w:rFonts w:ascii="Calibri" w:hAnsi="Calibri" w:cs="Calibri"/>
                <w:b w:val="0"/>
                <w:sz w:val="20"/>
              </w:rPr>
              <w:t>at the transplant visit in 7 days, sooner if diarrhea or fever returns</w:t>
            </w:r>
          </w:p>
        </w:tc>
        <w:tc>
          <w:tcPr>
            <w:tcW w:type="dxa" w:w="2304"/>
          </w:tcPr>
          <w:p>
            <w:pPr>
              <w:spacing w:after="20" w:before="20"/>
            </w:pPr>
            <w:r>
              <w:rPr>
                <w:rFonts w:ascii="Calibri" w:hAnsi="Calibri" w:cs="Calibri"/>
                <w:b w:val="0"/>
                <w:sz w:val="20"/>
              </w:rPr>
              <w:t>tacrolimus trough 5 to 8 ng/mL</w:t>
            </w:r>
          </w:p>
        </w:tc>
        <w:tc>
          <w:tcPr>
            <w:tcW w:type="dxa" w:w="1728"/>
          </w:tcPr>
          <w:p>
            <w:pPr>
              <w:spacing w:after="20" w:before="20"/>
            </w:pPr>
            <w:r>
              <w:rPr>
                <w:rFonts w:ascii="Calibri" w:hAnsi="Calibri" w:cs="Calibri"/>
                <w:b w:val="0"/>
                <w:sz w:val="20"/>
              </w:rPr>
              <w:t>through antiviral induction</w:t>
            </w:r>
          </w:p>
        </w:tc>
      </w:tr>
    </w:tbl>
    <w:p>
      <w:pPr>
        <w:spacing w:after="40"/>
      </w:pPr>
    </w:p>
    <w:tbl>
      <w:tblPr>
        <w:tblStyle w:val="TableGrid"/>
        <w:tblW w:type="dxa" w:w="9792"/>
        <w:tblLayout w:type="fixed"/>
        <w:tblLook w:firstColumn="1" w:firstRow="1" w:lastColumn="0" w:lastRow="0" w:noHBand="0" w:noVBand="1" w:val="04A0"/>
      </w:tblPr>
      <w:tblGrid>
        <w:gridCol w:w="3264"/>
        <w:gridCol w:w="3264"/>
        <w:gridCol w:w="3264"/>
      </w:tblGrid>
      <w:tr>
        <w:trPr>
          <w:tblHeader/>
          <w:cantSplit/>
        </w:trPr>
        <w:tc>
          <w:tcPr>
            <w:tcW w:type="dxa" w:w="4896"/>
            <w:shd w:val="clear" w:color="auto" w:fill="D9E2F3"/>
          </w:tcPr>
          <w:p>
            <w:pPr>
              <w:spacing w:after="20" w:before="20"/>
            </w:pPr>
            <w:r>
              <w:rPr>
                <w:rFonts w:ascii="Calibri" w:hAnsi="Calibri" w:cs="Calibri"/>
                <w:b/>
                <w:sz w:val="20"/>
              </w:rPr>
              <w:t>Follow-up</w:t>
            </w:r>
          </w:p>
        </w:tc>
        <w:tc>
          <w:tcPr>
            <w:tcW w:type="dxa" w:w="2304"/>
            <w:shd w:val="clear" w:color="auto" w:fill="D9E2F3"/>
          </w:tcPr>
          <w:p>
            <w:pPr>
              <w:spacing w:after="20" w:before="20"/>
            </w:pPr>
            <w:r>
              <w:rPr>
                <w:rFonts w:ascii="Calibri" w:hAnsi="Calibri" w:cs="Calibri"/>
                <w:b/>
                <w:sz w:val="20"/>
              </w:rPr>
              <w:t>Timing</w:t>
            </w:r>
          </w:p>
        </w:tc>
        <w:tc>
          <w:tcPr>
            <w:tcW w:type="dxa" w:w="2592"/>
            <w:shd w:val="clear" w:color="auto" w:fill="D9E2F3"/>
          </w:tcPr>
          <w:p>
            <w:pPr>
              <w:spacing w:after="20" w:before="20"/>
            </w:pPr>
            <w:r>
              <w:rPr>
                <w:rFonts w:ascii="Calibri" w:hAnsi="Calibri" w:cs="Calibri"/>
                <w:b/>
                <w:sz w:val="20"/>
              </w:rPr>
              <w:t>Service</w:t>
            </w:r>
          </w:p>
        </w:tc>
      </w:tr>
      <w:tr>
        <w:trPr>
          <w:cantSplit/>
        </w:trPr>
        <w:tc>
          <w:tcPr>
            <w:tcW w:type="dxa" w:w="4896"/>
          </w:tcPr>
          <w:p>
            <w:pPr>
              <w:spacing w:after="20" w:before="20"/>
            </w:pPr>
            <w:r>
              <w:rPr>
                <w:rFonts w:ascii="Calibri" w:hAnsi="Calibri" w:cs="Calibri"/>
                <w:b w:val="0"/>
                <w:sz w:val="20"/>
              </w:rPr>
              <w:t>Transplant clinic to review antiviral induction and whether mycophenolate can restart</w:t>
            </w:r>
          </w:p>
        </w:tc>
        <w:tc>
          <w:tcPr>
            <w:tcW w:type="dxa" w:w="2304"/>
          </w:tcPr>
          <w:p>
            <w:pPr>
              <w:spacing w:after="20" w:before="20"/>
            </w:pPr>
            <w:r>
              <w:rPr>
                <w:rFonts w:ascii="Calibri" w:hAnsi="Calibri" w:cs="Calibri"/>
                <w:b w:val="0"/>
                <w:sz w:val="20"/>
              </w:rPr>
              <w:t>7 days</w:t>
            </w:r>
          </w:p>
        </w:tc>
        <w:tc>
          <w:tcPr>
            <w:tcW w:type="dxa" w:w="2592"/>
          </w:tcPr>
          <w:p>
            <w:pPr>
              <w:spacing w:after="20" w:before="20"/>
            </w:pPr>
            <w:r>
              <w:rPr>
                <w:rFonts w:ascii="Calibri" w:hAnsi="Calibri" w:cs="Calibri"/>
                <w:b w:val="0"/>
                <w:sz w:val="20"/>
              </w:rPr>
              <w:t>transplant</w:t>
            </w:r>
          </w:p>
        </w:tc>
      </w:tr>
    </w:tbl>
    <w:p>
      <w:pPr>
        <w:spacing w:after="40"/>
      </w:pPr>
    </w:p>
    <w:p>
      <w:pPr>
        <w:pStyle w:val="Heading3"/>
      </w:pPr>
      <w:r>
        <w:rPr>
          <w:rFonts w:ascii="Calibri" w:hAnsi="Calibri"/>
          <w:color w:val="1F3A5F"/>
        </w:rPr>
        <w:t>C2 — Intended assessment problem</w:t>
      </w:r>
    </w:p>
    <w:p>
      <w:pPr>
        <w:spacing w:after="120"/>
      </w:pPr>
      <w:r>
        <w:rPr>
          <w:rFonts w:ascii="Calibri" w:hAnsi="Calibri" w:cs="Calibri"/>
          <w:b w:val="0"/>
          <w:sz w:val="22"/>
        </w:rPr>
        <w:t>Does this case appropriately contain no deliberately introduced medication-reconciliation or transition-of-care problem?</w:t>
      </w:r>
    </w:p>
    <w:p>
      <w:pPr>
        <w:keepLines/>
        <w:spacing w:before="80" w:after="160"/>
      </w:pPr>
      <w:sdt>
        <w:sdtPr>
          <w:rPr>
            <w:rFonts w:ascii="MS Gothic" w:hAnsi="MS Gothic" w:cs="MS Gothic" w:eastAsia="MS Gothic" w:hint="eastAsia"/>
            <w:sz w:val="28"/>
            <w:szCs w:val="28"/>
          </w:rPr>
          <w:alias w:val="C2 result"/>
          <w:tag w:val="c2-result"/>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2 result"/>
          <w:tag w:val="c2-result"/>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C2 reviewer comments</w:t>
            </w:r>
          </w:p>
          <w:sdt>
            <w:sdtPr>
              <w:alias w:val="C2 reviewer comments"/>
              <w:tag w:val="c2-comments"/>
              <w:id w:val="20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C3 — Detectability</w:t>
      </w:r>
    </w:p>
    <w:p>
      <w:pPr>
        <w:spacing w:after="120"/>
      </w:pPr>
      <w:r>
        <w:rPr>
          <w:rFonts w:ascii="Calibri" w:hAnsi="Calibri" w:cs="Calibri"/>
          <w:b w:val="0"/>
          <w:sz w:val="22"/>
        </w:rPr>
        <w:t>Does the case avoid misleading cues suggesting that an error must exist?</w:t>
      </w:r>
    </w:p>
    <w:p>
      <w:pPr>
        <w:keepLines/>
        <w:spacing w:before="80" w:after="160"/>
      </w:pPr>
      <w:sdt>
        <w:sdtPr>
          <w:rPr>
            <w:rFonts w:ascii="MS Gothic" w:hAnsi="MS Gothic" w:cs="MS Gothic" w:eastAsia="MS Gothic" w:hint="eastAsia"/>
            <w:sz w:val="28"/>
            <w:szCs w:val="28"/>
          </w:rPr>
          <w:alias w:val="C3 result"/>
          <w:tag w:val="c3-result"/>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3 result"/>
          <w:tag w:val="c3-result"/>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C3 reviewer comments</w:t>
            </w:r>
          </w:p>
          <w:sdt>
            <w:sdtPr>
              <w:alias w:val="C3 reviewer comments"/>
              <w:tag w:val="c3-comments"/>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C4 — Absence of unintended competing problems</w:t>
      </w:r>
    </w:p>
    <w:p>
      <w:pPr>
        <w:spacing w:after="120"/>
      </w:pPr>
      <w:r>
        <w:rPr>
          <w:rFonts w:ascii="Calibri" w:hAnsi="Calibri" w:cs="Calibri"/>
          <w:b w:val="0"/>
          <w:sz w:val="22"/>
        </w:rPr>
        <w:t>Does the case contain any clinically meaningful medication-reconciliation or transition-of-care problem that should not be present?</w:t>
      </w:r>
    </w:p>
    <w:p>
      <w:pPr>
        <w:keepLines/>
        <w:spacing w:before="80" w:after="160"/>
      </w:pPr>
      <w:sdt>
        <w:sdtPr>
          <w:rPr>
            <w:rFonts w:ascii="MS Gothic" w:hAnsi="MS Gothic" w:cs="MS Gothic" w:eastAsia="MS Gothic" w:hint="eastAsia"/>
            <w:sz w:val="28"/>
            <w:szCs w:val="28"/>
          </w:rPr>
          <w:alias w:val="C4 result"/>
          <w:tag w:val="c4-result"/>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r>
        <w:rPr>
          <w:rFonts w:ascii="Calibri" w:hAnsi="Calibri" w:cs="Calibri"/>
          <w:b w:val="0"/>
          <w:sz w:val="22"/>
        </w:rPr>
        <w:t xml:space="preserve">   </w:t>
      </w:r>
      <w:sdt>
        <w:sdtPr>
          <w:rPr>
            <w:rFonts w:ascii="MS Gothic" w:hAnsi="MS Gothic" w:cs="MS Gothic" w:eastAsia="MS Gothic" w:hint="eastAsia"/>
            <w:sz w:val="28"/>
            <w:szCs w:val="28"/>
          </w:rPr>
          <w:alias w:val="C4 result"/>
          <w:tag w:val="c4-result"/>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p>
      <w:pPr>
        <w:pStyle w:val="Heading3"/>
      </w:pPr>
      <w:r>
        <w:rPr>
          <w:rFonts w:ascii="Calibri" w:hAnsi="Calibri"/>
          <w:color w:val="1F3A5F"/>
        </w:rPr>
        <w:t>If C4 fails</w:t>
      </w:r>
    </w:p>
    <w:tbl>
      <w:tblPr>
        <w:tblStyle w:val="TableGrid"/>
        <w:tblW w:type="dxa" w:w="9792"/>
        <w:tblLayout w:type="fixed"/>
        <w:tblLook w:firstColumn="1" w:firstRow="1" w:lastColumn="0" w:lastRow="0" w:noHBand="0" w:noVBand="1" w:val="04A0"/>
      </w:tblPr>
      <w:tblGrid>
        <w:gridCol w:w="4896"/>
        <w:gridCol w:w="4896"/>
      </w:tblGrid>
      <w:tr>
        <w:trPr>
          <w:tblHeader/>
          <w:cantSplit/>
        </w:trPr>
        <w:tc>
          <w:tcPr>
            <w:tcW w:type="dxa" w:w="4032"/>
            <w:shd w:val="clear" w:color="auto" w:fill="D9E2F3"/>
          </w:tcPr>
          <w:p>
            <w:pPr>
              <w:spacing w:after="20" w:before="20"/>
            </w:pPr>
            <w:r>
              <w:rPr>
                <w:rFonts w:ascii="Calibri" w:hAnsi="Calibri" w:cs="Calibri"/>
                <w:b/>
                <w:sz w:val="20"/>
              </w:rPr>
              <w:t>Field</w:t>
            </w:r>
          </w:p>
        </w:tc>
        <w:tc>
          <w:tcPr>
            <w:tcW w:type="dxa" w:w="5760"/>
            <w:shd w:val="clear" w:color="auto" w:fill="D9E2F3"/>
          </w:tcPr>
          <w:p>
            <w:pPr>
              <w:spacing w:after="20" w:before="20"/>
            </w:pPr>
            <w:r>
              <w:rPr>
                <w:rFonts w:ascii="Calibri" w:hAnsi="Calibri" w:cs="Calibri"/>
                <w:b/>
                <w:sz w:val="20"/>
              </w:rPr>
              <w:t>Reviewer entry</w:t>
            </w:r>
          </w:p>
        </w:tc>
      </w:tr>
      <w:tr>
        <w:trPr>
          <w:cantSplit/>
        </w:trPr>
        <w:tc>
          <w:tcPr>
            <w:tcW w:type="dxa" w:w="4032"/>
          </w:tcPr>
          <w:p>
            <w:pPr>
              <w:spacing w:after="20" w:before="20"/>
            </w:pPr>
            <w:r>
              <w:rPr>
                <w:rFonts w:ascii="Calibri" w:hAnsi="Calibri" w:cs="Calibri"/>
                <w:b w:val="0"/>
                <w:sz w:val="20"/>
              </w:rPr>
              <w:t>Medication / clinical issue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Where it appears in the case</w:t>
            </w:r>
          </w:p>
        </w:tc>
        <w:tc>
          <w:tcPr>
            <w:tcW w:type="dxa" w:w="5760"/>
          </w:tcPr>
          <w:p>
            <w:pPr>
              <w:spacing w:after="20" w:before="20"/>
            </w:pPr>
            <w:r>
              <w:rPr>
                <w:rFonts w:ascii="Calibri" w:hAnsi="Calibri" w:cs="Calibri"/>
                <w:b w:val="0"/>
                <w:sz w:val="20"/>
              </w:rPr>
            </w:r>
          </w:p>
        </w:tc>
      </w:tr>
      <w:tr>
        <w:trPr>
          <w:cantSplit/>
        </w:trPr>
        <w:tc>
          <w:tcPr>
            <w:tcW w:type="dxa" w:w="4032"/>
          </w:tcPr>
          <w:p>
            <w:pPr>
              <w:spacing w:after="20" w:before="20"/>
            </w:pPr>
            <w:r>
              <w:rPr>
                <w:rFonts w:ascii="Calibri" w:hAnsi="Calibri" w:cs="Calibri"/>
                <w:b w:val="0"/>
                <w:sz w:val="20"/>
              </w:rPr>
              <w:t>Why it is clinically meaningful</w:t>
            </w:r>
          </w:p>
        </w:tc>
        <w:tc>
          <w:tcPr>
            <w:tcW w:type="dxa" w:w="5760"/>
          </w:tcPr>
          <w:p>
            <w:pPr>
              <w:spacing w:after="20" w:before="20"/>
            </w:pPr>
            <w:r>
              <w:rPr>
                <w:rFonts w:ascii="Calibri" w:hAnsi="Calibri" w:cs="Calibri"/>
                <w:b w:val="0"/>
                <w:sz w:val="20"/>
              </w:rPr>
            </w:r>
          </w:p>
        </w:tc>
      </w:tr>
    </w:tbl>
    <w:p>
      <w:pPr>
        <w:spacing w:after="40"/>
      </w:pPr>
    </w:p>
    <w:tbl>
      <w:tblPr>
        <w:tblStyle w:val="TableGrid"/>
        <w:tblW w:type="auto" w:w="0"/>
        <w:tblLook w:firstColumn="1" w:firstRow="1" w:lastColumn="0" w:lastRow="0" w:noHBand="0" w:noVBand="1" w:val="04A0"/>
      </w:tblPr>
      <w:tblGrid>
        <w:gridCol w:w="9792"/>
      </w:tblGrid>
      <w:tr>
        <w:trPr>
          <w:trHeight w:val="1440" w:hRule="atLeast"/>
          <w:cantSplit/>
        </w:trPr>
        <w:tc>
          <w:tcPr>
            <w:tcW w:type="dxa" w:w="9792"/>
          </w:tcPr>
          <w:p>
            <w:r/>
            <w:r>
              <w:rPr>
                <w:rFonts w:ascii="Calibri" w:hAnsi="Calibri" w:cs="Calibri"/>
                <w:b/>
                <w:sz w:val="22"/>
              </w:rPr>
              <w:t>C4 reviewer comments</w:t>
            </w:r>
          </w:p>
          <w:sdt>
            <w:sdtPr>
              <w:alias w:val="C4 reviewer comments"/>
              <w:tag w:val="c4-comments"/>
              <w:id w:val="21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sdtContent>
          </w:sdt>
        </w:tc>
      </w:tr>
    </w:tbl>
    <w:p>
      <w:pPr>
        <w:spacing w:after="80"/>
      </w:pPr>
    </w:p>
    <w:p>
      <w:pPr>
        <w:pStyle w:val="Heading3"/>
      </w:pPr>
      <w:r>
        <w:rPr>
          <w:rFonts w:ascii="Calibri" w:hAnsi="Calibri"/>
          <w:color w:val="1F3A5F"/>
        </w:rPr>
        <w:t>C5 — Expected learner difficulty</w:t>
      </w:r>
    </w:p>
    <w:p>
      <w:pPr>
        <w:spacing w:after="120"/>
      </w:pPr>
      <w:r>
        <w:rPr>
          <w:rFonts w:ascii="Calibri" w:hAnsi="Calibri" w:cs="Calibri"/>
          <w:b w:val="0"/>
          <w:sz w:val="22"/>
        </w:rPr>
        <w:t>This is an expert estimate only. Actual difficulty will ultimately be determined from resident performance.</w:t>
      </w:r>
    </w:p>
    <w:p>
      <w:pPr>
        <w:keepLines/>
        <w:spacing w:before="80" w:after="160"/>
      </w:pPr>
      <w:sdt>
        <w:sdtPr>
          <w:rPr>
            <w:rFonts w:ascii="MS Gothic" w:hAnsi="MS Gothic" w:cs="MS Gothic" w:eastAsia="MS Gothic" w:hint="eastAsia"/>
            <w:sz w:val="28"/>
            <w:szCs w:val="28"/>
          </w:rPr>
          <w:alias w:val="C5 difficulty"/>
          <w:tag w:val="c5-difficulty"/>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r>
        <w:rPr>
          <w:rFonts w:ascii="Calibri" w:hAnsi="Calibri" w:cs="Calibri"/>
          <w:b w:val="0"/>
          <w:sz w:val="22"/>
        </w:rPr>
        <w:t xml:space="preserve">   </w:t>
      </w:r>
      <w:sdt>
        <w:sdtPr>
          <w:rPr>
            <w:rFonts w:ascii="MS Gothic" w:hAnsi="MS Gothic" w:cs="MS Gothic" w:eastAsia="MS Gothic" w:hint="eastAsia"/>
            <w:sz w:val="28"/>
            <w:szCs w:val="28"/>
          </w:rPr>
          <w:alias w:val="C5 difficulty"/>
          <w:tag w:val="c5-difficulty"/>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 outlier</w:t>
      </w:r>
    </w:p>
    <w:tbl>
      <w:tblPr>
        <w:tblStyle w:val="TableGrid"/>
        <w:tblW w:type="auto" w:w="0"/>
        <w:tblLook w:firstColumn="1" w:firstRow="1" w:lastColumn="0" w:lastRow="0" w:noHBand="0" w:noVBand="1" w:val="04A0"/>
      </w:tblPr>
      <w:tblGrid>
        <w:gridCol w:w="9792"/>
      </w:tblGrid>
      <w:tr>
        <w:trPr>
          <w:trHeight w:val="1080" w:hRule="atLeast"/>
          <w:cantSplit/>
        </w:trPr>
        <w:tc>
          <w:tcPr>
            <w:tcW w:type="dxa" w:w="9792"/>
          </w:tcPr>
          <w:p>
            <w:r/>
            <w:r>
              <w:rPr>
                <w:rFonts w:ascii="Calibri" w:hAnsi="Calibri" w:cs="Calibri"/>
                <w:b/>
                <w:sz w:val="22"/>
              </w:rPr>
              <w:t>C5 reviewer comments</w:t>
            </w:r>
          </w:p>
          <w:sdt>
            <w:sdtPr>
              <w:alias w:val="C5 reviewer comments"/>
              <w:tag w:val="c5-comments"/>
              <w:id w:val="2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Overall recommendation</w:t>
      </w:r>
    </w:p>
    <w:p>
      <w:pPr>
        <w:spacing w:after="120"/>
      </w:pPr>
      <w:r>
        <w:rPr>
          <w:rFonts w:ascii="Calibri" w:hAnsi="Calibri" w:cs="Calibri"/>
          <w:b w:val="0"/>
          <w:sz w:val="22"/>
        </w:rPr>
        <w:t>Accept: the case is suitable for use without clinically meaningful revision.</w:t>
      </w:r>
    </w:p>
    <w:p>
      <w:pPr>
        <w:spacing w:after="120"/>
      </w:pPr>
      <w:r>
        <w:rPr>
          <w:rFonts w:ascii="Calibri" w:hAnsi="Calibri" w:cs="Calibri"/>
          <w:b w:val="0"/>
          <w:sz w:val="22"/>
        </w:rPr>
        <w:t>Revise: the case requires one or more changes before it should be used.</w:t>
      </w:r>
    </w:p>
    <w:p>
      <w:pPr>
        <w:spacing w:after="120"/>
      </w:pPr>
      <w:r>
        <w:rPr>
          <w:rFonts w:ascii="Calibri" w:hAnsi="Calibri" w:cs="Calibri"/>
          <w:b w:val="0"/>
          <w:sz w:val="22"/>
        </w:rPr>
        <w:t>Exclude: the case should not be used, because its problems cannot be reasonably corrected without substantially reconstructing it.</w:t>
      </w:r>
    </w:p>
    <w:p>
      <w:pPr>
        <w:keepLines/>
        <w:spacing w:before="80" w:after="160"/>
      </w:pPr>
      <w:sdt>
        <w:sdtPr>
          <w:rPr>
            <w:rFonts w:ascii="MS Gothic" w:hAnsi="MS Gothic" w:cs="MS Gothic" w:eastAsia="MS Gothic" w:hint="eastAsia"/>
            <w:sz w:val="28"/>
            <w:szCs w:val="28"/>
          </w:rPr>
          <w:alias w:val="Overall recommendation"/>
          <w:tag w:val="recommendation"/>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r>
        <w:rPr>
          <w:rFonts w:ascii="Calibri" w:hAnsi="Calibri" w:cs="Calibri"/>
          <w:b w:val="0"/>
          <w:sz w:val="22"/>
        </w:rPr>
        <w:t xml:space="preserve">   </w:t>
      </w:r>
      <w:sdt>
        <w:sdtPr>
          <w:rPr>
            <w:rFonts w:ascii="MS Gothic" w:hAnsi="MS Gothic" w:cs="MS Gothic" w:eastAsia="MS Gothic" w:hint="eastAsia"/>
            <w:sz w:val="28"/>
            <w:szCs w:val="28"/>
          </w:rPr>
          <w:alias w:val="Overall recommendation"/>
          <w:tag w:val="recommendation"/>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bl>
      <w:tblPr>
        <w:tblStyle w:val="TableGrid"/>
        <w:tblW w:type="auto" w:w="0"/>
        <w:tblLook w:firstColumn="1" w:firstRow="1" w:lastColumn="0" w:lastRow="0" w:noHBand="0" w:noVBand="1" w:val="04A0"/>
      </w:tblPr>
      <w:tblGrid>
        <w:gridCol w:w="9792"/>
      </w:tblGrid>
      <w:tr>
        <w:trPr>
          <w:trHeight w:val="2160" w:hRule="atLeast"/>
          <w:cantSplit/>
        </w:trPr>
        <w:tc>
          <w:tcPr>
            <w:tcW w:type="dxa" w:w="9792"/>
          </w:tcPr>
          <w:p>
            <w:r/>
            <w:r>
              <w:rPr>
                <w:rFonts w:ascii="Calibri" w:hAnsi="Calibri" w:cs="Calibri"/>
                <w:b/>
                <w:sz w:val="22"/>
              </w:rPr>
              <w:t>Overall comments / suggested revisions</w:t>
            </w:r>
          </w:p>
          <w:sdt>
            <w:sdtPr>
              <w:alias w:val="Overall comments / suggested revisions"/>
              <w:tag w:val="overall-comments"/>
              <w:id w:val="22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p>
                <w:r>
                  <w:t xml:space="preserve"> </w:t>
                </w:r>
              </w:p>
              <w:p>
                <w:r>
                  <w:t xml:space="preserve"> </w:t>
                </w:r>
              </w:p>
              <w:p>
                <w:r>
                  <w:t xml:space="preserve"> </w:t>
                </w:r>
              </w:p>
            </w:sdtContent>
          </w:sdt>
        </w:tc>
      </w:tr>
    </w:tbl>
    <w:p>
      <w:pPr>
        <w:spacing w:after="80"/>
      </w:pPr>
    </w:p>
    <w:p>
      <w:pPr>
        <w:spacing w:after="120"/>
      </w:pPr>
      <w:r>
        <w:rPr>
          <w:rFonts w:ascii="Calibri" w:hAnsi="Calibri" w:cs="Calibri"/>
          <w:b w:val="0"/>
          <w:sz w:val="22"/>
        </w:rPr>
        <w:t xml:space="preserve">Reviewer initials/code: </w:t>
      </w:r>
      <w:sdt>
        <w:sdtPr>
          <w:rPr>
            <w:rFonts w:ascii="Calibri" w:hAnsi="Calibri" w:cs="Calibri"/>
            <w:sz w:val="22"/>
            <w:szCs w:val="22"/>
            <w:u w:val="single"/>
          </w:rPr>
          <w:alias w:val="Reviewer initials or code"/>
          <w:tag w:val="reviewer-initials"/>
          <w:id w:val="22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spacing w:after="120"/>
      </w:pPr>
      <w:r>
        <w:rPr>
          <w:rFonts w:ascii="Calibri" w:hAnsi="Calibri" w:cs="Calibri"/>
          <w:b w:val="0"/>
          <w:sz w:val="22"/>
        </w:rPr>
        <w:t xml:space="preserve">Date: </w:t>
      </w:r>
      <w:sdt>
        <w:sdtPr>
          <w:rPr>
            <w:rFonts w:ascii="Calibri" w:hAnsi="Calibri" w:cs="Calibri"/>
            <w:sz w:val="22"/>
            <w:szCs w:val="22"/>
            <w:u w:val="single"/>
          </w:rPr>
          <w:alias w:val="Date"/>
          <w:tag w:val="case-date"/>
          <w:id w:val="222"/>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sectPr w:rsidR="00FC693F" w:rsidRPr="0006063C" w:rsidSect="00034616">
      <w:headerReference w:type="default" r:id="rId13"/>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revised overlap cases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revised overlap cases    VAL-801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revised overlap cases    VAL-805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revised overlap cases    VAL-809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cs="Calibri"/>
        <w:b w:val="0"/>
        <w:color w:val="1F3A5F"/>
        <w:sz w:val="18"/>
      </w:rPr>
      <w:t>CliniProof revised overlap cases    VAL-813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CliniProof revised overlap cases</dc:title>
  <dc:subject/>
  <dc:creator/>
  <cp:keywords/>
  <dc:description/>
  <cp:lastModifiedBy/>
  <cp:revision>1</cp:revision>
  <dcterms:created xsi:type="dcterms:W3CDTF">2013-12-23T23:15:00Z</dcterms:created>
  <dcterms:modified xsi:type="dcterms:W3CDTF">2013-12-23T23:15:00Z</dcterms:modified>
  <cp:category/>
  <dc:identifier/>
</cp:coreProperties>
</file>