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Generation 2 clinical validation</w:t>
      </w:r>
    </w:p>
    <w:p>
      <w:pPr>
        <w:spacing w:after="120"/>
      </w:pPr>
      <w:r>
        <w:rPr>
          <w:rFonts w:ascii="Calibri" w:hAnsi="Calibri" w:cs="Calibri"/>
          <w:b w:val="0"/>
          <w:sz w:val="22"/>
        </w:rPr>
        <w:t>Cohort: Generation 2, G2-001–G2-024.</w:t>
      </w:r>
    </w:p>
    <w:p>
      <w:pPr>
        <w:spacing w:after="120"/>
      </w:pPr>
      <w:r>
        <w:rPr>
          <w:rFonts w:ascii="Calibri" w:hAnsi="Calibri" w:cs="Calibri"/>
          <w:b w:val="0"/>
          <w:sz w:val="22"/>
        </w:rPr>
        <w:t>These cases are synthetic. They have passed automated checks. They are not clinically validated.</w:t>
      </w:r>
    </w:p>
    <w:p>
      <w:pPr>
        <w:spacing w:after="120"/>
      </w:pPr>
      <w:r>
        <w:rPr>
          <w:rFonts w:ascii="Calibri" w:hAnsi="Calibri" w:cs="Calibri"/>
          <w:b w:val="0"/>
          <w:sz w:val="22"/>
        </w:rPr>
        <w:t>G2 identifiers are candidate identifiers, not frozen VAL study identifiers.</w:t>
      </w:r>
    </w:p>
    <w:p>
      <w:pPr>
        <w:spacing w:after="120"/>
      </w:pPr>
      <w:r>
        <w:rPr>
          <w:rFonts w:ascii="Calibri" w:hAnsi="Calibri" w:cs="Calibri"/>
          <w:b w:val="0"/>
          <w:sz w:val="22"/>
        </w:rPr>
        <w:t>Status: pending clinician review. These cases are not clinically validated.</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spacing w:after="120"/>
      </w:pPr>
      <w:r>
        <w:rPr>
          <w:rFonts w:ascii="Calibri" w:hAnsi="Calibri" w:cs="Calibri"/>
          <w:b w:val="0"/>
          <w:sz w:val="22"/>
        </w:rPr>
        <w:t>Every case in this book is a clean case. C2 uses the clean-case question. There is no planted medication-reconciliation discrepancy.</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CliniProof_Synthea_G2_[ReviewerCode]_[YYYY-MM-DD].docx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G2-001, G2-002, G2-003, G2-004, G2-005, G2-006, G2-007, G2-008, G2-009, G2-010, G2-011, G2-012, G2-013, G2-014, G2-015, G2-016, G2-017, G2-018, G2-019, G2-020, G2-021, G2-022, G2-023, G2-024</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with a urine infection found during the work-up</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acute confusion with a urine infection found during the work-up</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and dysuria</w:t>
      </w:r>
    </w:p>
    <w:p>
      <w:pPr>
        <w:pStyle w:val="ListBullet"/>
        <w:spacing w:after="40" w:before="0"/>
      </w:pPr>
      <w:r>
        <w:rPr>
          <w:rFonts w:ascii="Calibri" w:hAnsi="Calibri" w:cs="Calibri"/>
          <w:b/>
          <w:sz w:val="22"/>
        </w:rPr>
        <w:t xml:space="preserve">Symptoms: </w:t>
      </w:r>
      <w:r>
        <w:rPr>
          <w:rFonts w:ascii="Calibri" w:hAnsi="Calibri" w:cs="Calibri"/>
          <w:b w:val="0"/>
          <w:sz w:val="22"/>
        </w:rPr>
        <w:t>confusion, dysuria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24 HR metoprolol succinate 100 MG Extended Release Oral Tablet; aspirin 81 MG Oral Tablet; metoprolol tartrate 25 MG Oral Tablet; Ibuprofen 400 MG Oral Tablet [Ibu]; lisinopril 10 MG Oral Tablet. The patient was newly disoriented to place. The caregiver said the patient had been conversant the day before. Dysuria and frequency began the same day as the confusion. No antibiotic had been started at home. Temperature was 37.8 degrees Celsius. The patient was inattentive and suprapubic tenderness was present.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Has a criminal record (finding), Osteoarthritis of knee (disorder), Essential hypertension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Osteoarthritis of knee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 site not 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Urinalysis showed pyuria. A urine culture later grew Escherichia coli. Blood cultures were drawn and showed no growth. The chest radiograph was clear. Delirium was attributed to the urine infection only after the urinalysis and culture. The infection was not a label on arrival. A five-day cephalexin course was completed in the hospital after the culture result. Intravenous fluid was given while intake was poor. Creatinine went from 1.6 mg/dL to 1.1 mg/dL, with a prior value of 1.0. Dysuria resolved and the caregiver confirmed the usual mental status. Cephalexin was a completed course. Outpatient medicines that the pharmacy confirmed were separated from any medicine stopped for a clinical reason.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8.1</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cephalexin</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completed_inpatient_course; Indication: cystitis after the urine culture grew Escherichia coli; Note: The finite course was completed. It is not an outpatient maintenance medicine.</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cephalexin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cystitis after the urine culture grew Escherichia coli</w:t>
            </w:r>
          </w:p>
        </w:tc>
        <w:tc>
          <w:tcPr>
            <w:tcW w:type="dxa" w:w="1728"/>
          </w:tcPr>
          <w:p>
            <w:pPr>
              <w:spacing w:after="20" w:before="20"/>
            </w:pPr>
            <w:r>
              <w:rPr>
                <w:rFonts w:ascii="Calibri" w:hAnsi="Calibri" w:cs="Calibri"/>
                <w:b w:val="0"/>
                <w:sz w:val="20"/>
              </w:rPr>
              <w:t>The course is complete and the precipitant has responded, so the antibiotic stops.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metoprolol tartrate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cephalexin</w:t>
            </w:r>
          </w:p>
        </w:tc>
        <w:tc>
          <w:tcPr>
            <w:tcW w:type="dxa" w:w="3312"/>
          </w:tcPr>
          <w:p>
            <w:pPr>
              <w:spacing w:after="20" w:before="20"/>
            </w:pPr>
            <w:r>
              <w:rPr>
                <w:rFonts w:ascii="Calibri" w:hAnsi="Calibri" w:cs="Calibri"/>
                <w:b w:val="0"/>
                <w:sz w:val="20"/>
              </w:rPr>
              <w:t>No extended antibiotic monitoring.</w:t>
            </w:r>
          </w:p>
        </w:tc>
        <w:tc>
          <w:tcPr>
            <w:tcW w:type="dxa" w:w="3312"/>
          </w:tcPr>
          <w:p>
            <w:pPr>
              <w:spacing w:after="20" w:before="20"/>
            </w:pPr>
            <w:r>
              <w:rPr>
                <w:rFonts w:ascii="Calibri" w:hAnsi="Calibri" w:cs="Calibri"/>
                <w:b w:val="0"/>
                <w:sz w:val="20"/>
              </w:rPr>
              <w:t>Return for recurrent fever or urinary symptoms.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that reversed after volume was restored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acute confusion that reversed after volume was restored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after poor intake</w:t>
      </w:r>
    </w:p>
    <w:p>
      <w:pPr>
        <w:pStyle w:val="ListBullet"/>
        <w:spacing w:after="40" w:before="0"/>
      </w:pPr>
      <w:r>
        <w:rPr>
          <w:rFonts w:ascii="Calibri" w:hAnsi="Calibri" w:cs="Calibri"/>
          <w:b/>
          <w:sz w:val="22"/>
        </w:rPr>
        <w:t xml:space="preserve">Symptoms: </w:t>
      </w:r>
      <w:r>
        <w:rPr>
          <w:rFonts w:ascii="Calibri" w:hAnsi="Calibri" w:cs="Calibri"/>
          <w:b w:val="0"/>
          <w:sz w:val="22"/>
        </w:rPr>
        <w:t>confusion, poor intake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Hydrochlorothiazide 25 MG Oral Tablet; Ibuprofen 400 MG Oral Tablet [Ibu]; lisinopril 10 MG Oral Tablet; amLODIPine 2.5 MG Oral Tablet. Family said the patient was inattentive and newly unable to recognize them. That was a change from the baseline described above. Intake had been only sips for two days after a viral illness. There was no head trauma and no witnessed seizure. On arrival the patient was inattentive, the mucous membranes were dry, and the heart rate was 108.</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Hydrochlorothiazide 25 MG Oral Tablet; Ibuprofen 400 MG Oral Tablet [Ibu]; lisinopril 10 MG Oral Tablet; amLODIPine 2.5 MG Oral Tablet. Family said the patient was inattentive and newly unable to recognize them. That was a change from the baseline described above. Intake had been only sips for two days after a viral illness. There was no head trauma and no witnessed seizure. On arrival the patient was inattentive, the mucous membranes were dry, and the heart rate was 108.</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Body mass index 30+ - obesity (finding), Loss of teeth (disorder)</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Loss of teeth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Dehydration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Chemistry, a complete blood count, and a chest radiograph were obtained before a cause was assigned. The radiograph did not show pneumonia. The examination did not show a focal neurologic deficit. Delirium due to dehydration was diagnosed after that evaluation. The chart does not describe delirium as the patient's baseline. Intravenous fluid was given. Medicines that reduce blood pressure or renal perfusion were reviewed against the creatinine. Creatinine went from 1.6 mg/dL on arrival to 1.1 mg/dL, against a prior value of 1.0. Attention returned, and the caregiver said this matched the patient's usual function. The reconciliation table separates a medicine that was intentionally stopped from medicines that were only unknown on arrival and were later confirmed by the pharmacy.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 rise in creatinine during dehydration; Note: Intentionally stopped for a rise in creatinine during dehydration. Distinguished from medicines that were only unknown at arrival.</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 rise in creatinine during dehydration; Note: Intentionally stopped for a rise in creatinine during dehydration. Distinguished from medicines that were only unknown at arrival.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intentionally stopped</w:t>
      </w:r>
    </w:p>
    <w:p>
      <w:pPr>
        <w:pStyle w:val="Heading3"/>
      </w:pPr>
      <w:r>
        <w:rPr>
          <w:rFonts w:ascii="Calibri" w:hAnsi="Calibri"/>
          <w:color w:val="1F3A5F"/>
        </w:rPr>
        <w:t>Reconciliation notes</w:t>
      </w:r>
    </w:p>
    <w:p>
      <w:pPr>
        <w:spacing w:after="120"/>
      </w:pPr>
      <w:r>
        <w:rPr>
          <w:rFonts w:ascii="Calibri" w:hAnsi="Calibri" w:cs="Calibri"/>
          <w:b w:val="0"/>
          <w:sz w:val="22"/>
        </w:rPr>
        <w:t>Stopped on purpose because of a rise in creatinine during dehydration. This was not an unknown medicine.</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 rise in creatinine during dehydration</w:t>
            </w:r>
          </w:p>
        </w:tc>
        <w:tc>
          <w:tcPr>
            <w:tcW w:type="dxa" w:w="1728"/>
          </w:tcPr>
          <w:p>
            <w:pPr>
              <w:spacing w:after="20" w:before="20"/>
            </w:pPr>
            <w:r>
              <w:rPr>
                <w:rFonts w:ascii="Calibri" w:hAnsi="Calibri" w:cs="Calibri"/>
                <w:b w:val="0"/>
                <w:sz w:val="20"/>
              </w:rPr>
              <w:t>Stopping remains supported by a rise in creatinine during dehydration and by the response after it was held.</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No further monitoring of the stopped medicine.</w:t>
            </w:r>
          </w:p>
        </w:tc>
        <w:tc>
          <w:tcPr>
            <w:tcW w:type="dxa" w:w="3312"/>
          </w:tcPr>
          <w:p>
            <w:pPr>
              <w:spacing w:after="20" w:before="20"/>
            </w:pPr>
            <w:r>
              <w:rPr>
                <w:rFonts w:ascii="Calibri" w:hAnsi="Calibri" w:cs="Calibri"/>
                <w:b w:val="0"/>
                <w:sz w:val="20"/>
              </w:rPr>
              <w:t>Do not resume it unless the original reason has been reconsidered.</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96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82.9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hyponatremia with thiazide use, distinguished from an unknown medicine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96-year-old Male with hyponatremia with thiazide use, distinguished from an unknown medicine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and a low sodium</w:t>
      </w:r>
    </w:p>
    <w:p>
      <w:pPr>
        <w:pStyle w:val="ListBullet"/>
        <w:spacing w:after="40" w:before="0"/>
      </w:pPr>
      <w:r>
        <w:rPr>
          <w:rFonts w:ascii="Calibri" w:hAnsi="Calibri" w:cs="Calibri"/>
          <w:b/>
          <w:sz w:val="22"/>
        </w:rPr>
        <w:t xml:space="preserve">Symptoms: </w:t>
      </w:r>
      <w:r>
        <w:rPr>
          <w:rFonts w:ascii="Calibri" w:hAnsi="Calibri" w:cs="Calibri"/>
          <w:b w:val="0"/>
          <w:sz w:val="22"/>
        </w:rPr>
        <w:t>confusion, unsteady gait</w:t>
      </w:r>
    </w:p>
    <w:p>
      <w:pPr>
        <w:pStyle w:val="ListBullet"/>
        <w:spacing w:after="40" w:before="0"/>
      </w:pPr>
      <w:r>
        <w:rPr>
          <w:rFonts w:ascii="Calibri" w:hAnsi="Calibri" w:cs="Calibri"/>
          <w:b/>
          <w:sz w:val="22"/>
        </w:rPr>
        <w:t xml:space="preserve">Symptom duration: </w:t>
      </w:r>
      <w:r>
        <w:rPr>
          <w:rFonts w:ascii="Calibri" w:hAnsi="Calibri" w:cs="Calibri"/>
          <w:b w:val="0"/>
          <w:sz w:val="22"/>
        </w:rPr>
        <w:t>four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a dementia diagnosis. The caregiver's account of baseline was recognition of family and the ability to hold a conversation. Outpatient products in the longitudinal extract: 24 HR metoprolol succinate 100 MG Extended Release Oral Tablet; Hydrochlorothiazide 25 MG Oral Tablet; 24 HR tacrolimus 1 MG Extended Release Oral Tablet [Envarsus]; lisinopril 10 MG Oral Tablet; amLODIPine 2.5 MG Oral Tablet. The patient became unsteady and mildly confused over four days. Baseline function, per the caregiver, was independent walking and full orientation. Hydrochlorothiazide was still being taken. No diarrhea or diuretic overdose was described. Sodium on arrival was 128 mmol/L. The patient was euvolemic on examination and inattentive.</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a dementia diagnosis. The caregiver's account of baseline was recognition of family and the ability to hold a conversation. Outpatient products in the longitudinal extract: 24 HR metoprolol succinate 100 MG Extended Release Oral Tablet; Hydrochlorothiazide 25 MG Oral Tablet; 24 HR tacrolimus 1 MG Extended Release Oral Tablet [Envarsus]; lisinopril 10 MG Oral Tablet; amLODIPine 2.5 MG Oral Tablet. The patient became unsteady and mildly confused over four days. Baseline function, per the caregiver, was independent walking and full orientation. Hydrochlorothiazide was still being taken. No diarrhea or diuretic overdose was described. Sodium on arrival was 128 mmol/L. The patient was euvolemic on examination and inattentive.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sinusitis (disorder), Serving in military service (finding), Received higher education (finding), Has a criminal record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Serving in military service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Hypo-osmolality and hyponatremia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Repeat sodium, creatinine, and a chest radiograph were obtained before the thiazide was blamed. The radiograph was clear and the patient was not volume overloaded. Hypo-osmolality and hyponatremia were established from the sodium result. The thiazide was the implicated medicine after other causes were not found. Hydrochlorothiazide was stopped on purpose. Isotonic fluid was given. This stop was intentional and was not an incomplete history. Sodium rose from 128 mmol/L to 134 mmol/L. Creatinine was 1.0 mg/dL compared with 1.1 on arrival and 1.0 beforehand. Gait and attention returned to the caregiver's baseline. Hydrochlorothiazide was intentionally discontinued. A separate outpatient medicine was unknown at arrival and was confirmed by the pharmacy rather than stopped.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128</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hyponatremia; Note: Intentionally stopped for hyponatremia. Distinguished from medicines that were only unknown at arrival.</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hyponatremia; Note: Intentionally stopped for hyponatremia. Distinguished from medicines that were only unknown at arrival.</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intentionally stopped</w:t>
      </w:r>
    </w:p>
    <w:p>
      <w:pPr>
        <w:pStyle w:val="Heading3"/>
      </w:pPr>
      <w:r>
        <w:rPr>
          <w:rFonts w:ascii="Calibri" w:hAnsi="Calibri"/>
          <w:color w:val="1F3A5F"/>
        </w:rPr>
        <w:t>Reconciliation notes</w:t>
      </w:r>
    </w:p>
    <w:p>
      <w:pPr>
        <w:spacing w:after="120"/>
      </w:pPr>
      <w:r>
        <w:rPr>
          <w:rFonts w:ascii="Calibri" w:hAnsi="Calibri" w:cs="Calibri"/>
          <w:b w:val="0"/>
          <w:sz w:val="22"/>
        </w:rPr>
        <w:t>Stopped on purpose because of hyponatremia. This was not an unknown medicine.</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hyponatremia</w:t>
            </w:r>
          </w:p>
        </w:tc>
        <w:tc>
          <w:tcPr>
            <w:tcW w:type="dxa" w:w="1728"/>
          </w:tcPr>
          <w:p>
            <w:pPr>
              <w:spacing w:after="20" w:before="20"/>
            </w:pPr>
            <w:r>
              <w:rPr>
                <w:rFonts w:ascii="Calibri" w:hAnsi="Calibri" w:cs="Calibri"/>
                <w:b w:val="0"/>
                <w:sz w:val="20"/>
              </w:rPr>
              <w:t>Stopping remains supported by hyponatremia and by the response after it was held.</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tacrolimus 1 MG Extended Release Oral Tablet [Envarsus]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No further monitoring of the stopped medicine.</w:t>
            </w:r>
          </w:p>
        </w:tc>
        <w:tc>
          <w:tcPr>
            <w:tcW w:type="dxa" w:w="3312"/>
          </w:tcPr>
          <w:p>
            <w:pPr>
              <w:spacing w:after="20" w:before="20"/>
            </w:pPr>
            <w:r>
              <w:rPr>
                <w:rFonts w:ascii="Calibri" w:hAnsi="Calibri" w:cs="Calibri"/>
                <w:b w:val="0"/>
                <w:sz w:val="20"/>
              </w:rPr>
              <w:t>Do not resume it unless the original reason has been reconsidered.</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101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69.1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confusion with pneumonia found on the chest radiograph</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101-year-old Female with acute confusion with pneumonia found on the chest radiograph</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Acute confusion and cough</w:t>
      </w:r>
    </w:p>
    <w:p>
      <w:pPr>
        <w:pStyle w:val="ListBullet"/>
        <w:spacing w:after="40" w:before="0"/>
      </w:pPr>
      <w:r>
        <w:rPr>
          <w:rFonts w:ascii="Calibri" w:hAnsi="Calibri" w:cs="Calibri"/>
          <w:b/>
          <w:sz w:val="22"/>
        </w:rPr>
        <w:t xml:space="preserve">Symptoms: </w:t>
      </w:r>
      <w:r>
        <w:rPr>
          <w:rFonts w:ascii="Calibri" w:hAnsi="Calibri" w:cs="Calibri"/>
          <w:b w:val="0"/>
          <w:sz w:val="22"/>
        </w:rPr>
        <w:t>confusion, cough</w:t>
      </w:r>
    </w:p>
    <w:p>
      <w:pPr>
        <w:pStyle w:val="ListBullet"/>
        <w:spacing w:after="40" w:before="0"/>
      </w:pPr>
      <w:r>
        <w:rPr>
          <w:rFonts w:ascii="Calibri" w:hAnsi="Calibri" w:cs="Calibri"/>
          <w:b/>
          <w:sz w:val="22"/>
        </w:rPr>
        <w:t xml:space="preserve">Symptom duration: </w:t>
      </w:r>
      <w:r>
        <w:rPr>
          <w:rFonts w:ascii="Calibri" w:hAnsi="Calibri" w:cs="Calibri"/>
          <w:b w:val="0"/>
          <w:sz w:val="22"/>
        </w:rPr>
        <w:t>three days</w:t>
      </w:r>
    </w:p>
    <w:p>
      <w:pPr>
        <w:pStyle w:val="ListBullet"/>
        <w:spacing w:after="40" w:before="0"/>
      </w:pPr>
      <w:r>
        <w:rPr>
          <w:rFonts w:ascii="Calibri" w:hAnsi="Calibri" w:cs="Calibri"/>
          <w:b/>
          <w:sz w:val="22"/>
        </w:rPr>
        <w:t xml:space="preserve">Symptom course: </w:t>
      </w:r>
      <w:r>
        <w:rPr>
          <w:rFonts w:ascii="Calibri" w:hAnsi="Calibri" w:cs="Calibri"/>
          <w:b w:val="0"/>
          <w:sz w:val="22"/>
        </w:rPr>
        <w:t>the acute change reversed after the precipitant was treated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aspirin 81 MG Oral Tablet; atorvastatin 20 MG Oral Tablet; 24 HR metoprolol succinate 100 MG Extended Release Oral Tablet; Ibuprofen 400 MG Oral Tablet [Ibu]. Confusion appeared over one day after three days of cough. The patient had been oriented at a visit the prior week. Purulent cough preceded the confusion. Temperature was 36.9 degrees Celsius, so the diagnosis did not depend on fever. Oxygen saturation was 94 percent. There were focal crackles at the right base and new inattention.</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dementia. Before this illness the patient handled daily activities and recognized family. Outpatient products in the longitudinal extract: aspirin 81 MG Oral Tablet; atorvastatin 20 MG Oral Tablet; 24 HR metoprolol succinate 100 MG Extended Release Oral Tablet; Ibuprofen 400 MG Oral Tablet [Ibu]. Confusion appeared over one day after three days of cough. The patient had been oriented at a visit the prior week. Purulent cough preceded the confusion. Temperature was 36.9 degrees Celsius, so the diagnosis did not depend on fever. Oxygen saturation was 94 percent. There were focal crackles at the right base and new inattention.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Housing unsatisfactory (finding), Educated to high school level (finding), Body mass index 30+ - obesity (finding), Prediabetes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Pneumonia, unspecified organism</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a right-lower-lobe infiltrate. Blood cultures showed no growth. Chemistry did not show a primary metabolic cause. Pneumonia, and delirium due to that infection, were diagnosed after the radiograph. Neither label was the presenting diagnosis. Azithromycin was given for the infiltrate and the course was completed before discharge planning. Oxygen was weaned to room air. Cough and inattention resolved. Creatinine was 1.0 mg/dL at discharge planning, admission 1.1, prior 1.0. The caregiver agreed this was the usual mental status. The antibiotic course is finished. The outpatient list was confirmed with the pharmacy and is not the same thing as a medicine that was deliberately stopped. Attention and intake had returned to the caregiver's account of baseline, and the outpatient medication history was no longer incomplete. The discharge medication list itself was still unsigned. Primary care follow-up and a chemistry panel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36.9</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13.4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8.1</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atorvastatin</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atorvastatin</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azithromycin</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a lobar infiltrate with cough; Note: The finite course was completed. It is not an outpatient maintenance medicine.</w:t>
            </w:r>
          </w:p>
        </w:tc>
      </w:tr>
      <w:tr>
        <w:trPr>
          <w:cantSplit/>
        </w:trPr>
        <w:tc>
          <w:tcPr>
            <w:tcW w:type="dxa" w:w="3384"/>
          </w:tcPr>
          <w:p>
            <w:pPr>
              <w:spacing w:after="20" w:before="20"/>
            </w:pPr>
            <w:r>
              <w:rPr>
                <w:rFonts w:ascii="Calibri" w:hAnsi="Calibri" w:cs="Calibri"/>
                <w:b w:val="0"/>
                <w:sz w:val="20"/>
              </w:rPr>
              <w:t>ibuprofen</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confirmed outpatient indication;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confirmed after initial uncertainty</w:t>
      </w:r>
    </w:p>
    <w:p>
      <w:pPr>
        <w:pStyle w:val="Heading3"/>
      </w:pPr>
      <w:r>
        <w:rPr>
          <w:rFonts w:ascii="Calibri" w:hAnsi="Calibri"/>
          <w:color w:val="1F3A5F"/>
        </w:rPr>
        <w:t>Reconciliation notes</w:t>
      </w:r>
    </w:p>
    <w:p>
      <w:pPr>
        <w:spacing w:after="120"/>
      </w:pPr>
      <w:r>
        <w:rPr>
          <w:rFonts w:ascii="Calibri" w:hAnsi="Calibri" w:cs="Calibri"/>
          <w:b w:val="0"/>
          <w:sz w:val="22"/>
        </w:rPr>
        <w:t>Not recalled on arrival. The pharmacy dispense record confirmed ongoing fills.</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creatinine and electrolytes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azithromycin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 lobar infiltrate with cough</w:t>
            </w:r>
          </w:p>
        </w:tc>
        <w:tc>
          <w:tcPr>
            <w:tcW w:type="dxa" w:w="1728"/>
          </w:tcPr>
          <w:p>
            <w:pPr>
              <w:spacing w:after="20" w:before="20"/>
            </w:pPr>
            <w:r>
              <w:rPr>
                <w:rFonts w:ascii="Calibri" w:hAnsi="Calibri" w:cs="Calibri"/>
                <w:b w:val="0"/>
                <w:sz w:val="20"/>
              </w:rPr>
              <w:t>The course is complete and the precipitant has responded, so the antibiotic stops.</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atorvastatin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atorvastatin 20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ibuprofen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confirmed outpatient indication</w:t>
            </w:r>
          </w:p>
        </w:tc>
        <w:tc>
          <w:tcPr>
            <w:tcW w:type="dxa" w:w="1728"/>
          </w:tcPr>
          <w:p>
            <w:pPr>
              <w:spacing w:after="20" w:before="20"/>
            </w:pPr>
            <w:r>
              <w:rPr>
                <w:rFonts w:ascii="Calibri" w:hAnsi="Calibri" w:cs="Calibri"/>
                <w:b w:val="0"/>
                <w:sz w:val="20"/>
              </w:rPr>
              <w:t>Ibuprofen 400 MG Oral Tablet [Ibu]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azithromycin</w:t>
            </w:r>
          </w:p>
        </w:tc>
        <w:tc>
          <w:tcPr>
            <w:tcW w:type="dxa" w:w="3312"/>
          </w:tcPr>
          <w:p>
            <w:pPr>
              <w:spacing w:after="20" w:before="20"/>
            </w:pPr>
            <w:r>
              <w:rPr>
                <w:rFonts w:ascii="Calibri" w:hAnsi="Calibri" w:cs="Calibri"/>
                <w:b w:val="0"/>
                <w:sz w:val="20"/>
              </w:rPr>
              <w:t>No extended antibiotic monitoring.</w:t>
            </w:r>
          </w:p>
        </w:tc>
        <w:tc>
          <w:tcPr>
            <w:tcW w:type="dxa" w:w="3312"/>
          </w:tcPr>
          <w:p>
            <w:pPr>
              <w:spacing w:after="20" w:before="20"/>
            </w:pPr>
            <w:r>
              <w:rPr>
                <w:rFonts w:ascii="Calibri" w:hAnsi="Calibri" w:cs="Calibri"/>
                <w:b w:val="0"/>
                <w:sz w:val="20"/>
              </w:rPr>
              <w:t>Return for recurrent fever or urinary symptoms.</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atorvastatin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ibuprofen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82.2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67-year-old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lisinopril 10 MG Oral Tablet; amLODIPine 2.5 MG Oral Tablet. No pre-admission creatinine was in the extracted record. The first creatinine used as the pre-treatment baseline was 1.0 mg/dL. The most recent longitudinal weight was 82.2 kg. Over five days dyspnea progressed from exertion to conversation, orthopnea required three pillows, and both legs became swollen. Those symptoms were not the patient's usual state. The patient stopped several home cardiovascular medicines ten days ago because the pharmacy refill was unaffordable. Diet and cardiac rhythm were unchanged. On arrival the weight was 87.7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sinusitis (disorder), Housing unsatisfactory (finding), Educated to high school level (finding), Body mass index 30+ - obesity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There was no focal infiltrate. A transthoracic echocardiogram, obtained after the radiograph, showed reduced left-ventricular systolic function and a congested filling pattern. The numeric ejection fraction was estimated at 30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83.0 kg, oxygen saturation was 96 percent on room air, the respiratory rate was 16, and the patient could lie flat. Creatinine was 1.0 mg/dL after a peak of 1.1.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87.7</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30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76.5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78-year-old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0.8 mg/dL. The most recent longitudinal weight was 76.5 kg. Over five days dyspnea progressed from exertion to conversation, orthopnea required three pillows, and both legs became swollen. Those symptoms were not the patient's usual state. The patient described three days of restaurant meals and missed the oral diuretic on those days. There was no fever, chest pain, or new palpitation. On arrival the weight was 82.0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0.8 mg/dL. The most recent longitudinal weight was 76.5 kg. Over five days dyspnea progressed from exertion to conversation, orthopnea required three pillows, and both legs became swollen. Those symptoms were not the patient's usual state. The patient described three days of restaurant meals and missed the oral diuretic on those days. There was no fever, chest pain, or new palpitation. On arrival the weight was 82.0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Sleep disorder (disorder), Sleep apnea (disorder), Essential hypertension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Sleep disorder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Sleep apnea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and the electrocardiogram was sinus rhythm without ST-segment elevation. A transthoracic echocardiogram, obtained after the radiograph, showed reduced left-ventricular systolic function and a congested filling pattern. The numeric ejection fraction was estimated at 35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Home lisinopril 10 MG Oral Tablet was held on hospital day 1 because creatinine rose from 0.8 to 1.5 mg/dL. It had not been given again when discharge planning began. By hospital day 4 the weight was 77.3 kg, oxygen saturation was 96 percent on room air, the respiratory rate was 16, and the patient could lie flat. Creatinine was 0.9 mg/dL after a peak of 1.7.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82.0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77.3</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chronic cardiovascular therapy recorded before this admission; Note: Held after the creatinine rise. Still held at discharge planning, when creatinine was 0.9 mg/dL, potassium was 4.3 mmol/L, and blood pressure was 124/72.</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chronic cardiovascular therapy recorded before this admission; Held reason: Held after the creatinine rise. Still held at discharge planning, when creatinine was 0.9 mg/dL, potassium was 4.3 mmol/L, and blood pressure was 124/72.; Note: Held after the creatinine rise. Still held at discharge planning, when creatinine was 0.9 mg/dL, potassium was 4.3 mmol/L, and blood pressure was 124/72.</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35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chronic cardiovascular therapy recorded before this admission</w:t>
            </w:r>
          </w:p>
        </w:tc>
        <w:tc>
          <w:tcPr>
            <w:tcW w:type="dxa" w:w="1728"/>
          </w:tcPr>
          <w:p>
            <w:pPr>
              <w:spacing w:after="20" w:before="20"/>
            </w:pPr>
            <w:r>
              <w:rPr>
                <w:rFonts w:ascii="Calibri" w:hAnsi="Calibri" w:cs="Calibri"/>
                <w:b w:val="0"/>
                <w:sz w:val="20"/>
              </w:rPr>
              <w:t>Restart is supported by the home indication, recovery of creatinine from its peak, an acceptable potassium, and a stable blood pressure. The chart does not show a signed restart.</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warfarin sodium 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VAL-806</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91.6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Hydrochlorothiazide 25 MG Oral Tablet; amLODIPine 2.5 MG Oral Tablet. No pre-admission creatinine was in the extracted record. The first creatinine used as the pre-treatment baseline was 0.8 mg/dL. The most recent longitudinal weight was 91.6 kg. Over five days dyspnea progressed from exertion to conversation, orthopnea required three pillows, and both legs became swollen. Those symptoms were not the patient's usual state. Telemetry after arrival showed atrial fibrillation with a ventricular rate of 138. The longitudinal extract did not list atrial fibrillation, so this rhythm was new. On arrival the weight was 97.1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Hydrochlorothiazide 25 MG Oral Tablet; amLODIPine 2.5 MG Oral Tablet. No pre-admission creatinine was in the extracted record. The first creatinine used as the pre-treatment baseline was 0.8 mg/dL. The most recent longitudinal weight was 91.6 kg. Over five days dyspnea progressed from exertion to conversation, orthopnea required three pillows, and both legs became swollen. Those symptoms were not the patient's usual state. Telemetry after arrival showed atrial fibrillation with a ventricular rate of 138. The longitudinal extract did not list atrial fibrillation, so this rhythm was new. On arrival the weight was 97.1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Body mass index 30+ - obesity (finding), Prediabetes (finding), Anemia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arguing against an acute coronary occlusion as the cause. A transthoracic echocardiogram, obtained after the radiograph, showed reduced left-ventricular systolic function and a congested filling pattern. The numeric ejection fraction was estimated at 40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92.4 kg, oxygen saturation was 96 percent on room air, the respiratory rate was 16, and the patient could lie flat. Creatinine was 0.8 mg/dL after a peak of 0.9.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150/90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138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97.1</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92.4</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atrial fibrillation with a rapid ventricular rate; Note: Started for the rapid ventricular rate. The rate was 74 at discharge planning and blood pressure remained 124/72.</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40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atrial fibrillation with a rapid ventricular rate</w:t>
            </w:r>
          </w:p>
        </w:tc>
        <w:tc>
          <w:tcPr>
            <w:tcW w:type="dxa" w:w="1728"/>
          </w:tcPr>
          <w:p>
            <w:pPr>
              <w:spacing w:after="20" w:before="20"/>
            </w:pPr>
            <w:r>
              <w:rPr>
                <w:rFonts w:ascii="Calibri" w:hAnsi="Calibri" w:cs="Calibri"/>
                <w:b w:val="0"/>
                <w:sz w:val="20"/>
              </w:rPr>
              <w:t>Continuing a once-daily beta blocker is supported by new atrial fibrillation, a rate that came down on treatment, and a blood pressure that tolerated it.</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Heart rate and blood pressure at follow-up.</w:t>
            </w:r>
          </w:p>
        </w:tc>
        <w:tc>
          <w:tcPr>
            <w:tcW w:type="dxa" w:w="3312"/>
          </w:tcPr>
          <w:p>
            <w:pPr>
              <w:spacing w:after="20" w:before="20"/>
            </w:pPr>
            <w:r>
              <w:rPr>
                <w:rFonts w:ascii="Calibri" w:hAnsi="Calibri" w:cs="Calibri"/>
                <w:b w:val="0"/>
                <w:sz w:val="20"/>
              </w:rPr>
              <w:t>Cardiology within 7 days.</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VAL-807</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91.4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new pulmonary edema with heart failure established during the stay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new pulmonary edema with heart failure established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Progressive dyspnea, orthopnea, and leg swelling</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leg edema</w:t>
      </w:r>
    </w:p>
    <w:p>
      <w:pPr>
        <w:pStyle w:val="ListBullet"/>
        <w:spacing w:after="40" w:before="0"/>
      </w:pPr>
      <w:r>
        <w:rPr>
          <w:rFonts w:ascii="Calibri" w:hAnsi="Calibri" w:cs="Calibri"/>
          <w:b/>
          <w:sz w:val="22"/>
        </w:rPr>
        <w:t xml:space="preserve">Symptom duration: </w:t>
      </w:r>
      <w:r>
        <w:rPr>
          <w:rFonts w:ascii="Calibri" w:hAnsi="Calibri" w:cs="Calibri"/>
          <w:b w:val="0"/>
          <w:sz w:val="22"/>
        </w:rPr>
        <w:t>five days</w:t>
      </w:r>
    </w:p>
    <w:p>
      <w:pPr>
        <w:pStyle w:val="ListBullet"/>
        <w:spacing w:after="40" w:before="0"/>
      </w:pPr>
      <w:r>
        <w:rPr>
          <w:rFonts w:ascii="Calibri" w:hAnsi="Calibri" w:cs="Calibri"/>
          <w:b/>
          <w:sz w:val="22"/>
        </w:rPr>
        <w:t xml:space="preserve">Symptom course: </w:t>
      </w:r>
      <w:r>
        <w:rPr>
          <w:rFonts w:ascii="Calibri" w:hAnsi="Calibri" w:cs="Calibri"/>
          <w:b w:val="0"/>
          <w:sz w:val="22"/>
        </w:rPr>
        <w:t>worse until diuresis, then returned toward the pre-admission baseline</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1.0 mg/dL. The most recent longitudinal weight was 91.4 kg. Over five days dyspnea progressed from exertion to conversation, orthopnea required three pillows, and both legs became swollen. Those symptoms were not the patient's usual state. The patient missed two days of the home antihypertensive medicine. Arrival blood pressure was 186/104, with no focal neurologic deficit and no chest pain. On arrival the weight was 96.9 kg, oxygen saturation was 91 percent on room air, the respiratory rate was 26, the jugular venous pressure was elevated, and crackles were present halfway up both lung fields. There was pitting edema to the knees.</w:t>
      </w:r>
    </w:p>
    <w:p>
      <w:pPr>
        <w:pStyle w:val="Heading3"/>
      </w:pPr>
      <w:r>
        <w:rPr>
          <w:rFonts w:ascii="Calibri" w:hAnsi="Calibri"/>
          <w:color w:val="1F3A5F"/>
        </w:rPr>
        <w:t>Admission note</w:t>
      </w:r>
    </w:p>
    <w:p>
      <w:pPr>
        <w:spacing w:after="120"/>
      </w:pPr>
      <w:r>
        <w:rPr>
          <w:rFonts w:ascii="Calibri" w:hAnsi="Calibri" w:cs="Calibri"/>
          <w:b w:val="0"/>
          <w:sz w:val="22"/>
        </w:rPr>
        <w:t>The longitudinal record does not list heart failure. Cardiovascular disease and cardiac medication are present. Outpatient products in the longitudinal extract: 24 HR metoprolol succinate 100 MG Extended Release Oral Tablet; warfarin sodium 5 MG Oral Tablet; lisinopril 10 MG Oral Tablet. No pre-admission creatinine was in the extracted record. The first creatinine used as the pre-treatment baseline was 1.0 mg/dL. The most recent longitudinal weight was 91.4 kg. Over five days dyspnea progressed from exertion to conversation, orthopnea required three pillows, and both legs became swollen. Those symptoms were not the patient's usual state. The patient missed two days of the home antihypertensive medicine. Arrival blood pressure was 186/104, with no focal neurologic deficit and no chest pain. On arrival the weight was 96.9 kg, oxygen saturation was 91 percent on room air, the respiratory rate was 26, the jugular venous pressure was elevated, and crackles were present halfway up both lung fields. There was pitting edema to the knees.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Housing unsatisfactory (finding), Received higher education (finding), Prediabetes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chest radiograph showed pulmonary edema. Natriuretic peptide B was elevated. Troponin I remained 0.01 ng/mL and the electrocardiogram did not show infarction. A transthoracic echocardiogram, obtained after the radiograph, showed reduced left-ventricular systolic function and a congested filling pattern. The numeric ejection fraction was estimated at 45 percent. Those findings established Acute systolic (congestive) heart failure. The diagnosis was not used as the presenting label before the examination, radiograph, natriuretic peptide, and echocardiogram. No loop diuretic was in the longitudinal extract. Intravenous furosemide was begun for congestion and then converted to oral furosemide 40 MG daily. Daily weights and net fluid output were recorded. No angiotensin-converting enzyme inhibitor or angiotensin-receptor blocker from a curated regimen was held. By hospital day 4 the weight was 92.2 kg, oxygen saturation was 96 percent on room air, the respiratory rate was 16, and the patient could lie flat. Creatinine was 1.0 mg/dL after a peak of 1.1. Potassium was 4.3 mmol/L. Dyspnea had returned to the pre-admission baseline rather than merely being called improved. The patient was walking on the ward, eating, and without resting dyspnea or new chest pain. The unsigned task is the discharge medication plan, not another day of intravenous diuresis. Heart-failure clinic follow-up and a chemistry panel were arranged. Home weight monitoring was requested.</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diuresis</w:t>
            </w:r>
          </w:p>
        </w:tc>
        <w:tc>
          <w:tcPr>
            <w:tcW w:type="dxa" w:w="1958"/>
          </w:tcPr>
          <w:p>
            <w:pPr>
              <w:spacing w:after="20" w:before="20"/>
            </w:pPr>
            <w:r>
              <w:rPr>
                <w:rFonts w:ascii="Calibri" w:hAnsi="Calibri" w:cs="Calibri"/>
                <w:b w:val="0"/>
                <w:sz w:val="20"/>
              </w:rPr>
              <w:t>8000</w:t>
            </w:r>
          </w:p>
        </w:tc>
        <w:tc>
          <w:tcPr>
            <w:tcW w:type="dxa" w:w="1958"/>
          </w:tcPr>
          <w:p>
            <w:pPr>
              <w:spacing w:after="20" w:before="20"/>
            </w:pPr>
            <w:r>
              <w:rPr>
                <w:rFonts w:ascii="Calibri" w:hAnsi="Calibri" w:cs="Calibri"/>
                <w:b w:val="0"/>
                <w:sz w:val="20"/>
              </w:rPr>
              <w:t>12700</w:t>
            </w:r>
          </w:p>
        </w:tc>
        <w:tc>
          <w:tcPr>
            <w:tcW w:type="dxa" w:w="1958"/>
          </w:tcPr>
          <w:p>
            <w:pPr>
              <w:spacing w:after="20" w:before="20"/>
            </w:pPr>
            <w:r>
              <w:rPr>
                <w:rFonts w:ascii="Calibri" w:hAnsi="Calibri" w:cs="Calibri"/>
                <w:b w:val="0"/>
                <w:sz w:val="20"/>
              </w:rPr>
              <w:t>-4700</w:t>
            </w:r>
          </w:p>
        </w:tc>
        <w:tc>
          <w:tcPr>
            <w:tcW w:type="dxa" w:w="1958"/>
          </w:tcPr>
          <w:p>
            <w:pPr>
              <w:spacing w:after="20" w:before="20"/>
            </w:pPr>
            <w:r>
              <w:rPr>
                <w:rFonts w:ascii="Calibri" w:hAnsi="Calibri" w:cs="Calibri"/>
                <w:b w:val="0"/>
                <w:sz w:val="20"/>
              </w:rPr>
              <w:t>Net negative balance during the diuretic phase, in the same direction as the weight loss.</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186/104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0.01</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96.9</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92.2</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new congestion from heart failure; Note: Oral furosemide 40 MG daily replaced intravenous furosemide once the weight was falling.</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outpatient condition still present; Note: Given through the hospitalization from the verified outpatient list.</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weight</w:t>
            </w:r>
          </w:p>
        </w:tc>
        <w:tc>
          <w:tcPr>
            <w:tcW w:type="dxa" w:w="1958"/>
          </w:tcPr>
          <w:p>
            <w:pPr>
              <w:spacing w:after="20" w:before="20"/>
            </w:pPr>
            <w:r>
              <w:rPr>
                <w:rFonts w:ascii="Calibri" w:hAnsi="Calibri" w:cs="Calibri"/>
                <w:b w:val="0"/>
                <w:sz w:val="20"/>
              </w:rPr>
              <w:t>each morning</w:t>
            </w:r>
          </w:p>
        </w:tc>
        <w:tc>
          <w:tcPr>
            <w:tcW w:type="dxa" w:w="1958"/>
          </w:tcPr>
          <w:p>
            <w:pPr>
              <w:spacing w:after="20" w:before="20"/>
            </w:pPr>
            <w:r>
              <w:rPr>
                <w:rFonts w:ascii="Calibri" w:hAnsi="Calibri" w:cs="Calibri"/>
                <w:b w:val="0"/>
                <w:sz w:val="20"/>
              </w:rPr>
              <w:t>call if more than 2 kg above the discharge weight</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patient</w:t>
            </w:r>
          </w:p>
        </w:tc>
      </w:tr>
      <w:tr>
        <w:trPr>
          <w:cantSplit/>
        </w:trPr>
        <w:tc>
          <w:tcPr>
            <w:tcW w:type="dxa" w:w="1958"/>
          </w:tcPr>
          <w:p>
            <w:pPr>
              <w:spacing w:after="20" w:before="20"/>
            </w:pPr>
            <w:r>
              <w:rPr>
                <w:rFonts w:ascii="Calibri" w:hAnsi="Calibri" w:cs="Calibri"/>
                <w:b w:val="0"/>
                <w:sz w:val="20"/>
              </w:rPr>
              <w:t>chemistry panel</w:t>
            </w:r>
          </w:p>
        </w:tc>
        <w:tc>
          <w:tcPr>
            <w:tcW w:type="dxa" w:w="1958"/>
          </w:tcPr>
          <w:p>
            <w:pPr>
              <w:spacing w:after="20" w:before="20"/>
            </w:pPr>
            <w:r>
              <w:rPr>
                <w:rFonts w:ascii="Calibri" w:hAnsi="Calibri" w:cs="Calibri"/>
                <w:b w:val="0"/>
                <w:sz w:val="20"/>
              </w:rPr>
              <w:t>within 7 days</w:t>
            </w:r>
          </w:p>
        </w:tc>
        <w:tc>
          <w:tcPr>
            <w:tcW w:type="dxa" w:w="1958"/>
          </w:tcPr>
          <w:p>
            <w:pPr>
              <w:spacing w:after="20" w:before="20"/>
            </w:pPr>
            <w:r>
              <w:rPr>
                <w:rFonts w:ascii="Calibri" w:hAnsi="Calibri" w:cs="Calibri"/>
                <w:b w:val="0"/>
                <w:sz w:val="20"/>
              </w:rPr>
              <w:t>review creatinine and potassium</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cardiology</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Chest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Bilateral pulmonary edema without a focal lobar consolidation.</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Reduced left-ventricular systolic function, estimated ejection fraction 45 percent, congested filling.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responded to diuresis. Ischemic and arrhythmic evaluation was the one described in the course.</w:t>
            </w:r>
          </w:p>
        </w:tc>
        <w:tc>
          <w:tcPr>
            <w:tcW w:type="dxa" w:w="2448"/>
          </w:tcPr>
          <w:p>
            <w:pPr>
              <w:spacing w:after="20" w:before="20"/>
            </w:pPr>
            <w:r>
              <w:rPr>
                <w:rFonts w:ascii="Calibri" w:hAnsi="Calibri" w:cs="Calibri"/>
                <w:b w:val="0"/>
                <w:sz w:val="20"/>
              </w:rPr>
              <w:t>Primary team to complete the unsigned discharge medication reconciliation.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new congestion from heart failure</w:t>
            </w:r>
          </w:p>
        </w:tc>
        <w:tc>
          <w:tcPr>
            <w:tcW w:type="dxa" w:w="1728"/>
          </w:tcPr>
          <w:p>
            <w:pPr>
              <w:spacing w:after="20" w:before="20"/>
            </w:pPr>
            <w:r>
              <w:rPr>
                <w:rFonts w:ascii="Calibri" w:hAnsi="Calibri" w:cs="Calibri"/>
                <w:b w:val="0"/>
                <w:sz w:val="20"/>
              </w:rPr>
              <w:t>A maintenance loop diuretic is supported because congestion was the reason for admission and the patient was not previously taking one.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warfarin sodium 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outpatient condition still present</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w:t>
            </w:r>
          </w:p>
        </w:tc>
        <w:tc>
          <w:tcPr>
            <w:tcW w:type="dxa" w:w="3312"/>
          </w:tcPr>
          <w:p>
            <w:pPr>
              <w:spacing w:after="20" w:before="20"/>
            </w:pPr>
            <w:r>
              <w:rPr>
                <w:rFonts w:ascii="Calibri" w:hAnsi="Calibri" w:cs="Calibri"/>
                <w:b w:val="0"/>
                <w:sz w:val="20"/>
              </w:rPr>
              <w:t>Daily home weight and a chemistry panel within 7 days.</w:t>
            </w:r>
          </w:p>
        </w:tc>
        <w:tc>
          <w:tcPr>
            <w:tcW w:type="dxa" w:w="3312"/>
          </w:tcPr>
          <w:p>
            <w:pPr>
              <w:spacing w:after="20" w:before="20"/>
            </w:pPr>
            <w:r>
              <w:rPr>
                <w:rFonts w:ascii="Calibri" w:hAnsi="Calibri" w:cs="Calibri"/>
                <w:b w:val="0"/>
                <w:sz w:val="20"/>
              </w:rPr>
              <w:t>Heart-failure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VAL-808</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41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98.2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41-year-old 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1.2 mg/dL. For ten days the patient had fever, sweats, and fatigue that were new. There was no chronic febrile illness in the history obtained on arrival. A dental extraction occurred two weeks earlier. Skin examination showed no abscess. The dental procedure is the predisposition recorded for this episode.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Transport problem (finding), Asthma (disorder), Lack of access to transportation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Lisinopril</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Transport problem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Asthma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Lack of access to transportation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an 8 mm mitral vegetation without abscess or severe regurgitation.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1.2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an 8 mm mitral vegetation without abscess or severe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an 8 mm mitral vegetation without abscess or severe regurgitation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spacing w:after="120"/>
      </w:pPr>
      <w:r>
        <w:rPr>
          <w:rFonts w:ascii="Calibri" w:hAnsi="Calibri" w:cs="Calibri"/>
          <w:b w:val="0"/>
          <w:sz w:val="22"/>
        </w:rPr>
        <w:t>Matched counterpart: VAL-809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20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49.8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20-year-old Female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1.1 mg/dL. For ten days the patient had fever, sweats, and fatigue that were new. There was no chronic febrile illness in the history obtained on arrival. Dental and skin examinations and a review for intravenous drug use did not find a source. The absence of a source was a result of that evaluation, not an omitted history.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1.1 mg/dL. For ten days the patient had fever, sweats, and fatigue that were new. There was no chronic febrile illness in the history obtained on arrival. Dental and skin examinations and a review for intravenous drug use did not find a source. The absence of a source was a result of that evaluation, not an omitted history.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Chronic pain (finding), Chronic low back pain (finding), Educated to high school level (finding), Full-time employment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Mold (organism), House dust mite (organism), Animal dander (substance), Grass pollen (substance), Tree pollen (substance), Penicillin V, Eggs (edible) (substance)</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low back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Full-time employment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mitis. A transthoracic echocardiogram then showed a 6 mm aortic vegetation without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1.1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mitis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6 mm aortic vegetation without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6 mm aortic vegetation without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mitis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mitis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spacing w:after="120"/>
      </w:pPr>
      <w:r>
        <w:rPr>
          <w:rFonts w:ascii="Calibri" w:hAnsi="Calibri" w:cs="Calibri"/>
          <w:b w:val="0"/>
          <w:sz w:val="22"/>
        </w:rPr>
        <w:t>Matched counterpart: VAL-810</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5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32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83.7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32-year-old 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The echocardiogram identified a bicuspid aortic valve, which is the predisposition. No recent dental procedure was reported.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The echocardiogram identified a bicuspid aortic valve, which is the predisposition. No recent dental procedure was reported.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Aortic valve stenosis (disorder), Received higher education (finding), Has a criminal record (finding), Chronic pain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Aspirin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Aortic valve stenosis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 bicuspid aortic valve with a 5 mm vegetation and no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0.9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bicuspid aortic valve with a 5 mm vegetation and no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bicuspid aortic valve with a 5 mm vegetation and no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spacing w:after="120"/>
      </w:pPr>
      <w:r>
        <w:rPr>
          <w:rFonts w:ascii="Calibri" w:hAnsi="Calibri" w:cs="Calibri"/>
          <w:b w:val="0"/>
          <w:sz w:val="22"/>
        </w:rPr>
        <w:t>Matched counterpart: VAL-811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0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0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27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87.2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and a new murmur</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27-year-old Female with fever with endocarditis established only after cultures and echocardiography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fatigue, and a new murmur</w:t>
      </w:r>
    </w:p>
    <w:p>
      <w:pPr>
        <w:pStyle w:val="ListBullet"/>
        <w:spacing w:after="40" w:before="0"/>
      </w:pPr>
      <w:r>
        <w:rPr>
          <w:rFonts w:ascii="Calibri" w:hAnsi="Calibri" w:cs="Calibri"/>
          <w:b/>
          <w:sz w:val="22"/>
        </w:rPr>
        <w:t xml:space="preserve">Symptoms: </w:t>
      </w:r>
      <w:r>
        <w:rPr>
          <w:rFonts w:ascii="Calibri" w:hAnsi="Calibri" w:cs="Calibri"/>
          <w:b w:val="0"/>
          <w:sz w:val="22"/>
        </w:rPr>
        <w:t>fever, fatigue, night sweats</w:t>
      </w:r>
    </w:p>
    <w:p>
      <w:pPr>
        <w:pStyle w:val="ListBullet"/>
        <w:spacing w:after="40" w:before="0"/>
      </w:pPr>
      <w:r>
        <w:rPr>
          <w:rFonts w:ascii="Calibri" w:hAnsi="Calibri" w:cs="Calibri"/>
          <w:b/>
          <w:sz w:val="22"/>
        </w:rPr>
        <w:t xml:space="preserve">Symptom duration: </w:t>
      </w:r>
      <w:r>
        <w:rPr>
          <w:rFonts w:ascii="Calibri" w:hAnsi="Calibri" w:cs="Calibri"/>
          <w:b w:val="0"/>
          <w:sz w:val="22"/>
        </w:rPr>
        <w:t>ten days</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 and clearance cultures were negative</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A dental cleaning occurred ten days before the fever. Home infusion nursing assessed the residence and found it suitable. Arrival temperature was 38.4 degrees Celsius. A murmur that the patient did not recognize was present. The working concern was bloodstream infection, not a finished diagnosis of endocarditis.</w:t>
      </w:r>
    </w:p>
    <w:p>
      <w:pPr>
        <w:pStyle w:val="Heading3"/>
      </w:pPr>
      <w:r>
        <w:rPr>
          <w:rFonts w:ascii="Calibri" w:hAnsi="Calibri"/>
          <w:color w:val="1F3A5F"/>
        </w:rPr>
        <w:t>Admission note</w:t>
      </w:r>
    </w:p>
    <w:p>
      <w:pPr>
        <w:spacing w:after="120"/>
      </w:pPr>
      <w:r>
        <w:rPr>
          <w:rFonts w:ascii="Calibri" w:hAnsi="Calibri" w:cs="Calibri"/>
          <w:b w:val="0"/>
          <w:sz w:val="22"/>
        </w:rPr>
        <w:t>The longitudinal extract does not list endocarditis. Outpatient products in the extract: no curated single-ingredient outpatient regimen. No pre-admission creatinine was present; the first value was 0.9 mg/dL. For ten days the patient had fever, sweats, and fatigue that were new. There was no chronic febrile illness in the history obtained on arrival. A dental cleaning occurred ten days before the fever. Home infusion nursing assessed the residence and found it suitable. Arrival temperature was 38.4 degrees Celsius. A murmur that the patient did not recognize was present. The working concern was bloodstream infection, not a finished diagnosis of endocarditis.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Chronic pain (finding), Chronic low back pain (finding), Received higher education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 Latex (substance), Mold (organism), House dust mite (organism), Animal dander (substance), Grass pollen (substance), Aspirin, Eggs (edible) (substance)</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low back pain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Fever and a new murmur</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Two sets of blood cultures were drawn before any antibiotic. They grew Streptococcus sanguinis. A transthoracic echocardiogram then showed a 5 mm mitral vegetation without abscess. Dental and skin examinations were recorded as part of the source evaluation. Endocarditis was diagnosed only after the organism and the echocardiogram were both available. The patient did not present with that label already assigned. Ceftriaxone 2 g intravenously once daily was started after the cultures were drawn and was continued once the organism was known to be treated by that regimen. Cardiac surgery saw the patient: there was no abscess, no severe valve failure, and no indication for urgent surgery. Creatinine stayed 0.9 mg/dL, which is the range in which the curated 2 g dose is used. Fever resolved by hospital day 3. A repeat blood culture showed no growth. Appetite and walking had returned. This was day 6 of intravenous ceftriaxone. Outpatient parenteral therapy is logistically feasible at home. The remaining duration has not been signed. Weekly laboratory monitoring and infectious-diseases follow-up are arranged. Infectious diseases follow-up within one week and a weekly chemistry panel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Bacteria identified in Blood by Culture</w:t>
            </w:r>
          </w:p>
        </w:tc>
        <w:tc>
          <w:tcPr>
            <w:tcW w:type="dxa" w:w="1872"/>
          </w:tcPr>
          <w:p>
            <w:pPr>
              <w:spacing w:after="20" w:before="20"/>
            </w:pPr>
            <w:r>
              <w:rPr>
                <w:rFonts w:ascii="Calibri" w:hAnsi="Calibri" w:cs="Calibri"/>
                <w:b w:val="0"/>
                <w:sz w:val="20"/>
              </w:rPr>
              <w:t>Streptococcus sanguinis</w:t>
            </w:r>
          </w:p>
        </w:tc>
        <w:tc>
          <w:tcPr>
            <w:tcW w:type="dxa" w:w="2160"/>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ceftriaxone</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streptococcal endocarditis after cultures and echocardiography; Note: Active inpatient therapy on day 6. Clearance cultures show no growth. A discharge duration order has not been signed.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chemistry panel and blood count</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while intravenous therapy continues</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r>
        <w:trPr>
          <w:cantSplit/>
        </w:trPr>
        <w:tc>
          <w:tcPr>
            <w:tcW w:type="dxa" w:w="3264"/>
          </w:tcPr>
          <w:p>
            <w:pPr>
              <w:spacing w:after="20" w:before="20"/>
            </w:pPr>
            <w:r>
              <w:rPr>
                <w:rFonts w:ascii="Calibri" w:hAnsi="Calibri" w:cs="Calibri"/>
                <w:b w:val="0"/>
                <w:sz w:val="20"/>
              </w:rPr>
              <w:t>Primary care</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Transthoracic echocardiogram</w:t>
            </w:r>
          </w:p>
        </w:tc>
        <w:tc>
          <w:tcPr>
            <w:tcW w:type="dxa" w:w="3264"/>
          </w:tcPr>
          <w:p>
            <w:pPr>
              <w:spacing w:after="20" w:before="20"/>
            </w:pPr>
            <w:r>
              <w:rPr>
                <w:rFonts w:ascii="Calibri" w:hAnsi="Calibri" w:cs="Calibri"/>
                <w:b w:val="0"/>
                <w:sz w:val="20"/>
              </w:rPr>
              <w:t>hospital day 1</w:t>
            </w:r>
          </w:p>
        </w:tc>
        <w:tc>
          <w:tcPr>
            <w:tcW w:type="dxa" w:w="3264"/>
          </w:tcPr>
          <w:p>
            <w:pPr>
              <w:spacing w:after="20" w:before="20"/>
            </w:pPr>
            <w:r>
              <w:rPr>
                <w:rFonts w:ascii="Calibri" w:hAnsi="Calibri" w:cs="Calibri"/>
                <w:b w:val="0"/>
                <w:sz w:val="20"/>
              </w:rPr>
              <w:t>a 5 mm mitral vegetation without abscess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 5 mm mitral vegetation without abscess No abscess and no refractory heart failure.</w:t>
            </w:r>
          </w:p>
        </w:tc>
        <w:tc>
          <w:tcPr>
            <w:tcW w:type="dxa" w:w="2448"/>
          </w:tcPr>
          <w:p>
            <w:pPr>
              <w:spacing w:after="20" w:before="20"/>
            </w:pPr>
            <w:r>
              <w:rPr>
                <w:rFonts w:ascii="Calibri" w:hAnsi="Calibri" w:cs="Calibri"/>
                <w:b w:val="0"/>
                <w:sz w:val="20"/>
              </w:rPr>
              <w:t>Urgent surgery is not indicated. Reassess if heart failure or persistent bacteremia develops.</w:t>
            </w:r>
          </w:p>
        </w:tc>
      </w:tr>
      <w:tr>
        <w:trPr>
          <w:cantSplit/>
        </w:trPr>
        <w:tc>
          <w:tcPr>
            <w:tcW w:type="dxa" w:w="2448"/>
          </w:tcPr>
          <w:p>
            <w:pPr>
              <w:spacing w:after="20" w:before="20"/>
            </w:pPr>
            <w:r>
              <w:rPr>
                <w:rFonts w:ascii="Calibri" w:hAnsi="Calibri" w:cs="Calibri"/>
                <w:b w:val="0"/>
                <w:sz w:val="20"/>
              </w:rPr>
              <w:t>infectious diseases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Streptococcus sanguinis endocarditis on the echocardiogram described above.</w:t>
            </w:r>
          </w:p>
        </w:tc>
        <w:tc>
          <w:tcPr>
            <w:tcW w:type="dxa" w:w="2448"/>
          </w:tcPr>
          <w:p>
            <w:pPr>
              <w:spacing w:after="20" w:before="20"/>
            </w:pPr>
            <w:r>
              <w:rPr>
                <w:rFonts w:ascii="Calibri" w:hAnsi="Calibri" w:cs="Calibri"/>
                <w:b w:val="0"/>
                <w:sz w:val="20"/>
              </w:rPr>
              <w:t>Ceftriaxone 2 g intravenously once daily is the inpatient regimen. The unsigned question is completing it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the first antibiotic dose.</w:t>
            </w:r>
          </w:p>
        </w:tc>
      </w:tr>
      <w:tr>
        <w:trPr>
          <w:cantSplit/>
        </w:trPr>
        <w:tc>
          <w:tcPr>
            <w:tcW w:type="dxa" w:w="1399"/>
          </w:tcPr>
          <w:p>
            <w:pPr>
              <w:spacing w:after="20" w:before="20"/>
            </w:pPr>
            <w:r>
              <w:rPr>
                <w:rFonts w:ascii="Calibri" w:hAnsi="Calibri" w:cs="Calibri"/>
                <w:b w:val="0"/>
                <w:sz w:val="20"/>
              </w:rPr>
              <w:t>pre discharge</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Clearance culture after treatment had begun.</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streptococcal endocarditis after cultures and echocardiography</w:t>
            </w:r>
          </w:p>
        </w:tc>
        <w:tc>
          <w:tcPr>
            <w:tcW w:type="dxa" w:w="1728"/>
          </w:tcPr>
          <w:p>
            <w:pPr>
              <w:spacing w:after="20" w:before="20"/>
            </w:pPr>
            <w:r>
              <w:rPr>
                <w:rFonts w:ascii="Calibri" w:hAnsi="Calibri" w:cs="Calibri"/>
                <w:b w:val="0"/>
                <w:sz w:val="20"/>
              </w:rPr>
              <w:t>Continuing ceftriaxone 2 g once daily to finish a four-week course is supported by the organism, the echocardiogram, preserved creatinine, clearance of bacteremia, and feasible outpatient parenteral therapy.</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w:t>
            </w:r>
          </w:p>
        </w:tc>
        <w:tc>
          <w:tcPr>
            <w:tcW w:type="dxa" w:w="3312"/>
          </w:tcPr>
          <w:p>
            <w:pPr>
              <w:spacing w:after="20" w:before="20"/>
            </w:pPr>
            <w:r>
              <w:rPr>
                <w:rFonts w:ascii="Calibri" w:hAnsi="Calibri" w:cs="Calibri"/>
                <w:b w:val="0"/>
                <w:sz w:val="20"/>
              </w:rPr>
              <w:t>Weekly chemistry panel and complete blood count.</w:t>
            </w:r>
          </w:p>
        </w:tc>
        <w:tc>
          <w:tcPr>
            <w:tcW w:type="dxa" w:w="3312"/>
          </w:tcPr>
          <w:p>
            <w:pPr>
              <w:spacing w:after="20" w:before="20"/>
            </w:pPr>
            <w:r>
              <w:rPr>
                <w:rFonts w:ascii="Calibri" w:hAnsi="Calibri" w:cs="Calibri"/>
                <w:b w:val="0"/>
                <w:sz w:val="20"/>
              </w:rPr>
              <w:t>Infectious diseases within 7 days.</w:t>
            </w:r>
          </w:p>
        </w:tc>
      </w:tr>
    </w:tbl>
    <w:p>
      <w:pPr>
        <w:spacing w:after="40"/>
      </w:pPr>
    </w:p>
    <w:p>
      <w:pPr>
        <w:spacing w:after="120"/>
      </w:pPr>
      <w:r>
        <w:rPr>
          <w:rFonts w:ascii="Calibri" w:hAnsi="Calibri" w:cs="Calibri"/>
          <w:b w:val="0"/>
          <w:sz w:val="22"/>
        </w:rPr>
        <w:t>Matched counterpart: VAL-812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6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83.5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61-year-old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Hydrochlorothiazide 25 MG Oral Tablet; 24 HR tacrolimus 1 MG Extended Release Oral Tablet [Envarsus]; amLODIPine 2.5 MG Oral Tablet. Valganciclovir was not a home medicine. None was inferred from transplant status alone. Eight days of watery stool, up to ten movements a day, were new. The transplant and the immunosuppression are the predisposition. Stool testing for Clostridioides difficile toxin was negative before cytomegalovirus testing was treated as the cause. Arrival creatinine was 1.8 mg/dL and potassium was 3.2 mmol/L. The mucous membranes were dry.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Chronic intractable migraine without aura (disorder), Essential hypertension (disorder), Impacted molars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intractable migraine without aura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hypertension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Impacted molars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Hypokalemia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1.8 mg/dL and later 1.2 mg/dL, within the range for the full induction dose. Stool frequency fell to three movements a day and the patient was drinking. Potassium was 4.0 mmol/L after having been 3.2. Creatinine was 1.2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108/64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Result available before antiviral therapy.</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107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87.4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107-year-old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lisinopril 10 MG Oral Tablet.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1.7 mg/dL and potassium was 3.2 mmol/L. The mucous membranes were dry.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lisinopril 10 MG Oral Tablet.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1.7 mg/dL and potassium was 3.2 mmol/L. The mucous membranes were dry.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Body mass index 30+ - obesity (finding), Prediabetes (finding), Anemia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kidney failure,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Hypokalemia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1.7 mg/dL and later 1.1 mg/dL, within the range for the full induction dose. Stool frequency fell to three movements a day and the patient was drinking. Potassium was 4.0 mmol/L after having been 3.2. Creatinine was 1.1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108/64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7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lisinopril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lisinopril 10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lisinopril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84.2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fever, fatigue</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Hydrochlorothiazide 25 MG Oral Tablet; 24 HR tacrolimus 1 MG Extended Release Oral Tablet [Envarsus]; amLODIPine 2.5 MG Oral Tablet. A prior valganciclovir prophylaxis course, 900 MG once daily, is part of this scenario. It was not on the pre-admission medication list. Fever and fatigue for six days were new. There was no chronic febrile illness at baseline. The transplant and the immunosuppression are the predisposition. Rejection, drug toxicity, and ordinary gastroenteritis were still on the differential at arrival. Arrival creatinine was 0.9 mg/dL.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Hydrochlorothiazide 25 MG Oral Tablet; 24 HR tacrolimus 1 MG Extended Release Oral Tablet [Envarsus]; amLODIPine 2.5 MG Oral Tablet. A prior valganciclovir prophylaxis course, 900 MG once daily, is part of this scenario. It was not on the pre-admission medication list. Fever and fatigue for six days were new. There was no chronic febrile illness at baseline. The transplant and the immunosuppression are the predisposition. Rejection, drug toxicity, and ordinary gastroenteritis were still on the differential at arrival. Arrival creatinine was 0.9 mg/dL.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Received higher education (finding), Lack of access to transportation (finding), Transport problem (finding),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Lack of access to transportation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Transport problem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Cytomegaloviral disease, unspecified</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There was no colitis syndrome, so endoscopy was not required to name cytomegalovirus syndrome.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0.9 mg/dL and later 0.8 mg/dL, within the range for the full induction dose. Fever resolved and the patient was eating. Creatinine remained 0.8 mg/dL. Plasma cytomegalovirus DNA was still detected, which is expected this early. The patient was keeping fluids down and walking. Follow-up with infectious diseases was arranged. The induction course was not signed as a finished discharge list. Weekly laboratory monitoring and infectious diseases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cytomegalovirus induction after laboratory or histologic confirmation; Note: Home scenario prophylaxis was 900 MG once daily. The inpatient dose after confirmation is 900 MG twice daily. Creatinine supports that induction dose.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hydrochlorothiazide</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Home scenario prophylaxis was 900 MG once daily. The inpatient dose after confirmation is 900 MG twice daily. Creatinine supports that induction dose.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 diseases</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infectious diseases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dose_change</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A change from prophylaxis to induction is supported by confirmed disease, preserved renal function, and an incomplete treatment course.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hydrochlorothiazide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Hydrochlorothiazide 25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amlodipine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amLODIPine 2.5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infectious diseases</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infectious diseases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hydrochlorothiazide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amlodipine</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2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2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72.7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transplant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cytomegalovirus disease established during the hospitalization, not as the presenting label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67-year-old Male with cytomegalovirus disease established during the hospitalization, not as the presenting label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eight days</w:t>
      </w:r>
    </w:p>
    <w:p>
      <w:pPr>
        <w:pStyle w:val="ListBullet"/>
        <w:spacing w:after="40" w:before="0"/>
      </w:pPr>
      <w:r>
        <w:rPr>
          <w:rFonts w:ascii="Calibri" w:hAnsi="Calibri" w:cs="Calibri"/>
          <w:b/>
          <w:sz w:val="22"/>
        </w:rPr>
        <w:t xml:space="preserve">Symptom course: </w:t>
      </w:r>
      <w:r>
        <w:rPr>
          <w:rFonts w:ascii="Calibri" w:hAnsi="Calibri" w:cs="Calibri"/>
          <w:b w:val="0"/>
          <w:sz w:val="22"/>
        </w:rPr>
        <w:t>stool frequency or fever improved after diagnosis and antiviral therapy</w:t>
      </w:r>
    </w:p>
    <w:p>
      <w:pPr>
        <w:pStyle w:val="Heading3"/>
      </w:pPr>
      <w:r>
        <w:rPr>
          <w:rFonts w:ascii="Calibri" w:hAnsi="Calibri"/>
          <w:color w:val="1F3A5F"/>
        </w:rPr>
        <w:t>History of present illness</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1.0 mg/dL. The presentation was the symptom above, not a preassigned cytomegalovirus diagnosis.</w:t>
      </w:r>
    </w:p>
    <w:p>
      <w:pPr>
        <w:pStyle w:val="Heading3"/>
      </w:pPr>
      <w:r>
        <w:rPr>
          <w:rFonts w:ascii="Calibri" w:hAnsi="Calibri"/>
          <w:color w:val="1F3A5F"/>
        </w:rPr>
        <w:t>Admission note</w:t>
      </w:r>
    </w:p>
    <w:p>
      <w:pPr>
        <w:spacing w:after="120"/>
      </w:pPr>
      <w:r>
        <w:rPr>
          <w:rFonts w:ascii="Calibri" w:hAnsi="Calibri" w:cs="Calibri"/>
          <w:b w:val="0"/>
          <w:sz w:val="22"/>
        </w:rPr>
        <w:t>The longitudinal record includes renal transplant status and extended-release tacrolimus. Other outpatient products in the extract: 24 HR metoprolol succinate 100 MG Extended Release Oral Tablet; 24 HR tacrolimus 1 MG Extended Release Oral Tablet [Envarsus]. Valganciclovir was not a home medicine. None was inferred from transplant status alone. Eight days of watery stool, up to ten movements a day, were new. The transplant and the immunosuppression are the predisposition. Rejection, drug toxicity, and ordinary gastroenteritis were still on the differential at arrival. Arrival creatinine was 1.0 mg/dL. The presentation was the symptom above, not a preassigned cytomegalovirus diagnosis.</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Prediabetes (finding), Anemia (disorder), Kidney transplant status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Plasma cytomegalovirus DNA was detected after the symptom evaluation. Flexible sigmoidoscopy then showed colitis, and the biopsy was consistent with cytomegalovirus colitis. The cytomegalovirus diagnosis followed that testing. It was not the admitting label. Valganciclovir induction, 900 MG twice daily, was started only after the diagnostic result. Tacrolimus was continued at the recorded once-daily extended-release dose. Mycophenolate was not added, because it was not in the longitudinal record. Creatinine at that point was 1.0 mg/dL and later 0.9 mg/dL, within the range for the full induction dose. Stool frequency fell to three movements a day and the patient was drinking. Creatinine remained 0.9 mg/dL. Plasma cytomegalovirus DNA was still detected, which is expected this early. The patient was keeping fluids down and walking. Follow-up with transplant clinic was arranged. The induction course was not signed as a finished discharge list. Weekly laboratory monitoring and transplant clinic follow-up were specified.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37.1</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4.1</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6.2</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Cytomegalovirus DNA [Presence] in Serum or Plasma by NAA with probe detection</w:t>
            </w:r>
          </w:p>
        </w:tc>
        <w:tc>
          <w:tcPr>
            <w:tcW w:type="dxa" w:w="1872"/>
          </w:tcPr>
          <w:p>
            <w:pPr>
              <w:spacing w:after="20" w:before="20"/>
            </w:pPr>
            <w:r>
              <w:rPr>
                <w:rFonts w:ascii="Calibri" w:hAnsi="Calibri" w:cs="Calibri"/>
                <w:b w:val="0"/>
                <w:sz w:val="20"/>
              </w:rPr>
              <w:t>detected</w:t>
            </w:r>
          </w:p>
        </w:tc>
        <w:tc>
          <w:tcPr>
            <w:tcW w:type="dxa" w:w="2160"/>
          </w:tcPr>
          <w:p>
            <w:pPr>
              <w:spacing w:after="20" w:before="20"/>
            </w:pPr>
            <w:r>
              <w:rPr>
                <w:rFonts w:ascii="Calibri" w:hAnsi="Calibri" w:cs="Calibri"/>
                <w:b w:val="0"/>
                <w:sz w:val="20"/>
              </w:rPr>
            </w:r>
          </w:p>
        </w:tc>
      </w:tr>
      <w:tr>
        <w:trPr>
          <w:cantSplit/>
        </w:trPr>
        <w:tc>
          <w:tcPr>
            <w:tcW w:type="dxa" w:w="5760"/>
          </w:tcPr>
          <w:p>
            <w:pPr>
              <w:spacing w:after="20" w:before="20"/>
            </w:pPr>
            <w:r>
              <w:rPr>
                <w:rFonts w:ascii="Calibri" w:hAnsi="Calibri" w:cs="Calibri"/>
                <w:b w:val="0"/>
                <w:sz w:val="20"/>
              </w:rPr>
              <w:t>Leukocytes [#/volume] in Blood by Automated count</w:t>
            </w:r>
          </w:p>
        </w:tc>
        <w:tc>
          <w:tcPr>
            <w:tcW w:type="dxa" w:w="1872"/>
          </w:tcPr>
          <w:p>
            <w:pPr>
              <w:spacing w:after="20" w:before="20"/>
            </w:pPr>
            <w:r>
              <w:rPr>
                <w:rFonts w:ascii="Calibri" w:hAnsi="Calibri" w:cs="Calibri"/>
                <w:b w:val="0"/>
                <w:sz w:val="20"/>
              </w:rPr>
              <w:t>5.8</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tacrolimus</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maintenance immunosuppression after kidney transplant; Note: Extended-release tacrolimus was continued once daily. It was not converted to an every-12-hour product.</w:t>
            </w:r>
          </w:p>
        </w:tc>
      </w:tr>
      <w:tr>
        <w:trPr>
          <w:cantSplit/>
        </w:trPr>
        <w:tc>
          <w:tcPr>
            <w:tcW w:type="dxa" w:w="3384"/>
          </w:tcPr>
          <w:p>
            <w:pPr>
              <w:spacing w:after="20" w:before="20"/>
            </w:pPr>
            <w:r>
              <w:rPr>
                <w:rFonts w:ascii="Calibri" w:hAnsi="Calibri" w:cs="Calibri"/>
                <w:b w:val="0"/>
                <w:sz w:val="20"/>
              </w:rPr>
              <w:t>valganciclovir</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cytomegalovirus induction after laboratory or histologic confirmation; Note: Started after confirmation. Not a home medicine. Induction dose 900 MG twice daily.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complete blood count, creatinine, and cytomegalovirus DNA</w:t>
            </w:r>
          </w:p>
        </w:tc>
        <w:tc>
          <w:tcPr>
            <w:tcW w:type="dxa" w:w="1958"/>
          </w:tcPr>
          <w:p>
            <w:pPr>
              <w:spacing w:after="20" w:before="20"/>
            </w:pPr>
            <w:r>
              <w:rPr>
                <w:rFonts w:ascii="Calibri" w:hAnsi="Calibri" w:cs="Calibri"/>
                <w:b w:val="0"/>
                <w:sz w:val="20"/>
              </w:rPr>
              <w:t>weekly</w:t>
            </w:r>
          </w:p>
        </w:tc>
        <w:tc>
          <w:tcPr>
            <w:tcW w:type="dxa" w:w="1958"/>
          </w:tcPr>
          <w:p>
            <w:pPr>
              <w:spacing w:after="20" w:before="20"/>
            </w:pPr>
            <w:r>
              <w:rPr>
                <w:rFonts w:ascii="Calibri" w:hAnsi="Calibri" w:cs="Calibri"/>
                <w:b w:val="0"/>
                <w:sz w:val="20"/>
              </w:rPr>
              <w:t>during induction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transplant clinic</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transplant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Flexible sigmoidoscopy with biopsy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hospital day 2</w:t>
            </w:r>
          </w:p>
        </w:tc>
        <w:tc>
          <w:tcPr>
            <w:tcW w:type="dxa" w:w="1958"/>
          </w:tcPr>
          <w:p>
            <w:pPr>
              <w:spacing w:after="20" w:before="20"/>
            </w:pPr>
            <w:r>
              <w:rPr>
                <w:rFonts w:ascii="Calibri" w:hAnsi="Calibri" w:cs="Calibri"/>
                <w:b w:val="0"/>
                <w:sz w:val="20"/>
              </w:rPr>
              <w:t>Colitis. Biopsy consistent with cytomegalovirus.</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tacrolimus</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maintenance immunosuppression after kidney transplant</w:t>
            </w:r>
          </w:p>
        </w:tc>
        <w:tc>
          <w:tcPr>
            <w:tcW w:type="dxa" w:w="1728"/>
          </w:tcPr>
          <w:p>
            <w:pPr>
              <w:spacing w:after="20" w:before="20"/>
            </w:pPr>
            <w:r>
              <w:rPr>
                <w:rFonts w:ascii="Calibri" w:hAnsi="Calibri" w:cs="Calibri"/>
                <w:b w:val="0"/>
                <w:sz w:val="20"/>
              </w:rPr>
              <w:t>Continuing the recorded extended-release dose is supported by ongoing transplant indication and the absence of a toxicity event that required a change.</w:t>
            </w:r>
          </w:p>
        </w:tc>
      </w:tr>
      <w:tr>
        <w:trPr>
          <w:cantSplit/>
        </w:trPr>
        <w:tc>
          <w:tcPr>
            <w:tcW w:type="dxa" w:w="1872"/>
          </w:tcPr>
          <w:p>
            <w:pPr>
              <w:spacing w:after="20" w:before="20"/>
            </w:pPr>
            <w:r>
              <w:rPr>
                <w:rFonts w:ascii="Calibri" w:hAnsi="Calibri" w:cs="Calibri"/>
                <w:b w:val="0"/>
                <w:sz w:val="20"/>
              </w:rPr>
              <w:t>valganciclovir</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induction after laboratory or histologic confirmation</w:t>
            </w:r>
          </w:p>
        </w:tc>
        <w:tc>
          <w:tcPr>
            <w:tcW w:type="dxa" w:w="1728"/>
          </w:tcPr>
          <w:p>
            <w:pPr>
              <w:spacing w:after="20" w:before="20"/>
            </w:pPr>
            <w:r>
              <w:rPr>
                <w:rFonts w:ascii="Calibri" w:hAnsi="Calibri" w:cs="Calibri"/>
                <w:b w:val="0"/>
                <w:sz w:val="20"/>
              </w:rPr>
              <w:t>Starting induction is supported because the drug was absent at home, the diagnosis followed testing, and renal function allows the labeled induction dose.</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tacrolimus</w:t>
            </w:r>
          </w:p>
        </w:tc>
        <w:tc>
          <w:tcPr>
            <w:tcW w:type="dxa" w:w="3312"/>
          </w:tcPr>
          <w:p>
            <w:pPr>
              <w:spacing w:after="20" w:before="20"/>
            </w:pPr>
            <w:r>
              <w:rPr>
                <w:rFonts w:ascii="Calibri" w:hAnsi="Calibri" w:cs="Calibri"/>
                <w:b w:val="0"/>
                <w:sz w:val="20"/>
              </w:rPr>
              <w:t>Tacrolimus trough at the transplant visit.</w:t>
            </w:r>
          </w:p>
        </w:tc>
        <w:tc>
          <w:tcPr>
            <w:tcW w:type="dxa" w:w="3312"/>
          </w:tcPr>
          <w:p>
            <w:pPr>
              <w:spacing w:after="20" w:before="20"/>
            </w:pPr>
            <w:r>
              <w:rPr>
                <w:rFonts w:ascii="Calibri" w:hAnsi="Calibri" w:cs="Calibri"/>
                <w:b w:val="0"/>
                <w:sz w:val="20"/>
              </w:rPr>
              <w:t>transplant clinic</w:t>
            </w:r>
          </w:p>
        </w:tc>
      </w:tr>
      <w:tr>
        <w:trPr>
          <w:cantSplit/>
        </w:trPr>
        <w:tc>
          <w:tcPr>
            <w:tcW w:type="dxa" w:w="3168"/>
          </w:tcPr>
          <w:p>
            <w:pPr>
              <w:spacing w:after="20" w:before="20"/>
            </w:pPr>
            <w:r>
              <w:rPr>
                <w:rFonts w:ascii="Calibri" w:hAnsi="Calibri" w:cs="Calibri"/>
                <w:b w:val="0"/>
                <w:sz w:val="20"/>
              </w:rPr>
              <w:t>valganciclovir</w:t>
            </w:r>
          </w:p>
        </w:tc>
        <w:tc>
          <w:tcPr>
            <w:tcW w:type="dxa" w:w="3312"/>
          </w:tcPr>
          <w:p>
            <w:pPr>
              <w:spacing w:after="20" w:before="20"/>
            </w:pPr>
            <w:r>
              <w:rPr>
                <w:rFonts w:ascii="Calibri" w:hAnsi="Calibri" w:cs="Calibri"/>
                <w:b w:val="0"/>
                <w:sz w:val="20"/>
              </w:rPr>
              <w:t>Weekly complete blood count, creatinine, and cytomegalovirus DNA.</w:t>
            </w:r>
          </w:p>
        </w:tc>
        <w:tc>
          <w:tcPr>
            <w:tcW w:type="dxa" w:w="3312"/>
          </w:tcPr>
          <w:p>
            <w:pPr>
              <w:spacing w:after="20" w:before="20"/>
            </w:pPr>
            <w:r>
              <w:rPr>
                <w:rFonts w:ascii="Calibri" w:hAnsi="Calibri" w:cs="Calibri"/>
                <w:b w:val="0"/>
                <w:sz w:val="20"/>
              </w:rPr>
              <w:t>transplant clinic within 7 days.</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VAL-816</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85.5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24 HR metoprolol succinate 100 MG Extended Release Oral Tablet; Warfarin Sodium 5 MG Oral Tablet. A ground-level fall was followed immediately by right hip pain and inability to bear weight. That was not the prior mobility. fall from standing.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24 HR metoprolol succinate 100 MG Extended Release Oral Tablet; Warfarin Sodium 5 MG Oral Tablet. A ground-level fall was followed immediately by right hip pain and inability to bear weight. That was not the prior mobility. fall from standing.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Loss of teeth (disorder), Received higher education (finding), History of appendectomy (situation), Body mass index 30+ - obesity (finding)</w:t>
      </w:r>
    </w:p>
    <w:p>
      <w:pPr>
        <w:pStyle w:val="ListBullet"/>
        <w:spacing w:after="40" w:before="0"/>
      </w:pPr>
      <w:r>
        <w:rPr>
          <w:rFonts w:ascii="Calibri" w:hAnsi="Calibri" w:cs="Calibri"/>
          <w:b/>
          <w:sz w:val="22"/>
        </w:rPr>
        <w:t xml:space="preserve">Allergies: </w:t>
      </w:r>
      <w:r>
        <w:rPr>
          <w:rFonts w:ascii="Calibri" w:hAnsi="Calibri" w:cs="Calibri"/>
          <w:b w:val="0"/>
          <w:sz w:val="22"/>
        </w:rPr>
        <w:t>Allergic disposition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Loss of teeth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History of appendectomy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1.0 mg/dL. Pain was controlled with non-opioid measures and the patient could sit and transfer with therapy. Therapy recommended skilled nursing facility.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VAL-817</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80.6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One-liner: </w:t>
      </w:r>
      <w:r>
        <w:rPr>
          <w:rFonts w:ascii="Calibri" w:hAnsi="Calibri" w:cs="Calibri"/>
          <w:b w:val="0"/>
          <w:sz w:val="22"/>
        </w:rPr>
        <w:t>72-year-old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warfarin sodium 5 MG Oral Tablet. A ground-level fall was followed immediately by right hip pain and inability to bear weight. That was not the prior mobility. fall with slow mobilization.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warfarin sodium 5 MG Oral Tablet. A ground-level fall was followed immediately by right hip pain and inability to bear weight. That was not the prior mobility. fall with slow mobilization.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Housing unsatisfactory (finding), Educated to high school level (finding), Body mass index 30+ - obesity (finding), Hyperlipidemia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Housing unsatisfactory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Hyperlipidemia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1.1 mg/dL. Pain was controlled with non-opioid measures and the patient could sit and transfer with therapy. Therapy recommended skilled nursing facility.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skilled nursing facility</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VAL-818</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9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Warfarin Sodium 5 MG Oral Tablet; 24 HR metoprolol succinate 100 MG Extended Release Oral Tablet. A ground-level fall was followed immediately by right hip pain and inability to bear weight. That was not the prior mobility. fall with prompt hemostasis.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Warfarin Sodium 5 MG Oral Tablet; 24 HR metoprolol succinate 100 MG Extended Release Oral Tablet. A ground-level fall was followed immediately by right hip pain and inability to bear weight. That was not the prior mobility. fall with prompt hemostasis.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Has a criminal record (finding), Body mass index 30+ - obesity (finding), Hyperlipidemia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Has a criminal record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Hyperlipidemia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0.9 mg/dL. Pain was controlled with non-opioid measures and the patient could sit and transfer with therapy. Therapy recommended home.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VAL-819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4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85.6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internal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 right femoral-neck fracture treated after the INR fell</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83-year-old Female with a right femoral-neck fracture treated after the INR fell</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Right hip pain after a fall</w:t>
      </w:r>
    </w:p>
    <w:p>
      <w:pPr>
        <w:pStyle w:val="ListBullet"/>
        <w:spacing w:after="40" w:before="0"/>
      </w:pPr>
      <w:r>
        <w:rPr>
          <w:rFonts w:ascii="Calibri" w:hAnsi="Calibri" w:cs="Calibri"/>
          <w:b/>
          <w:sz w:val="22"/>
        </w:rPr>
        <w:t xml:space="preserve">Symptoms: </w:t>
      </w:r>
      <w:r>
        <w:rPr>
          <w:rFonts w:ascii="Calibri" w:hAnsi="Calibri" w:cs="Calibri"/>
          <w:b w:val="0"/>
          <w:sz w:val="22"/>
        </w:rPr>
        <w:t>hip pain, inability to bear weight</w:t>
      </w:r>
    </w:p>
    <w:p>
      <w:pPr>
        <w:pStyle w:val="ListBullet"/>
        <w:spacing w:after="40" w:before="0"/>
      </w:pPr>
      <w:r>
        <w:rPr>
          <w:rFonts w:ascii="Calibri" w:hAnsi="Calibri" w:cs="Calibri"/>
          <w:b/>
          <w:sz w:val="22"/>
        </w:rPr>
        <w:t xml:space="preserve">Symptom duration: </w:t>
      </w:r>
      <w:r>
        <w:rPr>
          <w:rFonts w:ascii="Calibri" w:hAnsi="Calibri" w:cs="Calibri"/>
          <w:b w:val="0"/>
          <w:sz w:val="22"/>
        </w:rPr>
        <w:t>hours</w:t>
      </w:r>
    </w:p>
    <w:p>
      <w:pPr>
        <w:pStyle w:val="ListBullet"/>
        <w:spacing w:after="40" w:before="0"/>
      </w:pPr>
      <w:r>
        <w:rPr>
          <w:rFonts w:ascii="Calibri" w:hAnsi="Calibri" w:cs="Calibri"/>
          <w:b/>
          <w:sz w:val="22"/>
        </w:rPr>
        <w:t xml:space="preserve">Symptom course: </w:t>
      </w:r>
      <w:r>
        <w:rPr>
          <w:rFonts w:ascii="Calibri" w:hAnsi="Calibri" w:cs="Calibri"/>
          <w:b w:val="0"/>
          <w:sz w:val="22"/>
        </w:rPr>
        <w:t>pain controlled and the wound reviewed before discharge planning</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24 HR metoprolol succinate 100 MG Extended Release Oral Tablet; Warfarin Sodium 5 MG Oral Tablet. A ground-level fall was followed immediately by right hip pain and inability to bear weight. That was not the prior mobility. ground level fall. No chest pain or syncope was described. The right leg was shortened and externally rotated. Arrival INR was 2.6. Warfarin was held on arrival.</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and an anticoagulation indication among the active conditions. Other products: aspirin 81 MG Oral Tablet; 24 HR metoprolol succinate 100 MG Extended Release Oral Tablet; Warfarin Sodium 5 MG Oral Tablet. A ground-level fall was followed immediately by right hip pain and inability to bear weight. That was not the prior mobility. ground level fall. No chest pain or syncope was described. The right leg was shortened and externally rotated. Arrival INR was 2.6. Warfarin was held on arrival.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Received higher education (finding), Past pregnancy history of miscarriage (situation), Chronic sinusitis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radiograph, not the history alone, showed a right femoral-neck fracture. The INR was repeated before the operating room. The fracture diagnosis followed the radiograph. Anticoagulation management was then planned around that injury. Surgery waited until the INR was 1.3. No separate reversal drug was charted. Open reduction and internal fixation was then performed. The wound was dry and hemoglobin was stable after surgery. Enoxaparin 40 MG subcutaneously once daily was used for postoperative prophylaxis while warfarin remained held. INR fell from 2.6 to 1.3. Creatinine stayed near 0.9 mg/dL. Pain was controlled with non-opioid measures and the patient could sit and transfer with therapy. Therapy recommended home. The wound assessment is the one above. Warfarin and the prophylactic anticoagulant do not yet have a signed discharge order. Orthopedics, the anticoagulation indication's clinician, and a wound check were arranged.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INR is 1.3 and the wound is dry.</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enoxaparin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completed_inpatient_course; Indication: postoperative venous-thromboembolism prophylaxis; Note: Hospital prophylaxis only. Not a home medicine. Creatinine did not require a different prophylactic dose.</w:t>
            </w:r>
          </w:p>
        </w:tc>
      </w:tr>
      <w:tr>
        <w:trPr>
          <w:cantSplit/>
        </w:trPr>
        <w:tc>
          <w:tcPr>
            <w:tcW w:type="dxa" w:w="3384"/>
          </w:tcPr>
          <w:p>
            <w:pPr>
              <w:spacing w:after="20" w:before="20"/>
            </w:pPr>
            <w:r>
              <w:rPr>
                <w:rFonts w:ascii="Calibri" w:hAnsi="Calibri" w:cs="Calibri"/>
                <w:b w:val="0"/>
                <w:sz w:val="20"/>
              </w:rPr>
              <w:t>metoprolol</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unchanged outpatient indication; Note: Given through the hospitalization from the verified outpatient list.</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INR is 1.3 and the wound is dry.; Note: Still held. INR is 1.3 and the wound is dry.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INR</w:t>
            </w:r>
          </w:p>
        </w:tc>
        <w:tc>
          <w:tcPr>
            <w:tcW w:type="dxa" w:w="1958"/>
          </w:tcPr>
          <w:p>
            <w:pPr>
              <w:spacing w:after="20" w:before="20"/>
            </w:pPr>
            <w:r>
              <w:rPr>
                <w:rFonts w:ascii="Calibri" w:hAnsi="Calibri" w:cs="Calibri"/>
                <w:b w:val="0"/>
                <w:sz w:val="20"/>
              </w:rPr>
              <w:t>within 3 days</w:t>
            </w:r>
          </w:p>
        </w:tc>
        <w:tc>
          <w:tcPr>
            <w:tcW w:type="dxa" w:w="1958"/>
          </w:tcPr>
          <w:p>
            <w:pPr>
              <w:spacing w:after="20" w:before="20"/>
            </w:pPr>
            <w:r>
              <w:rPr>
                <w:rFonts w:ascii="Calibri" w:hAnsi="Calibri" w:cs="Calibri"/>
                <w:b w:val="0"/>
                <w:sz w:val="20"/>
              </w:rPr>
              <w:t>therapeutic range for the pre-existing indication</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Orthopedics</w:t>
            </w:r>
          </w:p>
        </w:tc>
        <w:tc>
          <w:tcPr>
            <w:tcW w:type="dxa" w:w="3264"/>
          </w:tcPr>
          <w:p>
            <w:pPr>
              <w:spacing w:after="20" w:before="20"/>
            </w:pPr>
            <w:r>
              <w:rPr>
                <w:rFonts w:ascii="Calibri" w:hAnsi="Calibri" w:cs="Calibri"/>
                <w:b w:val="0"/>
                <w:sz w:val="20"/>
              </w:rPr>
              <w:t>within 14 days</w:t>
            </w:r>
          </w:p>
        </w:tc>
        <w:tc>
          <w:tcPr>
            <w:tcW w:type="dxa" w:w="3264"/>
          </w:tcPr>
          <w:p>
            <w:pPr>
              <w:spacing w:after="20" w:before="20"/>
            </w:pPr>
            <w:r>
              <w:rPr>
                <w:rFonts w:ascii="Calibri" w:hAnsi="Calibri" w:cs="Calibri"/>
                <w:b w:val="0"/>
                <w:sz w:val="20"/>
              </w:rPr>
              <w:t>orthopedics</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Timepoint</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tcPr>
          <w:p>
            <w:pPr>
              <w:spacing w:after="20" w:before="20"/>
            </w:pPr>
            <w:r>
              <w:rPr>
                <w:rFonts w:ascii="Calibri" w:hAnsi="Calibri" w:cs="Calibri"/>
                <w:b w:val="0"/>
                <w:sz w:val="20"/>
              </w:rPr>
              <w:t>Right hip radiograph</w:t>
            </w:r>
          </w:p>
        </w:tc>
        <w:tc>
          <w:tcPr>
            <w:tcW w:type="dxa" w:w="3264"/>
          </w:tcPr>
          <w:p>
            <w:pPr>
              <w:spacing w:after="20" w:before="20"/>
            </w:pPr>
            <w:r>
              <w:rPr>
                <w:rFonts w:ascii="Calibri" w:hAnsi="Calibri" w:cs="Calibri"/>
                <w:b w:val="0"/>
                <w:sz w:val="20"/>
              </w:rPr>
              <w:t>admission</w:t>
            </w:r>
          </w:p>
        </w:tc>
        <w:tc>
          <w:tcPr>
            <w:tcW w:type="dxa" w:w="3264"/>
          </w:tcPr>
          <w:p>
            <w:pPr>
              <w:spacing w:after="20" w:before="20"/>
            </w:pPr>
            <w:r>
              <w:rPr>
                <w:rFonts w:ascii="Calibri" w:hAnsi="Calibri" w:cs="Calibri"/>
                <w:b w:val="0"/>
                <w:sz w:val="20"/>
              </w:rPr>
              <w:t>Femoral-neck fracture.</w:t>
            </w:r>
          </w:p>
        </w:tc>
      </w:tr>
    </w:tbl>
    <w:p>
      <w:pPr>
        <w:spacing w:after="40"/>
      </w:pP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Open reduction and internal fixation of the right femoral neck</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INR 1.3</w:t>
            </w:r>
          </w:p>
        </w:tc>
        <w:tc>
          <w:tcPr>
            <w:tcW w:type="dxa" w:w="1958"/>
          </w:tcPr>
          <w:p>
            <w:pPr>
              <w:spacing w:after="20" w:before="20"/>
            </w:pPr>
            <w:r>
              <w:rPr>
                <w:rFonts w:ascii="Calibri" w:hAnsi="Calibri" w:cs="Calibri"/>
                <w:b w:val="0"/>
                <w:sz w:val="20"/>
              </w:rPr>
              <w:t>Fixation completed.</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anticoagulation indication, an INR that has fallen, hemostasis, and completed fixation.</w:t>
            </w:r>
          </w:p>
        </w:tc>
      </w:tr>
      <w:tr>
        <w:trPr>
          <w:cantSplit/>
        </w:trPr>
        <w:tc>
          <w:tcPr>
            <w:tcW w:type="dxa" w:w="1872"/>
          </w:tcPr>
          <w:p>
            <w:pPr>
              <w:spacing w:after="20" w:before="20"/>
            </w:pPr>
            <w:r>
              <w:rPr>
                <w:rFonts w:ascii="Calibri" w:hAnsi="Calibri" w:cs="Calibri"/>
                <w:b w:val="0"/>
                <w:sz w:val="20"/>
              </w:rPr>
              <w:t>enoxaparin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postoperative venous-thromboembolism prophylaxis</w:t>
            </w:r>
          </w:p>
        </w:tc>
        <w:tc>
          <w:tcPr>
            <w:tcW w:type="dxa" w:w="1728"/>
          </w:tcPr>
          <w:p>
            <w:pPr>
              <w:spacing w:after="20" w:before="20"/>
            </w:pPr>
            <w:r>
              <w:rPr>
                <w:rFonts w:ascii="Calibri" w:hAnsi="Calibri" w:cs="Calibri"/>
                <w:b w:val="0"/>
                <w:sz w:val="20"/>
              </w:rPr>
              <w:t>Stopping enoxaparin avoids stacking it onto a warfarin decision. It was never a chronic outpatient drug.</w:t>
            </w:r>
          </w:p>
        </w:tc>
      </w:tr>
      <w:tr>
        <w:trPr>
          <w:cantSplit/>
        </w:trPr>
        <w:tc>
          <w:tcPr>
            <w:tcW w:type="dxa" w:w="1872"/>
          </w:tcPr>
          <w:p>
            <w:pPr>
              <w:spacing w:after="20" w:before="20"/>
            </w:pPr>
            <w:r>
              <w:rPr>
                <w:rFonts w:ascii="Calibri" w:hAnsi="Calibri" w:cs="Calibri"/>
                <w:b w:val="0"/>
                <w:sz w:val="20"/>
              </w:rPr>
              <w:t>aspirin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aspirin 81 MG Oral Tablet remains indicated. The hospitalization did not create a contraindication, so the curated regimen that matches the recorded product continues.</w:t>
            </w:r>
          </w:p>
        </w:tc>
      </w:tr>
      <w:tr>
        <w:trPr>
          <w:cantSplit/>
        </w:trPr>
        <w:tc>
          <w:tcPr>
            <w:tcW w:type="dxa" w:w="1872"/>
          </w:tcPr>
          <w:p>
            <w:pPr>
              <w:spacing w:after="20" w:before="20"/>
            </w:pPr>
            <w:r>
              <w:rPr>
                <w:rFonts w:ascii="Calibri" w:hAnsi="Calibri" w:cs="Calibri"/>
                <w:b w:val="0"/>
                <w:sz w:val="20"/>
              </w:rPr>
              <w:t>metoprolol</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unchanged outpatient indication</w:t>
            </w:r>
          </w:p>
        </w:tc>
        <w:tc>
          <w:tcPr>
            <w:tcW w:type="dxa" w:w="1728"/>
          </w:tcPr>
          <w:p>
            <w:pPr>
              <w:spacing w:after="20" w:before="20"/>
            </w:pPr>
            <w:r>
              <w:rPr>
                <w:rFonts w:ascii="Calibri" w:hAnsi="Calibri" w:cs="Calibri"/>
                <w:b w:val="0"/>
                <w:sz w:val="20"/>
              </w:rPr>
              <w:t>24 HR metoprolol succinate 100 MG Extended Release Oral Tablet remains indicated. The hospitalization did not create a contraindication, so the curated regimen that matches the recorded product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INR within 3 days if warfarin is resumed, and sooner for wound bleeding.</w:t>
            </w:r>
          </w:p>
        </w:tc>
        <w:tc>
          <w:tcPr>
            <w:tcW w:type="dxa" w:w="3312"/>
          </w:tcPr>
          <w:p>
            <w:pPr>
              <w:spacing w:after="20" w:before="20"/>
            </w:pPr>
            <w:r>
              <w:rPr>
                <w:rFonts w:ascii="Calibri" w:hAnsi="Calibri" w:cs="Calibri"/>
                <w:b w:val="0"/>
                <w:sz w:val="20"/>
              </w:rPr>
              <w:t>Orthopedics and the clinician who manages anticoagulation within 7 days.</w:t>
            </w:r>
          </w:p>
        </w:tc>
      </w:tr>
      <w:tr>
        <w:trPr>
          <w:cantSplit/>
        </w:trPr>
        <w:tc>
          <w:tcPr>
            <w:tcW w:type="dxa" w:w="3168"/>
          </w:tcPr>
          <w:p>
            <w:pPr>
              <w:spacing w:after="20" w:before="20"/>
            </w:pPr>
            <w:r>
              <w:rPr>
                <w:rFonts w:ascii="Calibri" w:hAnsi="Calibri" w:cs="Calibri"/>
                <w:b w:val="0"/>
                <w:sz w:val="20"/>
              </w:rPr>
              <w:t>enoxaparin</w:t>
            </w:r>
          </w:p>
        </w:tc>
        <w:tc>
          <w:tcPr>
            <w:tcW w:type="dxa" w:w="3312"/>
          </w:tcPr>
          <w:p>
            <w:pPr>
              <w:spacing w:after="20" w:before="20"/>
            </w:pPr>
            <w:r>
              <w:rPr>
                <w:rFonts w:ascii="Calibri" w:hAnsi="Calibri" w:cs="Calibri"/>
                <w:b w:val="0"/>
                <w:sz w:val="20"/>
              </w:rPr>
              <w:t>Observe the wound.</w:t>
            </w:r>
          </w:p>
        </w:tc>
        <w:tc>
          <w:tcPr>
            <w:tcW w:type="dxa" w:w="3312"/>
          </w:tcPr>
          <w:p>
            <w:pPr>
              <w:spacing w:after="20" w:before="20"/>
            </w:pPr>
            <w:r>
              <w:rPr>
                <w:rFonts w:ascii="Calibri" w:hAnsi="Calibri" w:cs="Calibri"/>
                <w:b w:val="0"/>
                <w:sz w:val="20"/>
              </w:rPr>
              <w:t>No enoxaparin follow-up.</w:t>
            </w:r>
          </w:p>
        </w:tc>
      </w:tr>
      <w:tr>
        <w:trPr>
          <w:cantSplit/>
        </w:trPr>
        <w:tc>
          <w:tcPr>
            <w:tcW w:type="dxa" w:w="3168"/>
          </w:tcPr>
          <w:p>
            <w:pPr>
              <w:spacing w:after="20" w:before="20"/>
            </w:pPr>
            <w:r>
              <w:rPr>
                <w:rFonts w:ascii="Calibri" w:hAnsi="Calibri" w:cs="Calibri"/>
                <w:b w:val="0"/>
                <w:sz w:val="20"/>
              </w:rPr>
              <w:t>aspirin</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r>
        <w:trPr>
          <w:cantSplit/>
        </w:trPr>
        <w:tc>
          <w:tcPr>
            <w:tcW w:type="dxa" w:w="3168"/>
          </w:tcPr>
          <w:p>
            <w:pPr>
              <w:spacing w:after="20" w:before="20"/>
            </w:pPr>
            <w:r>
              <w:rPr>
                <w:rFonts w:ascii="Calibri" w:hAnsi="Calibri" w:cs="Calibri"/>
                <w:b w:val="0"/>
                <w:sz w:val="20"/>
              </w:rPr>
              <w:t>metoprolol</w:t>
            </w:r>
          </w:p>
        </w:tc>
        <w:tc>
          <w:tcPr>
            <w:tcW w:type="dxa" w:w="3312"/>
          </w:tcPr>
          <w:p>
            <w:pPr>
              <w:spacing w:after="20" w:before="20"/>
            </w:pPr>
            <w:r>
              <w:rPr>
                <w:rFonts w:ascii="Calibri" w:hAnsi="Calibri" w:cs="Calibri"/>
                <w:b w:val="0"/>
                <w:sz w:val="20"/>
              </w:rPr>
              <w:t>Routine follow-up. No new intensive monitoring is required for this continuation.</w:t>
            </w:r>
          </w:p>
        </w:tc>
        <w:tc>
          <w:tcPr>
            <w:tcW w:type="dxa" w:w="3312"/>
          </w:tcPr>
          <w:p>
            <w:pPr>
              <w:spacing w:after="20" w:before="20"/>
            </w:pPr>
            <w:r>
              <w:rPr>
                <w:rFonts w:ascii="Calibri" w:hAnsi="Calibri" w:cs="Calibri"/>
                <w:b w:val="0"/>
                <w:sz w:val="20"/>
              </w:rPr>
              <w:t>Review at the scheduled follow-up visit.</w:t>
            </w:r>
          </w:p>
        </w:tc>
      </w:tr>
    </w:tbl>
    <w:p>
      <w:pPr>
        <w:spacing w:after="40"/>
      </w:pPr>
    </w:p>
    <w:p>
      <w:pPr>
        <w:spacing w:after="120"/>
      </w:pPr>
      <w:r>
        <w:rPr>
          <w:rFonts w:ascii="Calibri" w:hAnsi="Calibri" w:cs="Calibri"/>
          <w:b w:val="0"/>
          <w:sz w:val="22"/>
        </w:rPr>
        <w:t>Matched counterpart: VAL-820</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melena</w:t>
      </w:r>
    </w:p>
    <w:p>
      <w:pPr>
        <w:pStyle w:val="ListBullet"/>
        <w:spacing w:after="40" w:before="0"/>
      </w:pPr>
      <w:r>
        <w:rPr>
          <w:rFonts w:ascii="Calibri" w:hAnsi="Calibri" w:cs="Calibri"/>
          <w:b/>
          <w:sz w:val="22"/>
        </w:rPr>
        <w:t xml:space="preserve">Symptoms: </w:t>
      </w:r>
      <w:r>
        <w:rPr>
          <w:rFonts w:ascii="Calibri" w:hAnsi="Calibri" w:cs="Calibri"/>
          <w:b w:val="0"/>
          <w:sz w:val="22"/>
        </w:rPr>
        <w:t>melena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Only received primary school education (finding), Body mass index 30+ - obesity (finding), Past pregnancy history of miscarriage (situation), Chronic sinusitis (disorder)</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Only received primary school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Chronic sinusitis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Chronic or unspecified duodenal ulcer with hemorrhage</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Esophagogastroduodenoscopy was performed after resuscitation and showed duodenal ulcer with a clean base. Hemostasis was achieved or the lesion was already flat. The source above was assigned only after endoscopy. The admitting problem was bleeding, not that finished source. Warfarin remained held. No transfusion was required. Pantoprazole was started for the upper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after hemostasis, a stable hemoglobin, and an INR of 1.6.</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duodenal ulcer with a clean base; Note: Started for the upper source. A duration order is not signed.</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after hemostasis, a stable hemoglobin, and an INR of 1.6.; Note: Still held after hemostasis, a stable hemoglobin, and an INR of 1.6.</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Esophagogastroduodenoscopy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duodenal ulcer with a clean base</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indication, endoscopic hemostasis or a flat lesion, stable hemoglobin, and a fallen INR.</w:t>
            </w:r>
          </w:p>
        </w:tc>
      </w:tr>
      <w:tr>
        <w:trPr>
          <w:cantSplit/>
        </w:trPr>
        <w:tc>
          <w:tcPr>
            <w:tcW w:type="dxa" w:w="1872"/>
          </w:tcPr>
          <w:p>
            <w:pPr>
              <w:spacing w:after="20" w:before="20"/>
            </w:pPr>
            <w:r>
              <w:rPr>
                <w:rFonts w:ascii="Calibri" w:hAnsi="Calibri" w:cs="Calibri"/>
                <w:b w:val="0"/>
                <w:sz w:val="20"/>
              </w:rPr>
              <w:t>pantoprazole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duodenal ulcer with a clean base</w:t>
            </w:r>
          </w:p>
        </w:tc>
        <w:tc>
          <w:tcPr>
            <w:tcW w:type="dxa" w:w="1728"/>
          </w:tcPr>
          <w:p>
            <w:pPr>
              <w:spacing w:after="20" w:before="20"/>
            </w:pPr>
            <w:r>
              <w:rPr>
                <w:rFonts w:ascii="Calibri" w:hAnsi="Calibri" w:cs="Calibri"/>
                <w:b w:val="0"/>
                <w:sz w:val="20"/>
              </w:rPr>
              <w:t>Acid suppression is supported by the upper endoscopic source and should continue at least through mucosal healing.</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r>
        <w:trPr>
          <w:cantSplit/>
        </w:trPr>
        <w:tc>
          <w:tcPr>
            <w:tcW w:type="dxa" w:w="3168"/>
          </w:tcPr>
          <w:p>
            <w:pPr>
              <w:spacing w:after="20" w:before="20"/>
            </w:pPr>
            <w:r>
              <w:rPr>
                <w:rFonts w:ascii="Calibri" w:hAnsi="Calibri" w:cs="Calibri"/>
                <w:b w:val="0"/>
                <w:sz w:val="20"/>
              </w:rPr>
              <w:t>pantoprazole</w:t>
            </w:r>
          </w:p>
        </w:tc>
        <w:tc>
          <w:tcPr>
            <w:tcW w:type="dxa" w:w="3312"/>
          </w:tcPr>
          <w:p>
            <w:pPr>
              <w:spacing w:after="20" w:before="20"/>
            </w:pPr>
            <w:r>
              <w:rPr>
                <w:rFonts w:ascii="Calibri" w:hAnsi="Calibri" w:cs="Calibri"/>
                <w:b w:val="0"/>
                <w:sz w:val="20"/>
              </w:rPr>
              <w:t>No specific laboratory monitoring for this dose.</w:t>
            </w:r>
          </w:p>
        </w:tc>
        <w:tc>
          <w:tcPr>
            <w:tcW w:type="dxa" w:w="3312"/>
          </w:tcPr>
          <w:p>
            <w:pPr>
              <w:spacing w:after="20" w:before="20"/>
            </w:pPr>
            <w:r>
              <w:rPr>
                <w:rFonts w:ascii="Calibri" w:hAnsi="Calibri" w:cs="Calibri"/>
                <w:b w:val="0"/>
                <w:sz w:val="20"/>
              </w:rPr>
              <w:t>Gastroenterology to review the duration.</w:t>
            </w:r>
          </w:p>
        </w:tc>
      </w:tr>
    </w:tbl>
    <w:p>
      <w:pPr>
        <w:spacing w:after="40"/>
      </w:pPr>
    </w:p>
    <w:p>
      <w:pPr>
        <w:spacing w:after="120"/>
      </w:pPr>
      <w:r>
        <w:rPr>
          <w:rFonts w:ascii="Calibri" w:hAnsi="Calibri" w:cs="Calibri"/>
          <w:b w:val="0"/>
          <w:sz w:val="22"/>
        </w:rPr>
        <w:t>Matched counterpart: VAL-821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1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97.3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melena and reflux</w:t>
      </w:r>
    </w:p>
    <w:p>
      <w:pPr>
        <w:pStyle w:val="ListBullet"/>
        <w:spacing w:after="40" w:before="0"/>
      </w:pPr>
      <w:r>
        <w:rPr>
          <w:rFonts w:ascii="Calibri" w:hAnsi="Calibri" w:cs="Calibri"/>
          <w:b/>
          <w:sz w:val="22"/>
        </w:rPr>
        <w:t xml:space="preserve">Symptoms: </w:t>
      </w:r>
      <w:r>
        <w:rPr>
          <w:rFonts w:ascii="Calibri" w:hAnsi="Calibri" w:cs="Calibri"/>
          <w:b w:val="0"/>
          <w:sz w:val="22"/>
        </w:rPr>
        <w:t>melena and reflux</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Received higher education (finding), Prediabetes (finding), Anemia (disorder), Past pregnancy history of miscarriage (situation)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Received higher education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Esophagitis, unspecified without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Esophagogastroduodenoscopy was performed after resuscitation and showed erosive esophagitis without a spurting vessel. Hemostasis was achieved or the lesion was already flat. The source above was assigned only after endoscopy. The admitting problem was bleeding, not that finished source. Warfarin remained held. No transfusion was required. Pantoprazole was started for the upper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after hemostasis, a stable hemoglobin, and an INR of 1.6.</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erosive esophagitis without a spurting vessel; Note: Started for the upper source. A duration order is not signed.</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after hemostasis, a stable hemoglobin, and an INR of 1.6.; Note: Still held after hemostasis, a stable hemoglobin, and an INR of 1.6.</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Esophagogastroduodenoscopy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erosive esophagitis without a spurting vessel</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Restart is supported by a persistent indication, endoscopic hemostasis or a flat lesion, stable hemoglobin, and a fallen INR.</w:t>
            </w:r>
          </w:p>
        </w:tc>
      </w:tr>
      <w:tr>
        <w:trPr>
          <w:cantSplit/>
        </w:trPr>
        <w:tc>
          <w:tcPr>
            <w:tcW w:type="dxa" w:w="1872"/>
          </w:tcPr>
          <w:p>
            <w:pPr>
              <w:spacing w:after="20" w:before="20"/>
            </w:pPr>
            <w:r>
              <w:rPr>
                <w:rFonts w:ascii="Calibri" w:hAnsi="Calibri" w:cs="Calibri"/>
                <w:b w:val="0"/>
                <w:sz w:val="20"/>
              </w:rPr>
              <w:t>pantoprazole</w:t>
            </w:r>
          </w:p>
        </w:tc>
        <w:tc>
          <w:tcPr>
            <w:tcW w:type="dxa" w:w="1152"/>
          </w:tcPr>
          <w:p>
            <w:pPr>
              <w:spacing w:after="20" w:before="20"/>
            </w:pPr>
            <w:r>
              <w:rPr>
                <w:rFonts w:ascii="Calibri" w:hAnsi="Calibri" w:cs="Calibri"/>
                <w:b w:val="0"/>
                <w:sz w:val="20"/>
              </w:rPr>
              <w:t>new_start</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erosive esophagitis without a spurting vessel</w:t>
            </w:r>
          </w:p>
        </w:tc>
        <w:tc>
          <w:tcPr>
            <w:tcW w:type="dxa" w:w="1728"/>
          </w:tcPr>
          <w:p>
            <w:pPr>
              <w:spacing w:after="20" w:before="20"/>
            </w:pPr>
            <w:r>
              <w:rPr>
                <w:rFonts w:ascii="Calibri" w:hAnsi="Calibri" w:cs="Calibri"/>
                <w:b w:val="0"/>
                <w:sz w:val="20"/>
              </w:rPr>
              <w:t>Acid suppression is supported by the upper endoscopic source and should continue at least through mucosal healing.</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r>
        <w:trPr>
          <w:cantSplit/>
        </w:trPr>
        <w:tc>
          <w:tcPr>
            <w:tcW w:type="dxa" w:w="3168"/>
          </w:tcPr>
          <w:p>
            <w:pPr>
              <w:spacing w:after="20" w:before="20"/>
            </w:pPr>
            <w:r>
              <w:rPr>
                <w:rFonts w:ascii="Calibri" w:hAnsi="Calibri" w:cs="Calibri"/>
                <w:b w:val="0"/>
                <w:sz w:val="20"/>
              </w:rPr>
              <w:t>pantoprazole</w:t>
            </w:r>
          </w:p>
        </w:tc>
        <w:tc>
          <w:tcPr>
            <w:tcW w:type="dxa" w:w="3312"/>
          </w:tcPr>
          <w:p>
            <w:pPr>
              <w:spacing w:after="20" w:before="20"/>
            </w:pPr>
            <w:r>
              <w:rPr>
                <w:rFonts w:ascii="Calibri" w:hAnsi="Calibri" w:cs="Calibri"/>
                <w:b w:val="0"/>
                <w:sz w:val="20"/>
              </w:rPr>
              <w:t>No specific laboratory monitoring for this dose.</w:t>
            </w:r>
          </w:p>
        </w:tc>
        <w:tc>
          <w:tcPr>
            <w:tcW w:type="dxa" w:w="3312"/>
          </w:tcPr>
          <w:p>
            <w:pPr>
              <w:spacing w:after="20" w:before="20"/>
            </w:pPr>
            <w:r>
              <w:rPr>
                <w:rFonts w:ascii="Calibri" w:hAnsi="Calibri" w:cs="Calibri"/>
                <w:b w:val="0"/>
                <w:sz w:val="20"/>
              </w:rPr>
              <w:t>Gastroenterology to review the duration.</w:t>
            </w:r>
          </w:p>
        </w:tc>
      </w:tr>
    </w:tbl>
    <w:p>
      <w:pPr>
        <w:spacing w:after="40"/>
      </w:pPr>
    </w:p>
    <w:p>
      <w:pPr>
        <w:spacing w:after="120"/>
      </w:pPr>
      <w:r>
        <w:rPr>
          <w:rFonts w:ascii="Calibri" w:hAnsi="Calibri" w:cs="Calibri"/>
          <w:b w:val="0"/>
          <w:sz w:val="22"/>
        </w:rPr>
        <w:t>Matched counterpart: VAL-822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73.0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hematochezia</w:t>
      </w:r>
    </w:p>
    <w:p>
      <w:pPr>
        <w:pStyle w:val="ListBullet"/>
        <w:spacing w:after="40" w:before="0"/>
      </w:pPr>
      <w:r>
        <w:rPr>
          <w:rFonts w:ascii="Calibri" w:hAnsi="Calibri" w:cs="Calibri"/>
          <w:b/>
          <w:sz w:val="22"/>
        </w:rPr>
        <w:t xml:space="preserve">Symptoms: </w:t>
      </w:r>
      <w:r>
        <w:rPr>
          <w:rFonts w:ascii="Calibri" w:hAnsi="Calibri" w:cs="Calibri"/>
          <w:b w:val="0"/>
          <w:sz w:val="22"/>
        </w:rPr>
        <w:t>hematochezia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Risk activity involvement (finding), Educated to high school level (finding), Limited social contact (finding), Past pregnancy history of miscarriage (situation)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Risk activity involvement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Limited social contact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Past pregnancy history of miscarriage (situation)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Diverticulosis of large intestine without perforation or abscess with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Colonoscopy was performed after resuscitation and showed diverticulosis with stigmata of recent bleeding. Hemostasis was achieved or the lesion was already flat. The source above was assigned only after endoscopy. The admitting problem was bleeding, not that finished source. Warfarin remained held. No transfusion was required. Acid suppression was not started for a colonic source. Hemoglobin nadir was 8.6 g/dL and the pre-discharge value was 8.8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8.8</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Hemostasis is recent and the source was diverticular, so restart timing is explicitly unresolved.</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Hemostasis is recent and the source was diverticular, so restart timing is explicitly unresolved.; Note: Still held. Hemostasis is recent and the source was diverticular, so restart timing is explicitly unresolved.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Colonoscopy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diverticulosis with stigmata of recent bleeding</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2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A further hold is supported because diverticular hemostasis is recent. The indication remains, so this is not a permanent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bl>
    <w:p>
      <w:pPr>
        <w:spacing w:after="40"/>
      </w:pPr>
    </w:p>
    <w:p>
      <w:pPr>
        <w:spacing w:after="120"/>
      </w:pPr>
      <w:r>
        <w:rPr>
          <w:rFonts w:ascii="Calibri" w:hAnsi="Calibri" w:cs="Calibri"/>
          <w:b w:val="0"/>
          <w:sz w:val="22"/>
        </w:rPr>
        <w:t>Matched counterpart: VAL-823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2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2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G2-024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110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88.6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gastroenterology</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110-year-old Male with gastrointestinal bleeding with warfarin held and the source established by endoscopy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hematochezia</w:t>
      </w:r>
    </w:p>
    <w:p>
      <w:pPr>
        <w:pStyle w:val="ListBullet"/>
        <w:spacing w:after="40" w:before="0"/>
      </w:pPr>
      <w:r>
        <w:rPr>
          <w:rFonts w:ascii="Calibri" w:hAnsi="Calibri" w:cs="Calibri"/>
          <w:b/>
          <w:sz w:val="22"/>
        </w:rPr>
        <w:t xml:space="preserve">Symptoms: </w:t>
      </w:r>
      <w:r>
        <w:rPr>
          <w:rFonts w:ascii="Calibri" w:hAnsi="Calibri" w:cs="Calibri"/>
          <w:b w:val="0"/>
          <w:sz w:val="22"/>
        </w:rPr>
        <w:t>hematochezia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bleeding stopped and the heart rate and hemoglobin stabilized</w:t>
      </w:r>
    </w:p>
    <w:p>
      <w:pPr>
        <w:pStyle w:val="Heading3"/>
      </w:pPr>
      <w:r>
        <w:rPr>
          <w:rFonts w:ascii="Calibri" w:hAnsi="Calibri"/>
          <w:color w:val="1F3A5F"/>
        </w:rPr>
        <w:t>History of present illness</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3"/>
      </w:pPr>
      <w:r>
        <w:rPr>
          <w:rFonts w:ascii="Calibri" w:hAnsi="Calibri"/>
          <w:color w:val="1F3A5F"/>
        </w:rPr>
        <w:t>Admission note</w:t>
      </w:r>
    </w:p>
    <w:p>
      <w:pPr>
        <w:spacing w:after="120"/>
      </w:pPr>
      <w:r>
        <w:rPr>
          <w:rFonts w:ascii="Calibri" w:hAnsi="Calibri" w:cs="Calibri"/>
          <w:b w:val="0"/>
          <w:sz w:val="22"/>
        </w:rPr>
        <w:t>The longitudinal extract includes warfarin (Warfarin Sodium 5 MG Oral Tablet) for a recorded indication. Other products: Warfarin Sodium 5 MG Oral Tablet. There was no chronic daily bleeding at baseline. Overt bleeding began within the day before arrival and was not the patient's usual pattern. No new nonsteroidal drug was identified. The bleeding itself was the acute event on chronic anticoagulation. Heart rate was 114 and blood pressure was 96/58. Hemoglobin was 9.2 g/dL. INR was 2.7. Warfarin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Educated to high school level (finding), Prediabetes (finding), Anemia (disorder), Body mass index 30+ - obesity (finding)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Educated to high school level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Prediabetes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Anemia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Body mass index 30+ - obesity (finding)</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Diverticulosis of large intestine without perforation or abscess with bleeding</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Acute posthemorrhagic anemia</w:t>
            </w:r>
          </w:p>
        </w:tc>
        <w:tc>
          <w:tcPr>
            <w:tcW w:type="dxa" w:w="2448"/>
          </w:tcPr>
          <w:p>
            <w:pPr>
              <w:spacing w:after="20" w:before="20"/>
            </w:pPr>
            <w:r>
              <w:rPr>
                <w:rFonts w:ascii="Calibri" w:hAnsi="Calibri" w:cs="Calibri"/>
                <w:b w:val="0"/>
                <w:sz w:val="20"/>
              </w:rPr>
              <w:t>hospital</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community</w:t>
      </w:r>
    </w:p>
    <w:p>
      <w:pPr>
        <w:pStyle w:val="ListBullet"/>
        <w:spacing w:after="40" w:before="0"/>
      </w:pPr>
      <w:r>
        <w:rPr>
          <w:rFonts w:ascii="Calibri" w:hAnsi="Calibri" w:cs="Calibri"/>
          <w:b/>
          <w:sz w:val="22"/>
        </w:rPr>
        <w:t xml:space="preserve">Social context: </w:t>
      </w:r>
      <w:r>
        <w:rPr>
          <w:rFonts w:ascii="Calibri" w:hAnsi="Calibri" w:cs="Calibri"/>
          <w:b w:val="0"/>
          <w:sz w:val="22"/>
        </w:rPr>
        <w:t>Longitudinal social history was not required for this episode.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Colonoscopy was performed after resuscitation and showed diverticulosis with stigmata of recent bleeding. Hemostasis was achieved or the lesion was already flat. The source above was assigned only after endoscopy. The admitting problem was bleeding, not that finished source. Warfarin remained held. One unit of red cells was given. Acid suppression was not started for a colonic source. Hemoglobin nadir was 7.4 g/dL and the pre-discharge value was 9.0 g/dL. Heart rate fell to 78 and blood pressure was 122/70. INR fell to 1.6. No further melena or hematochezia occurred. The patient was eating and hemodynamically stable. The anticoagulation restart decision was still unsigned. Gastroenterology and anticoagulation follow-up were arranged, with a hemoglobin check.</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 for clinician review of the discharge medication plan</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96/58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9.2</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2.7</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INR in Platelet poor plasma by Coagulation assay</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longitudinal anticoagulation indication; Note: Still held. Hemostasis is recent and the source was diverticular, so restart timing is explicitly unresolved.</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warfarin</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longitudinal anticoagulation indication; Held reason: Still held. Hemostasis is recent and the source was diverticular, so restart timing is explicitly unresolved.; Note: Still held. Hemostasis is recent and the source was diverticular, so restart timing is explicitly unresolved.</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spacing w:after="120"/>
      </w:pPr>
      <w:r>
        <w:rPr>
          <w:rFonts w:ascii="Calibri" w:hAnsi="Calibri" w:cs="Calibri"/>
          <w:b w:val="0"/>
          <w:sz w:val="22"/>
        </w:rPr>
        <w:t>No medication-reconciliation documentation was specified.</w:t>
      </w:r>
    </w:p>
    <w:p>
      <w:pPr>
        <w:pStyle w:val="Heading2"/>
      </w:pPr>
      <w:r>
        <w:rPr>
          <w:rFonts w:ascii="Calibri" w:hAnsi="Calibri"/>
          <w:color w:val="1F3A5F"/>
        </w:rPr>
        <w:t>Monitoring</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Parameter</w:t>
            </w:r>
          </w:p>
        </w:tc>
        <w:tc>
          <w:tcPr>
            <w:tcW w:type="dxa" w:w="1958"/>
            <w:shd w:val="clear" w:color="auto" w:fill="D9E2F3"/>
          </w:tcPr>
          <w:p>
            <w:pPr>
              <w:spacing w:after="20" w:before="20"/>
            </w:pPr>
            <w:r>
              <w:rPr>
                <w:rFonts w:ascii="Calibri" w:hAnsi="Calibri" w:cs="Calibri"/>
                <w:b/>
                <w:sz w:val="20"/>
              </w:rPr>
              <w:t>Frequency</w:t>
            </w:r>
          </w:p>
        </w:tc>
        <w:tc>
          <w:tcPr>
            <w:tcW w:type="dxa" w:w="1958"/>
            <w:shd w:val="clear" w:color="auto" w:fill="D9E2F3"/>
          </w:tcPr>
          <w:p>
            <w:pPr>
              <w:spacing w:after="20" w:before="20"/>
            </w:pPr>
            <w:r>
              <w:rPr>
                <w:rFonts w:ascii="Calibri" w:hAnsi="Calibri" w:cs="Calibri"/>
                <w:b/>
                <w:sz w:val="20"/>
              </w:rPr>
              <w:t>Target</w:t>
            </w:r>
          </w:p>
        </w:tc>
        <w:tc>
          <w:tcPr>
            <w:tcW w:type="dxa" w:w="1958"/>
            <w:shd w:val="clear" w:color="auto" w:fill="D9E2F3"/>
          </w:tcPr>
          <w:p>
            <w:pPr>
              <w:spacing w:after="20" w:before="20"/>
            </w:pPr>
            <w:r>
              <w:rPr>
                <w:rFonts w:ascii="Calibri" w:hAnsi="Calibri" w:cs="Calibri"/>
                <w:b/>
                <w:sz w:val="20"/>
              </w:rPr>
              <w:t>Duration</w:t>
            </w:r>
          </w:p>
        </w:tc>
        <w:tc>
          <w:tcPr>
            <w:tcW w:type="dxa" w:w="1958"/>
            <w:shd w:val="clear" w:color="auto" w:fill="D9E2F3"/>
          </w:tcPr>
          <w:p>
            <w:pPr>
              <w:spacing w:after="20" w:before="20"/>
            </w:pPr>
            <w:r>
              <w:rPr>
                <w:rFonts w:ascii="Calibri" w:hAnsi="Calibri" w:cs="Calibri"/>
                <w:b/>
                <w:sz w:val="20"/>
              </w:rPr>
              <w:t>Responsible service</w:t>
            </w:r>
          </w:p>
        </w:tc>
      </w:tr>
      <w:tr>
        <w:trPr>
          <w:cantSplit/>
        </w:trPr>
        <w:tc>
          <w:tcPr>
            <w:tcW w:type="dxa" w:w="1958"/>
          </w:tcPr>
          <w:p>
            <w:pPr>
              <w:spacing w:after="20" w:before="20"/>
            </w:pPr>
            <w:r>
              <w:rPr>
                <w:rFonts w:ascii="Calibri" w:hAnsi="Calibri" w:cs="Calibri"/>
                <w:b w:val="0"/>
                <w:sz w:val="20"/>
              </w:rPr>
              <w:t>hemoglobin</w:t>
            </w:r>
          </w:p>
        </w:tc>
        <w:tc>
          <w:tcPr>
            <w:tcW w:type="dxa" w:w="1958"/>
          </w:tcPr>
          <w:p>
            <w:pPr>
              <w:spacing w:after="20" w:before="20"/>
            </w:pPr>
            <w:r>
              <w:rPr>
                <w:rFonts w:ascii="Calibri" w:hAnsi="Calibri" w:cs="Calibri"/>
                <w:b w:val="0"/>
                <w:sz w:val="20"/>
              </w:rPr>
              <w:t>within 48 hours</w:t>
            </w:r>
          </w:p>
        </w:tc>
        <w:tc>
          <w:tcPr>
            <w:tcW w:type="dxa" w:w="1958"/>
          </w:tcPr>
          <w:p>
            <w:pPr>
              <w:spacing w:after="20" w:before="20"/>
            </w:pPr>
            <w:r>
              <w:rPr>
                <w:rFonts w:ascii="Calibri" w:hAnsi="Calibri" w:cs="Calibri"/>
                <w:b w:val="0"/>
                <w:sz w:val="20"/>
              </w:rPr>
              <w:t>no further drop</w:t>
            </w:r>
          </w:p>
        </w:tc>
        <w:tc>
          <w:tcPr>
            <w:tcW w:type="dxa" w:w="1958"/>
          </w:tcPr>
          <w:p>
            <w:pPr>
              <w:spacing w:after="20" w:before="20"/>
            </w:pPr>
            <w:r>
              <w:rPr>
                <w:rFonts w:ascii="Calibri" w:hAnsi="Calibri" w:cs="Calibri"/>
                <w:b w:val="0"/>
                <w:sz w:val="20"/>
              </w:rPr>
              <w:t>until the first follow-up visit</w:t>
            </w:r>
          </w:p>
        </w:tc>
        <w:tc>
          <w:tcPr>
            <w:tcW w:type="dxa" w:w="1958"/>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gastroenterology</w:t>
            </w:r>
          </w:p>
        </w:tc>
      </w:tr>
      <w:tr>
        <w:trPr>
          <w:cantSplit/>
        </w:trPr>
        <w:tc>
          <w:tcPr>
            <w:tcW w:type="dxa" w:w="3264"/>
          </w:tcPr>
          <w:p>
            <w:pPr>
              <w:spacing w:after="20" w:before="20"/>
            </w:pPr>
            <w:r>
              <w:rPr>
                <w:rFonts w:ascii="Calibri" w:hAnsi="Calibri" w:cs="Calibri"/>
                <w:b w:val="0"/>
                <w:sz w:val="20"/>
              </w:rPr>
              <w:t>Anticoagulation follow-up</w:t>
            </w:r>
          </w:p>
        </w:tc>
        <w:tc>
          <w:tcPr>
            <w:tcW w:type="dxa" w:w="3264"/>
          </w:tcPr>
          <w:p>
            <w:pPr>
              <w:spacing w:after="20" w:before="20"/>
            </w:pPr>
            <w:r>
              <w:rPr>
                <w:rFonts w:ascii="Calibri" w:hAnsi="Calibri" w:cs="Calibri"/>
                <w:b w:val="0"/>
                <w:sz w:val="20"/>
              </w:rPr>
              <w:t>within 7 days</w:t>
            </w:r>
          </w:p>
        </w:tc>
        <w:tc>
          <w:tcPr>
            <w:tcW w:type="dxa" w:w="3264"/>
          </w:tcPr>
          <w:p>
            <w:pPr>
              <w:spacing w:after="20" w:before="20"/>
            </w:pPr>
            <w:r>
              <w:rPr>
                <w:rFonts w:ascii="Calibri" w:hAnsi="Calibri" w:cs="Calibri"/>
                <w:b w:val="0"/>
                <w:sz w:val="20"/>
              </w:rPr>
              <w:t>anticoagulation clinician</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discharge medication task</w:t>
      </w:r>
    </w:p>
    <w:p>
      <w:pPr>
        <w:spacing w:after="120"/>
      </w:pPr>
      <w:r>
        <w:rPr>
          <w:rFonts w:ascii="Calibri" w:hAnsi="Calibri" w:cs="Calibri"/>
          <w:b w:val="0"/>
          <w:sz w:val="22"/>
        </w:rPr>
        <w:t>Determine the discharge medication plan from this hospitalization. A completed discharge medication list is not provided.</w:t>
      </w:r>
    </w:p>
    <w:p>
      <w:pPr>
        <w:pStyle w:val="Heading2"/>
      </w:pPr>
      <w:r>
        <w:rPr>
          <w:rFonts w:ascii="Calibri" w:hAnsi="Calibri"/>
          <w:color w:val="1F3A5F"/>
        </w:rPr>
        <w:t>Procedures</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Procedure</w:t>
            </w:r>
          </w:p>
        </w:tc>
        <w:tc>
          <w:tcPr>
            <w:tcW w:type="dxa" w:w="1958"/>
            <w:shd w:val="clear" w:color="auto" w:fill="D9E2F3"/>
          </w:tcPr>
          <w:p>
            <w:pPr>
              <w:spacing w:after="20" w:before="20"/>
            </w:pPr>
            <w:r>
              <w:rPr>
                <w:rFonts w:ascii="Calibri" w:hAnsi="Calibri" w:cs="Calibri"/>
                <w:b/>
                <w:sz w:val="20"/>
              </w:rPr>
              <w:t>Type</w:t>
            </w:r>
          </w:p>
        </w:tc>
        <w:tc>
          <w:tcPr>
            <w:tcW w:type="dxa" w:w="1958"/>
            <w:shd w:val="clear" w:color="auto" w:fill="D9E2F3"/>
          </w:tcPr>
          <w:p>
            <w:pPr>
              <w:spacing w:after="20" w:before="20"/>
            </w:pPr>
            <w:r>
              <w:rPr>
                <w:rFonts w:ascii="Calibri" w:hAnsi="Calibri" w:cs="Calibri"/>
                <w:b/>
                <w:sz w:val="20"/>
              </w:rPr>
              <w:t>Time</w:t>
            </w:r>
          </w:p>
        </w:tc>
        <w:tc>
          <w:tcPr>
            <w:tcW w:type="dxa" w:w="1958"/>
            <w:shd w:val="clear" w:color="auto" w:fill="D9E2F3"/>
          </w:tcPr>
          <w:p>
            <w:pPr>
              <w:spacing w:after="20" w:before="20"/>
            </w:pPr>
            <w:r>
              <w:rPr>
                <w:rFonts w:ascii="Calibri" w:hAnsi="Calibri" w:cs="Calibri"/>
                <w:b/>
                <w:sz w:val="20"/>
              </w:rPr>
              <w:t>Findings</w:t>
            </w:r>
          </w:p>
        </w:tc>
        <w:tc>
          <w:tcPr>
            <w:tcW w:type="dxa" w:w="1958"/>
            <w:shd w:val="clear" w:color="auto" w:fill="D9E2F3"/>
          </w:tcPr>
          <w:p>
            <w:pPr>
              <w:spacing w:after="20" w:before="20"/>
            </w:pPr>
            <w:r>
              <w:rPr>
                <w:rFonts w:ascii="Calibri" w:hAnsi="Calibri" w:cs="Calibri"/>
                <w:b/>
                <w:sz w:val="20"/>
              </w:rPr>
              <w:t>Complications</w:t>
            </w:r>
          </w:p>
        </w:tc>
      </w:tr>
      <w:tr>
        <w:trPr>
          <w:cantSplit/>
        </w:trPr>
        <w:tc>
          <w:tcPr>
            <w:tcW w:type="dxa" w:w="1958"/>
          </w:tcPr>
          <w:p>
            <w:pPr>
              <w:spacing w:after="20" w:before="20"/>
            </w:pPr>
            <w:r>
              <w:rPr>
                <w:rFonts w:ascii="Calibri" w:hAnsi="Calibri" w:cs="Calibri"/>
                <w:b w:val="0"/>
                <w:sz w:val="20"/>
              </w:rPr>
              <w:t>Colonoscopy</w:t>
            </w:r>
          </w:p>
        </w:tc>
        <w:tc>
          <w:tcPr>
            <w:tcW w:type="dxa" w:w="1958"/>
          </w:tcPr>
          <w:p>
            <w:pPr>
              <w:spacing w:after="20" w:before="20"/>
            </w:pPr>
            <w:r>
              <w:rPr>
                <w:rFonts w:ascii="Calibri" w:hAnsi="Calibri" w:cs="Calibri"/>
                <w:b w:val="0"/>
                <w:sz w:val="20"/>
              </w:rPr>
              <w:t>inpatient</w:t>
            </w:r>
          </w:p>
        </w:tc>
        <w:tc>
          <w:tcPr>
            <w:tcW w:type="dxa" w:w="1958"/>
          </w:tcPr>
          <w:p>
            <w:pPr>
              <w:spacing w:after="20" w:before="20"/>
            </w:pPr>
            <w:r>
              <w:rPr>
                <w:rFonts w:ascii="Calibri" w:hAnsi="Calibri" w:cs="Calibri"/>
                <w:b w:val="0"/>
                <w:sz w:val="20"/>
              </w:rPr>
              <w:t>after resuscitation</w:t>
            </w:r>
          </w:p>
        </w:tc>
        <w:tc>
          <w:tcPr>
            <w:tcW w:type="dxa" w:w="1958"/>
          </w:tcPr>
          <w:p>
            <w:pPr>
              <w:spacing w:after="20" w:before="20"/>
            </w:pPr>
            <w:r>
              <w:rPr>
                <w:rFonts w:ascii="Calibri" w:hAnsi="Calibri" w:cs="Calibri"/>
                <w:b w:val="0"/>
                <w:sz w:val="20"/>
              </w:rPr>
              <w:t>diverticulosis with stigmata of recent bleeding</w:t>
            </w:r>
          </w:p>
        </w:tc>
        <w:tc>
          <w:tcPr>
            <w:tcW w:type="dxa" w:w="1958"/>
          </w:tcPr>
          <w:p>
            <w:pPr>
              <w:spacing w:after="20" w:before="20"/>
            </w:pPr>
            <w:r>
              <w:rPr>
                <w:rFonts w:ascii="Calibri" w:hAnsi="Calibri" w:cs="Calibri"/>
                <w:b w:val="0"/>
                <w:sz w:val="20"/>
              </w:rPr>
              <w:t>none</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3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longitudinal anticoagulation indication</w:t>
            </w:r>
          </w:p>
        </w:tc>
        <w:tc>
          <w:tcPr>
            <w:tcW w:type="dxa" w:w="1728"/>
          </w:tcPr>
          <w:p>
            <w:pPr>
              <w:spacing w:after="20" w:before="20"/>
            </w:pPr>
            <w:r>
              <w:rPr>
                <w:rFonts w:ascii="Calibri" w:hAnsi="Calibri" w:cs="Calibri"/>
                <w:b w:val="0"/>
                <w:sz w:val="20"/>
              </w:rPr>
              <w:t>A further hold is supported because diverticular hemostasis is recent. The indication remains, so this is not a permanent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warfarin</w:t>
            </w:r>
          </w:p>
        </w:tc>
        <w:tc>
          <w:tcPr>
            <w:tcW w:type="dxa" w:w="3312"/>
          </w:tcPr>
          <w:p>
            <w:pPr>
              <w:spacing w:after="20" w:before="20"/>
            </w:pPr>
            <w:r>
              <w:rPr>
                <w:rFonts w:ascii="Calibri" w:hAnsi="Calibri" w:cs="Calibri"/>
                <w:b w:val="0"/>
                <w:sz w:val="20"/>
              </w:rPr>
              <w:t>Hemoglobin within 48 hours and INR if warfarin resumes.</w:t>
            </w:r>
          </w:p>
        </w:tc>
        <w:tc>
          <w:tcPr>
            <w:tcW w:type="dxa" w:w="3312"/>
          </w:tcPr>
          <w:p>
            <w:pPr>
              <w:spacing w:after="20" w:before="20"/>
            </w:pPr>
            <w:r>
              <w:rPr>
                <w:rFonts w:ascii="Calibri" w:hAnsi="Calibri" w:cs="Calibri"/>
                <w:b w:val="0"/>
                <w:sz w:val="20"/>
              </w:rPr>
              <w:t>Gastroenterology and anticoagulation follow-up within 7 days.</w:t>
            </w:r>
          </w:p>
        </w:tc>
      </w:tr>
    </w:tbl>
    <w:p>
      <w:pPr>
        <w:spacing w:after="40"/>
      </w:pPr>
    </w:p>
    <w:p>
      <w:pPr>
        <w:spacing w:after="120"/>
      </w:pPr>
      <w:r>
        <w:rPr>
          <w:rFonts w:ascii="Calibri" w:hAnsi="Calibri" w:cs="Calibri"/>
          <w:b w:val="0"/>
          <w:sz w:val="22"/>
        </w:rPr>
        <w:t>Matched counterpart: VAL-824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3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3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3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3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3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3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3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Generation 2 clinical validation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G2-009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Generation 2 clinical validation    G2-024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Generation 2 clinical validation</dc:title>
  <dc:subject/>
  <dc:creator/>
  <cp:keywords/>
  <dc:description/>
  <cp:lastModifiedBy/>
  <cp:revision>1</cp:revision>
  <dcterms:created xsi:type="dcterms:W3CDTF">2013-12-23T23:15:00Z</dcterms:created>
  <dcterms:modified xsi:type="dcterms:W3CDTF">2013-12-23T23:15:00Z</dcterms:modified>
  <cp:category/>
  <dc:identifier/>
</cp:coreProperties>
</file>