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A5F"/>
        </w:rPr>
        <w:t>CliniProof Resident Validation Codebook</w:t>
      </w:r>
    </w:p>
    <w:p>
      <w:pPr>
        <w:spacing w:after="120"/>
      </w:pPr>
      <w:r>
        <w:rPr>
          <w:rFonts w:ascii="Calibri" w:hAnsi="Calibri" w:cs="Calibri"/>
          <w:b w:val="0"/>
          <w:sz w:val="22"/>
        </w:rPr>
        <w:t>Date of export: 29 September 2026</w:t>
      </w:r>
    </w:p>
    <w:p>
      <w:pPr>
        <w:spacing w:after="120"/>
      </w:pPr>
      <w:r>
        <w:rPr>
          <w:rFonts w:ascii="Calibri" w:hAnsi="Calibri" w:cs="Calibri"/>
          <w:b w:val="0"/>
          <w:sz w:val="22"/>
        </w:rPr>
        <w:t>This codebook explains how to read and validate the synthetic cases. It does not identify the assessment target of any individual case.</w:t>
      </w:r>
    </w:p>
    <w:p>
      <w:pPr>
        <w:pStyle w:val="Heading1"/>
      </w:pPr>
      <w:r>
        <w:rPr>
          <w:rFonts w:ascii="Calibri" w:hAnsi="Calibri"/>
          <w:color w:val="1F3A5F"/>
        </w:rPr>
        <w:t>Purpose</w:t>
      </w:r>
    </w:p>
    <w:p>
      <w:pPr>
        <w:spacing w:after="120"/>
      </w:pPr>
      <w:r>
        <w:rPr>
          <w:rFonts w:ascii="Calibri" w:hAnsi="Calibri" w:cs="Calibri"/>
          <w:b w:val="0"/>
          <w:sz w:val="22"/>
        </w:rPr>
        <w:t>The cases are synthetic inpatient charts created for medication-reconciliation and transition-of-care assessment. Reviewers are asked to decide whether each chart is clinically coherent and usable for the planned study.</w:t>
      </w:r>
    </w:p>
    <w:p>
      <w:pPr>
        <w:spacing w:after="120"/>
      </w:pPr>
      <w:r>
        <w:rPr>
          <w:rFonts w:ascii="Calibri" w:hAnsi="Calibri" w:cs="Calibri"/>
          <w:b w:val="0"/>
          <w:sz w:val="22"/>
        </w:rPr>
        <w:t>Validation is one review of the complete case. The same reading produces ratings C1 through C5 and one recommendation. There is no separate plausibility-only pass.</w:t>
      </w:r>
    </w:p>
    <w:p>
      <w:pPr>
        <w:pStyle w:val="Heading1"/>
      </w:pPr>
      <w:r>
        <w:rPr>
          <w:rFonts w:ascii="Calibri" w:hAnsi="Calibri"/>
          <w:color w:val="1F3A5F"/>
        </w:rPr>
        <w:t>The two case sets</w:t>
      </w:r>
    </w:p>
    <w:p>
      <w:pPr>
        <w:pStyle w:val="Heading2"/>
      </w:pPr>
      <w:r>
        <w:rPr>
          <w:rFonts w:ascii="Calibri" w:hAnsi="Calibri"/>
          <w:color w:val="1F3A5F"/>
        </w:rPr>
        <w:t>Balanced structured set</w:t>
      </w:r>
    </w:p>
    <w:p>
      <w:pPr>
        <w:spacing w:after="120"/>
      </w:pPr>
      <w:r>
        <w:rPr>
          <w:rFonts w:ascii="Calibri" w:hAnsi="Calibri" w:cs="Calibri"/>
          <w:b w:val="0"/>
          <w:sz w:val="22"/>
        </w:rPr>
        <w:t>CLINIPROOF_BALANCED_V4, VAL-701 through VAL-724 (24 cases). Status: Pending human clinician validation.</w:t>
      </w:r>
    </w:p>
    <w:p>
      <w:pPr>
        <w:spacing w:after="120"/>
      </w:pPr>
      <w:r>
        <w:rPr>
          <w:rFonts w:ascii="Calibri" w:hAnsi="Calibri" w:cs="Calibri"/>
          <w:b w:val="0"/>
          <w:sz w:val="22"/>
        </w:rPr>
        <w:t>This set was generated from predefined structured clinical profiles to provide controlled coverage across several inpatient scenarios. The profiles specify a presentation, a medication role, a hospital course, and follow-up before any assessment problem is considered. The distribution is a study design. It is not an estimate of disease prevalence.</w:t>
      </w:r>
    </w:p>
    <w:p>
      <w:pPr>
        <w:pStyle w:val="Heading2"/>
      </w:pPr>
      <w:r>
        <w:rPr>
          <w:rFonts w:ascii="Calibri" w:hAnsi="Calibri"/>
          <w:color w:val="1F3A5F"/>
        </w:rPr>
        <w:t>Resident-seed-guided set</w:t>
      </w:r>
    </w:p>
    <w:p>
      <w:pPr>
        <w:spacing w:after="120"/>
      </w:pPr>
      <w:r>
        <w:rPr>
          <w:rFonts w:ascii="Calibri" w:hAnsi="Calibri" w:cs="Calibri"/>
          <w:b w:val="0"/>
          <w:sz w:val="22"/>
        </w:rPr>
        <w:t>CLINIPROOF_SEEDCASES_V3, VAL-801 through VAL-824 (24 cases). Status: Pending human clinician validation.</w:t>
      </w:r>
    </w:p>
    <w:p>
      <w:pPr>
        <w:spacing w:after="120"/>
      </w:pPr>
      <w:r>
        <w:rPr>
          <w:rFonts w:ascii="Calibri" w:hAnsi="Calibri" w:cs="Calibri"/>
          <w:b w:val="0"/>
          <w:sz w:val="22"/>
        </w:rPr>
        <w:t>This set was generated from clinical archetypes abstracted from six resident-provided example cases. The generated cases are new synthetic encounters and are not copies of the resident-provided source cases.</w:t>
      </w:r>
    </w:p>
    <w:p>
      <w:pPr>
        <w:spacing w:after="120"/>
      </w:pPr>
      <w:r>
        <w:rPr>
          <w:rFonts w:ascii="Calibri" w:hAnsi="Calibri" w:cs="Calibri"/>
          <w:b w:val="0"/>
          <w:sz w:val="22"/>
        </w:rPr>
        <w:t>The two sets ask different design questions. This codebook does not rank one approach above the other.</w:t>
      </w:r>
    </w:p>
    <w:p>
      <w:pPr>
        <w:pStyle w:val="Heading1"/>
      </w:pPr>
      <w:r>
        <w:rPr>
          <w:rFonts w:ascii="Calibri" w:hAnsi="Calibri"/>
          <w:color w:val="1F3A5F"/>
        </w:rPr>
        <w:t>How these cases connect to the CliniProof dashboard</w:t>
      </w:r>
    </w:p>
    <w:p>
      <w:pPr>
        <w:spacing w:after="120"/>
      </w:pPr>
      <w:r>
        <w:rPr>
          <w:rFonts w:ascii="Calibri" w:hAnsi="Calibri" w:cs="Calibri"/>
          <w:b w:val="0"/>
          <w:sz w:val="22"/>
        </w:rPr>
        <w:t>The same underlying case structure is intended to populate the dashboard. A resident review dashboard is planned. It is not implemented in the current software.</w:t>
      </w:r>
    </w:p>
    <w:p>
      <w:pPr>
        <w:spacing w:after="120"/>
      </w:pPr>
      <w:r>
        <w:rPr>
          <w:rFonts w:ascii="Calibri" w:hAnsi="Calibri" w:cs="Calibri"/>
          <w:b w:val="0"/>
          <w:sz w:val="22"/>
        </w:rPr>
        <w:t>What is implemented now is the case generator and a reference-terminology search service for medications, laboratory tests, diagnoses, and symptoms. There is no resident-review application in this repository.</w:t>
      </w:r>
    </w:p>
    <w:p>
      <w:pPr>
        <w:spacing w:after="120"/>
      </w:pPr>
      <w:r>
        <w:rPr>
          <w:rFonts w:ascii="Calibri" w:hAnsi="Calibri" w:cs="Calibri"/>
          <w:b w:val="0"/>
          <w:sz w:val="22"/>
        </w:rPr>
        <w:t>Residents using the planned dashboard would review parts of the synthetic chart, including clinical presentation, medical history, laboratory results, the home medication list, the inpatient medication list, the discharge medication list, monitoring, follow-up, and discharge information. These Word documents are the format for validating that clinical content before any dashboard administration.</w:t>
      </w:r>
    </w:p>
    <w:p>
      <w:pPr>
        <w:spacing w:after="120"/>
      </w:pPr>
      <w:r>
        <w:rPr>
          <w:rFonts w:ascii="Calibri" w:hAnsi="Calibri" w:cs="Calibri"/>
          <w:b w:val="0"/>
          <w:sz w:val="22"/>
        </w:rPr>
        <w:t>The planned dashboard is the presentation and interaction layer. The case generator provides the underlying clinical content. The concealed scoring reference is stored separately and is not part of these charts.</w:t>
      </w:r>
    </w:p>
    <w:p>
      <w:pPr>
        <w:pStyle w:val="Heading1"/>
      </w:pPr>
      <w:r>
        <w:rPr>
          <w:rFonts w:ascii="Calibri" w:hAnsi="Calibri"/>
          <w:color w:val="1F3A5F"/>
        </w:rPr>
        <w:t>What to look for when reading a case</w:t>
      </w:r>
    </w:p>
    <w:p>
      <w:pPr>
        <w:spacing w:after="120"/>
      </w:pPr>
      <w:r>
        <w:rPr>
          <w:rFonts w:ascii="Calibri" w:hAnsi="Calibri" w:cs="Calibri"/>
          <w:b w:val="0"/>
          <w:sz w:val="22"/>
        </w:rPr>
        <w:t>Medication reconciliation compares the home regimen, the medications used during the hospitalization, and the discharge regimen. Also read indication, dose, route, frequency, intentional holds or stops, newly started medications, monitoring, supply, restart decisions, and follow-up.</w:t>
      </w:r>
    </w:p>
    <w:p>
      <w:pPr>
        <w:spacing w:after="120"/>
      </w:pPr>
      <w:r>
        <w:rPr>
          <w:rFonts w:ascii="Calibri" w:hAnsi="Calibri" w:cs="Calibri"/>
          <w:b w:val="0"/>
          <w:sz w:val="22"/>
        </w:rPr>
        <w:t>A clinic appointment and a laboratory monitoring task are different items. Supply is different from the drug name. A medication limited to the hospital stay is different from a medication intended to continue. Do not assume that every chart contains a medication problem.</w:t>
      </w:r>
    </w:p>
    <w:p>
      <w:pPr>
        <w:spacing w:after="120"/>
      </w:pPr>
      <w:r>
        <w:rPr>
          <w:rFonts w:ascii="Calibri" w:hAnsi="Calibri" w:cs="Calibri"/>
          <w:b w:val="0"/>
          <w:sz w:val="22"/>
        </w:rPr>
        <w:t>Types of medication-list problems that this project can assess include a medication omitted from the discharge list, a medication continued after it was meant to stop, a dose mismatch, a route mismatch, a frequency mismatch, and an unexplained therapeutic substitution.</w:t>
      </w:r>
    </w:p>
    <w:p>
      <w:pPr>
        <w:spacing w:after="120"/>
      </w:pPr>
      <w:r>
        <w:rPr>
          <w:rFonts w:ascii="Calibri" w:hAnsi="Calibri" w:cs="Calibri"/>
          <w:b w:val="0"/>
          <w:sz w:val="22"/>
        </w:rPr>
        <w:t>Types of transition-of-care gaps include required monitoring that was not arranged, a held medication without a restart plan, a supply that does not last until follow-up, hospital-only therapy still listed at discharge, a temporary substitution that was not addressed, and a pending medication decision without follow-up.</w:t>
      </w:r>
    </w:p>
    <w:p>
      <w:pPr>
        <w:spacing w:after="120"/>
      </w:pPr>
      <w:r>
        <w:rPr>
          <w:rFonts w:ascii="Calibri" w:hAnsi="Calibri" w:cs="Calibri"/>
          <w:b w:val="0"/>
          <w:sz w:val="22"/>
        </w:rPr>
        <w:t>Those are types only. This codebook does not say which problem, if any, is present in a given case.</w:t>
      </w:r>
    </w:p>
    <w:p>
      <w:pPr>
        <w:pStyle w:val="Heading1"/>
        <w:pageBreakBefore/>
      </w:pPr>
      <w:r>
        <w:rPr>
          <w:rFonts w:ascii="Calibri" w:hAnsi="Calibri"/>
          <w:color w:val="1F3A5F"/>
        </w:rPr>
        <w:t>Validation rubric</w:t>
      </w:r>
    </w:p>
    <w:p>
      <w:pPr>
        <w:spacing w:after="120"/>
      </w:pPr>
      <w:r>
        <w:rPr>
          <w:rFonts w:ascii="Calibri" w:hAnsi="Calibri" w:cs="Calibri"/>
          <w:b w:val="0"/>
          <w:sz w:val="22"/>
        </w:rPr>
        <w:t>Use the definitions below. They follow the current clinical-validation method and the validation rubric shipped with the case sets. Do not substitute a different scale.</w:t>
      </w:r>
    </w:p>
    <w:p>
      <w:pPr>
        <w:pStyle w:val="Heading2"/>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 Could this hospitalization occur as charted?</w:t>
      </w:r>
    </w:p>
    <w:p>
      <w:pPr>
        <w:spacing w:after="120"/>
      </w:pPr>
      <w:r>
        <w:rPr>
          <w:rFonts w:ascii="Calibri" w:hAnsi="Calibri" w:cs="Calibri"/>
          <w:b w:val="0"/>
          <w:sz w:val="22"/>
        </w:rPr>
        <w:t>Rate these domains from the chart: presentation and demographics; fit between presentation and diagnosis; vital signs; laboratory findings; medication regimen; hospital course; consistency across the chart; discharge plan and follow-up.</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w:t>
      </w:r>
    </w:p>
    <w:p>
      <w:pPr>
        <w:spacing w:after="120"/>
      </w:pPr>
      <w:r>
        <w:rPr>
          <w:rFonts w:ascii="Calibri" w:hAnsi="Calibri" w:cs="Calibri"/>
          <w:b w:val="0"/>
          <w:sz w:val="22"/>
        </w:rPr>
        <w:t>Any domain rated 1 or 2 must include a written explanation that identifies the specific clinical concern. Also answer whether the hospitalization could reasonably represent a patient in the stated setting. The allowed overall answers are Yes or No.</w:t>
      </w:r>
    </w:p>
    <w:p>
      <w:pPr>
        <w:spacing w:after="120"/>
      </w:pPr>
      <w:r>
        <w:rPr>
          <w:rFonts w:ascii="Calibri" w:hAnsi="Calibri" w:cs="Calibri"/>
          <w:b w:val="0"/>
          <w:sz w:val="22"/>
        </w:rPr>
        <w:t>C1 passes when all clinically relevant domains are rated 3 or 4 and the overall answer is Yes. Clinical plausibility is not the same as optimal management or complete guideline concordance.</w:t>
      </w:r>
    </w:p>
    <w:p>
      <w:pPr>
        <w:pStyle w:val="Heading2"/>
      </w:pPr>
      <w:r>
        <w:rPr>
          <w:rFonts w:ascii="Calibri" w:hAnsi="Calibri"/>
          <w:color w:val="1F3A5F"/>
        </w:rPr>
        <w:t>C2 — Intended assessment problem</w:t>
      </w:r>
    </w:p>
    <w:p>
      <w:pPr>
        <w:spacing w:after="120"/>
      </w:pPr>
      <w:r>
        <w:rPr>
          <w:rFonts w:ascii="Calibri" w:hAnsi="Calibri" w:cs="Calibri"/>
          <w:b w:val="0"/>
          <w:sz w:val="22"/>
        </w:rPr>
        <w:t>Does the case actually contain the medication-reconciliation or transition-of-care problem it was designed to assess? Is the predetermined discrepancy actually present, and does it match the answer key?</w:t>
      </w:r>
    </w:p>
    <w:p>
      <w:pPr>
        <w:spacing w:after="120"/>
      </w:pPr>
      <w:r>
        <w:rPr>
          <w:rFonts w:ascii="Calibri" w:hAnsi="Calibri" w:cs="Calibri"/>
          <w:b w:val="0"/>
          <w:sz w:val="22"/>
        </w:rPr>
        <w:t>The blinded case documents do not contain the intended target. For formal validation, that information is provided in the clinician validation packet for the case set, separately from the chart in this Word file.</w:t>
      </w:r>
    </w:p>
    <w:p>
      <w:pPr>
        <w:spacing w:after="120"/>
      </w:pPr>
      <w:r>
        <w:rPr>
          <w:rFonts w:ascii="Calibri" w:hAnsi="Calibri" w:cs="Calibri"/>
          <w:b w:val="0"/>
          <w:sz w:val="22"/>
        </w:rPr>
        <w:t>Record Pass or Fail. C2 is a hard requirement. A written explanation is required for a failure.</w:t>
      </w:r>
    </w:p>
    <w:p>
      <w:pPr>
        <w:pStyle w:val="Heading2"/>
      </w:pPr>
      <w:r>
        <w:rPr>
          <w:rFonts w:ascii="Calibri" w:hAnsi="Calibri"/>
          <w:color w:val="1F3A5F"/>
        </w:rPr>
        <w:t>C3 — Detectability</w:t>
      </w:r>
    </w:p>
    <w:p>
      <w:pPr>
        <w:spacing w:after="120"/>
      </w:pPr>
      <w:r>
        <w:rPr>
          <w:rFonts w:ascii="Calibri" w:hAnsi="Calibri" w:cs="Calibri"/>
          <w:b w:val="0"/>
          <w:sz w:val="22"/>
        </w:rPr>
        <w:t>Could an internal medicine resident identify and resolve the intended problem using only the clinical information provided in the case? Can an internal-medicine resident see the problem from resident-visible information and say what should change, without the chart announcing the answer?</w:t>
      </w:r>
    </w:p>
    <w:p>
      <w:pPr>
        <w:spacing w:after="120"/>
      </w:pPr>
      <w:r>
        <w:rPr>
          <w:rFonts w:ascii="Calibri" w:hAnsi="Calibri" w:cs="Calibri"/>
          <w:b w:val="0"/>
          <w:sz w:val="22"/>
        </w:rPr>
        <w:t>Consider whether there is enough evidence, whether important information is missing, whether the case is ambiguous, and whether wording or formatting gives away the answer.</w:t>
      </w:r>
    </w:p>
    <w:p>
      <w:pPr>
        <w:spacing w:after="120"/>
      </w:pPr>
      <w:r>
        <w:rPr>
          <w:rFonts w:ascii="Calibri" w:hAnsi="Calibri" w:cs="Calibri"/>
          <w:b w:val="0"/>
          <w:sz w:val="22"/>
        </w:rPr>
        <w:t>Record Pass or Fail. C3 is a hard requirement. A written explanation is required for a failure.</w:t>
      </w:r>
    </w:p>
    <w:p>
      <w:pPr>
        <w:pStyle w:val="Heading2"/>
      </w:pPr>
      <w:r>
        <w:rPr>
          <w:rFonts w:ascii="Calibri" w:hAnsi="Calibri"/>
          <w:color w:val="1F3A5F"/>
        </w:rPr>
        <w:t>C4 — Absence of unintended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Is there a second medication, monitoring, temporal, or diagnostic problem that could be an alternative answer?</w:t>
      </w:r>
    </w:p>
    <w:p>
      <w:pPr>
        <w:spacing w:after="120"/>
      </w:pPr>
      <w:r>
        <w:rPr>
          <w:rFonts w:ascii="Calibri" w:hAnsi="Calibri" w:cs="Calibri"/>
          <w:b w:val="0"/>
          <w:sz w:val="22"/>
        </w:rPr>
        <w:t>Search the whole chart for a second problem a reasonable resident could treat as the target. Record Pass or Fail. If the result is Fail, name the additional problem, the medication or clinical issue involved, and why it is clinically meaningful.</w:t>
      </w:r>
    </w:p>
    <w:p>
      <w:pPr>
        <w:pStyle w:val="Heading2"/>
      </w:pPr>
      <w:r>
        <w:rPr>
          <w:rFonts w:ascii="Calibri" w:hAnsi="Calibri"/>
          <w:color w:val="1F3A5F"/>
        </w:rPr>
        <w:t>C5 — Expected learner difficulty</w:t>
      </w:r>
    </w:p>
    <w:p>
      <w:pPr>
        <w:spacing w:after="120"/>
      </w:pPr>
      <w:r>
        <w:rPr>
          <w:rFonts w:ascii="Calibri" w:hAnsi="Calibri" w:cs="Calibri"/>
          <w:b w:val="0"/>
          <w:sz w:val="22"/>
        </w:rPr>
        <w:t>How difficult would this case likely be for an internal medicine resident? How hard should this chart be for the intended learner?</w:t>
      </w:r>
    </w:p>
    <w:p>
      <w:pPr>
        <w:spacing w:after="120"/>
      </w:pPr>
      <w:r>
        <w:rPr>
          <w:rFonts w:ascii="Calibri" w:hAnsi="Calibri" w:cs="Calibri"/>
          <w:b w:val="0"/>
          <w:sz w:val="22"/>
        </w:rPr>
        <w:t>Provide a provisional expert estimate using Easy, Moderate, Hard, or Inappropriate / outlier. C5 is advisory. It should not by itself cause a case to fail validation. Actual difficulty should ultimately be determined from resident performance.</w:t>
      </w:r>
    </w:p>
    <w:p>
      <w:pPr>
        <w:pStyle w:val="Heading1"/>
      </w:pPr>
      <w:r>
        <w:rPr>
          <w:rFonts w:ascii="Calibri" w:hAnsi="Calibri"/>
          <w:color w:val="1F3A5F"/>
        </w:rPr>
        <w:t>Recommendation</w:t>
      </w:r>
    </w:p>
    <w:p>
      <w:pPr>
        <w:spacing w:after="120"/>
      </w:pPr>
      <w:r>
        <w:rPr>
          <w:rFonts w:ascii="Calibri" w:hAnsi="Calibri" w:cs="Calibri"/>
          <w:b w:val="0"/>
          <w:sz w:val="22"/>
        </w:rPr>
        <w:t>After C1 through C5, record one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 Do not silently edit a frozen batch. A revision is a new freeze.</w:t>
      </w:r>
    </w:p>
    <w:p>
      <w:pPr>
        <w:spacing w:after="120"/>
      </w:pPr>
      <w:r>
        <w:rPr>
          <w:rFonts w:ascii="Calibri" w:hAnsi="Calibri" w:cs="Calibri"/>
          <w:b w:val="0"/>
          <w:sz w:val="22"/>
        </w:rPr>
        <w:t>Exclude. The case should not be used, even if software checks passed, because its problems cannot be reasonably corrected without substantially reconstructing it.</w:t>
      </w:r>
    </w:p>
    <w:p>
      <w:pPr>
        <w:pStyle w:val="Heading1"/>
      </w:pPr>
      <w:r>
        <w:rPr>
          <w:rFonts w:ascii="Calibri" w:hAnsi="Calibri"/>
          <w:color w:val="1F3A5F"/>
        </w:rPr>
        <w:t>Comments</w:t>
      </w:r>
    </w:p>
    <w:p>
      <w:pPr>
        <w:spacing w:after="120"/>
      </w:pPr>
      <w:r>
        <w:rPr>
          <w:rFonts w:ascii="Calibri" w:hAnsi="Calibri" w:cs="Calibri"/>
          <w:b w:val="0"/>
          <w:sz w:val="22"/>
        </w:rPr>
        <w:t>When a rating needs explanation, name the exact clinical concern, the case section, and the medication, laboratory, or problem involved. Where a revision is recommended, give a suggested correction. Reviewers do not need to rewrite the case.</w:t>
      </w:r>
    </w:p>
    <w:p>
      <w:pPr>
        <w:spacing w:after="120"/>
      </w:pPr>
      <w:r>
        <w:rPr>
          <w:rFonts w:ascii="Calibri" w:hAnsi="Calibri" w:cs="Calibri"/>
          <w:b w:val="0"/>
          <w:sz w:val="22"/>
        </w:rPr>
        <w:t>Comments are recommendations for the study team. They are stored separately from the frozen case.</w:t>
      </w:r>
    </w:p>
    <w:p>
      <w:pPr>
        <w:pStyle w:val="Heading1"/>
      </w:pPr>
      <w:r>
        <w:rPr>
          <w:rFonts w:ascii="Calibri" w:hAnsi="Calibri"/>
          <w:color w:val="1F3A5F"/>
        </w:rPr>
        <w:t>What this codebook does not contain</w:t>
      </w:r>
    </w:p>
    <w:p>
      <w:pPr>
        <w:spacing w:after="120"/>
      </w:pPr>
      <w:r>
        <w:rPr>
          <w:rFonts w:ascii="Calibri" w:hAnsi="Calibri" w:cs="Calibri"/>
          <w:b w:val="0"/>
          <w:sz w:val="22"/>
        </w:rPr>
        <w:t>It does not list the intended problem for any case. It does not label a case as a control or as an error-bearing chart. The validation packet, not this codebook and not the case document, is where the intended target is shown to a validator.</w:t>
      </w:r>
    </w:p>
    <w:p>
      <w:pPr>
        <w:pStyle w:val="Heading2"/>
      </w:pPr>
      <w:r>
        <w:rPr>
          <w:rFonts w:ascii="Calibri" w:hAnsi="Calibri"/>
          <w:color w:val="1F3A5F"/>
        </w:rPr>
        <w:t>Source of these definitions</w:t>
      </w:r>
    </w:p>
    <w:p>
      <w:pPr>
        <w:spacing w:after="120"/>
      </w:pPr>
      <w:r>
        <w:rPr>
          <w:rFonts w:ascii="Calibri" w:hAnsi="Calibri" w:cs="Calibri"/>
          <w:b w:val="0"/>
          <w:sz w:val="22"/>
        </w:rPr>
        <w:t>Clinical questions and decisions follow docs/clinical_validation.md. Domain list, 1–4 plausibility scale, Pass/Fail rules, and the difficulty labels follow the validation rubric distributed with each current case set.</w:t>
      </w: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resident validation codebook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