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F3A5F"/>
        </w:rPr>
        <w:t>CliniProof Resident-Seed-Guided Case Set</w:t>
      </w:r>
    </w:p>
    <w:p>
      <w:pPr>
        <w:spacing w:after="120"/>
      </w:pPr>
      <w:r>
        <w:rPr>
          <w:rFonts w:ascii="Calibri" w:hAnsi="Calibri" w:cs="Calibri"/>
          <w:b w:val="0"/>
          <w:sz w:val="22"/>
        </w:rPr>
        <w:t>Batch code: CLINIPROOF_SEEDCASES_V3</w:t>
      </w:r>
    </w:p>
    <w:p>
      <w:pPr>
        <w:spacing w:after="120"/>
      </w:pPr>
      <w:r>
        <w:rPr>
          <w:rFonts w:ascii="Calibri" w:hAnsi="Calibri" w:cs="Calibri"/>
          <w:b w:val="0"/>
          <w:sz w:val="22"/>
        </w:rPr>
        <w:t>Case range: VAL-801–VAL-824</w:t>
      </w:r>
    </w:p>
    <w:p>
      <w:pPr>
        <w:spacing w:after="120"/>
      </w:pPr>
      <w:r>
        <w:rPr>
          <w:rFonts w:ascii="Calibri" w:hAnsi="Calibri" w:cs="Calibri"/>
          <w:b w:val="0"/>
          <w:sz w:val="22"/>
        </w:rPr>
        <w:t>Number of cases: 24</w:t>
      </w:r>
    </w:p>
    <w:p>
      <w:pPr>
        <w:spacing w:after="120"/>
      </w:pPr>
      <w:r>
        <w:rPr>
          <w:rFonts w:ascii="Calibri" w:hAnsi="Calibri" w:cs="Calibri"/>
          <w:b w:val="0"/>
          <w:sz w:val="22"/>
        </w:rPr>
        <w:t>Status: Pending human clinician validation</w:t>
      </w:r>
    </w:p>
    <w:p>
      <w:pPr>
        <w:spacing w:after="120"/>
      </w:pPr>
      <w:r>
        <w:rPr>
          <w:rFonts w:ascii="Calibri" w:hAnsi="Calibri" w:cs="Calibri"/>
          <w:b w:val="0"/>
          <w:sz w:val="22"/>
        </w:rPr>
        <w:t>Generation approach: Resident-seed-guided generation</w:t>
      </w:r>
    </w:p>
    <w:p>
      <w:pPr>
        <w:spacing w:after="120"/>
      </w:pPr>
      <w:r>
        <w:rPr>
          <w:rFonts w:ascii="Calibri" w:hAnsi="Calibri" w:cs="Calibri"/>
          <w:b w:val="0"/>
          <w:sz w:val="22"/>
        </w:rPr>
        <w:t>Date of export: 29 September 2026</w:t>
      </w:r>
    </w:p>
    <w:p>
      <w:pPr>
        <w:spacing w:after="120"/>
      </w:pPr>
      <w:r>
        <w:rPr>
          <w:rFonts w:ascii="Calibri" w:hAnsi="Calibri" w:cs="Calibri"/>
          <w:b w:val="0"/>
          <w:sz w:val="22"/>
        </w:rPr>
        <w:t>This case set was developed using six resident-provided clinical examples as design inputs. Those examples were abstracted into clinical archetypes and used to generate new synthetic encounters. The current cases are not copies of the original resident cases.</w:t>
      </w:r>
    </w:p>
    <w:p>
      <w:pPr>
        <w:pStyle w:val="Heading2"/>
      </w:pPr>
      <w:r>
        <w:rPr>
          <w:rFonts w:ascii="Calibri" w:hAnsi="Calibri"/>
          <w:color w:val="1F3A5F"/>
        </w:rPr>
        <w:t>Cases</w:t>
      </w:r>
    </w:p>
    <w:p>
      <w:pPr>
        <w:spacing w:after="120"/>
      </w:pPr>
      <w:r>
        <w:rPr>
          <w:rFonts w:ascii="Calibri" w:hAnsi="Calibri" w:cs="Calibri"/>
          <w:b w:val="0"/>
          <w:sz w:val="22"/>
        </w:rPr>
        <w:t>VAL-801</w:t>
      </w:r>
    </w:p>
    <w:p>
      <w:pPr>
        <w:spacing w:after="120"/>
      </w:pPr>
      <w:r>
        <w:rPr>
          <w:rFonts w:ascii="Calibri" w:hAnsi="Calibri" w:cs="Calibri"/>
          <w:b w:val="0"/>
          <w:sz w:val="22"/>
        </w:rPr>
        <w:t>VAL-802</w:t>
      </w:r>
    </w:p>
    <w:p>
      <w:pPr>
        <w:spacing w:after="120"/>
      </w:pPr>
      <w:r>
        <w:rPr>
          <w:rFonts w:ascii="Calibri" w:hAnsi="Calibri" w:cs="Calibri"/>
          <w:b w:val="0"/>
          <w:sz w:val="22"/>
        </w:rPr>
        <w:t>VAL-803</w:t>
      </w:r>
    </w:p>
    <w:p>
      <w:pPr>
        <w:spacing w:after="120"/>
      </w:pPr>
      <w:r>
        <w:rPr>
          <w:rFonts w:ascii="Calibri" w:hAnsi="Calibri" w:cs="Calibri"/>
          <w:b w:val="0"/>
          <w:sz w:val="22"/>
        </w:rPr>
        <w:t>VAL-804</w:t>
      </w:r>
    </w:p>
    <w:p>
      <w:pPr>
        <w:spacing w:after="120"/>
      </w:pPr>
      <w:r>
        <w:rPr>
          <w:rFonts w:ascii="Calibri" w:hAnsi="Calibri" w:cs="Calibri"/>
          <w:b w:val="0"/>
          <w:sz w:val="22"/>
        </w:rPr>
        <w:t>VAL-805</w:t>
      </w:r>
    </w:p>
    <w:p>
      <w:pPr>
        <w:spacing w:after="120"/>
      </w:pPr>
      <w:r>
        <w:rPr>
          <w:rFonts w:ascii="Calibri" w:hAnsi="Calibri" w:cs="Calibri"/>
          <w:b w:val="0"/>
          <w:sz w:val="22"/>
        </w:rPr>
        <w:t>VAL-806</w:t>
      </w:r>
    </w:p>
    <w:p>
      <w:pPr>
        <w:spacing w:after="120"/>
      </w:pPr>
      <w:r>
        <w:rPr>
          <w:rFonts w:ascii="Calibri" w:hAnsi="Calibri" w:cs="Calibri"/>
          <w:b w:val="0"/>
          <w:sz w:val="22"/>
        </w:rPr>
        <w:t>VAL-807</w:t>
      </w:r>
    </w:p>
    <w:p>
      <w:pPr>
        <w:spacing w:after="120"/>
      </w:pPr>
      <w:r>
        <w:rPr>
          <w:rFonts w:ascii="Calibri" w:hAnsi="Calibri" w:cs="Calibri"/>
          <w:b w:val="0"/>
          <w:sz w:val="22"/>
        </w:rPr>
        <w:t>VAL-808</w:t>
      </w:r>
    </w:p>
    <w:p>
      <w:pPr>
        <w:spacing w:after="120"/>
      </w:pPr>
      <w:r>
        <w:rPr>
          <w:rFonts w:ascii="Calibri" w:hAnsi="Calibri" w:cs="Calibri"/>
          <w:b w:val="0"/>
          <w:sz w:val="22"/>
        </w:rPr>
        <w:t>VAL-809</w:t>
      </w:r>
    </w:p>
    <w:p>
      <w:pPr>
        <w:spacing w:after="120"/>
      </w:pPr>
      <w:r>
        <w:rPr>
          <w:rFonts w:ascii="Calibri" w:hAnsi="Calibri" w:cs="Calibri"/>
          <w:b w:val="0"/>
          <w:sz w:val="22"/>
        </w:rPr>
        <w:t>VAL-810</w:t>
      </w:r>
    </w:p>
    <w:p>
      <w:pPr>
        <w:spacing w:after="120"/>
      </w:pPr>
      <w:r>
        <w:rPr>
          <w:rFonts w:ascii="Calibri" w:hAnsi="Calibri" w:cs="Calibri"/>
          <w:b w:val="0"/>
          <w:sz w:val="22"/>
        </w:rPr>
        <w:t>VAL-811</w:t>
      </w:r>
    </w:p>
    <w:p>
      <w:pPr>
        <w:spacing w:after="120"/>
      </w:pPr>
      <w:r>
        <w:rPr>
          <w:rFonts w:ascii="Calibri" w:hAnsi="Calibri" w:cs="Calibri"/>
          <w:b w:val="0"/>
          <w:sz w:val="22"/>
        </w:rPr>
        <w:t>VAL-812</w:t>
      </w:r>
    </w:p>
    <w:p>
      <w:pPr>
        <w:spacing w:after="120"/>
      </w:pPr>
      <w:r>
        <w:rPr>
          <w:rFonts w:ascii="Calibri" w:hAnsi="Calibri" w:cs="Calibri"/>
          <w:b w:val="0"/>
          <w:sz w:val="22"/>
        </w:rPr>
        <w:t>VAL-813</w:t>
      </w:r>
    </w:p>
    <w:p>
      <w:pPr>
        <w:spacing w:after="120"/>
      </w:pPr>
      <w:r>
        <w:rPr>
          <w:rFonts w:ascii="Calibri" w:hAnsi="Calibri" w:cs="Calibri"/>
          <w:b w:val="0"/>
          <w:sz w:val="22"/>
        </w:rPr>
        <w:t>VAL-814</w:t>
      </w:r>
    </w:p>
    <w:p>
      <w:pPr>
        <w:spacing w:after="120"/>
      </w:pPr>
      <w:r>
        <w:rPr>
          <w:rFonts w:ascii="Calibri" w:hAnsi="Calibri" w:cs="Calibri"/>
          <w:b w:val="0"/>
          <w:sz w:val="22"/>
        </w:rPr>
        <w:t>VAL-815</w:t>
      </w:r>
    </w:p>
    <w:p>
      <w:pPr>
        <w:spacing w:after="120"/>
      </w:pPr>
      <w:r>
        <w:rPr>
          <w:rFonts w:ascii="Calibri" w:hAnsi="Calibri" w:cs="Calibri"/>
          <w:b w:val="0"/>
          <w:sz w:val="22"/>
        </w:rPr>
        <w:t>VAL-816</w:t>
      </w:r>
    </w:p>
    <w:p>
      <w:pPr>
        <w:spacing w:after="120"/>
      </w:pPr>
      <w:r>
        <w:rPr>
          <w:rFonts w:ascii="Calibri" w:hAnsi="Calibri" w:cs="Calibri"/>
          <w:b w:val="0"/>
          <w:sz w:val="22"/>
        </w:rPr>
        <w:t>VAL-817</w:t>
      </w:r>
    </w:p>
    <w:p>
      <w:pPr>
        <w:spacing w:after="120"/>
      </w:pPr>
      <w:r>
        <w:rPr>
          <w:rFonts w:ascii="Calibri" w:hAnsi="Calibri" w:cs="Calibri"/>
          <w:b w:val="0"/>
          <w:sz w:val="22"/>
        </w:rPr>
        <w:t>VAL-818</w:t>
      </w:r>
    </w:p>
    <w:p>
      <w:pPr>
        <w:spacing w:after="120"/>
      </w:pPr>
      <w:r>
        <w:rPr>
          <w:rFonts w:ascii="Calibri" w:hAnsi="Calibri" w:cs="Calibri"/>
          <w:b w:val="0"/>
          <w:sz w:val="22"/>
        </w:rPr>
        <w:t>VAL-819</w:t>
      </w:r>
    </w:p>
    <w:p>
      <w:pPr>
        <w:spacing w:after="120"/>
      </w:pPr>
      <w:r>
        <w:rPr>
          <w:rFonts w:ascii="Calibri" w:hAnsi="Calibri" w:cs="Calibri"/>
          <w:b w:val="0"/>
          <w:sz w:val="22"/>
        </w:rPr>
        <w:t>VAL-820</w:t>
      </w:r>
    </w:p>
    <w:p>
      <w:pPr>
        <w:spacing w:after="120"/>
      </w:pPr>
      <w:r>
        <w:rPr>
          <w:rFonts w:ascii="Calibri" w:hAnsi="Calibri" w:cs="Calibri"/>
          <w:b w:val="0"/>
          <w:sz w:val="22"/>
        </w:rPr>
        <w:t>VAL-821</w:t>
      </w:r>
    </w:p>
    <w:p>
      <w:pPr>
        <w:spacing w:after="120"/>
      </w:pPr>
      <w:r>
        <w:rPr>
          <w:rFonts w:ascii="Calibri" w:hAnsi="Calibri" w:cs="Calibri"/>
          <w:b w:val="0"/>
          <w:sz w:val="22"/>
        </w:rPr>
        <w:t>VAL-822</w:t>
      </w:r>
    </w:p>
    <w:p>
      <w:pPr>
        <w:spacing w:after="120"/>
      </w:pPr>
      <w:r>
        <w:rPr>
          <w:rFonts w:ascii="Calibri" w:hAnsi="Calibri" w:cs="Calibri"/>
          <w:b w:val="0"/>
          <w:sz w:val="22"/>
        </w:rPr>
        <w:t>VAL-823</w:t>
      </w:r>
    </w:p>
    <w:p>
      <w:pPr>
        <w:spacing w:after="120"/>
      </w:pPr>
      <w:r>
        <w:rPr>
          <w:rFonts w:ascii="Calibri" w:hAnsi="Calibri" w:cs="Calibri"/>
          <w:b w:val="0"/>
          <w:sz w:val="22"/>
        </w:rPr>
        <w:t>VAL-824</w:t>
      </w:r>
    </w:p>
    <w:p>
      <w:pPr>
        <w:pStyle w:val="Heading1"/>
        <w:pageBreakBefore/>
      </w:pPr>
      <w:r>
        <w:rPr>
          <w:rFonts w:ascii="Calibri" w:hAnsi="Calibri"/>
          <w:color w:val="1F3A5F"/>
        </w:rPr>
        <w:t>VAL-801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81.000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Delirium due to known physiological condition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75-year-old Male with Delirium due to known physiological condition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Confusion, Fatigue in the setting of Delirium due to known physiological condition</w:t>
      </w:r>
    </w:p>
    <w:p>
      <w:pPr>
        <w:pStyle w:val="ListBullet"/>
        <w:spacing w:after="40" w:before="0"/>
      </w:pPr>
      <w:r>
        <w:rPr>
          <w:rFonts w:ascii="Calibri" w:hAnsi="Calibri" w:cs="Calibri"/>
          <w:b/>
          <w:sz w:val="22"/>
        </w:rPr>
        <w:t xml:space="preserve">Symptoms: </w:t>
      </w:r>
      <w:r>
        <w:rPr>
          <w:rFonts w:ascii="Calibri" w:hAnsi="Calibri" w:cs="Calibri"/>
          <w:b w:val="0"/>
          <w:sz w:val="22"/>
        </w:rPr>
        <w:t>Confusion, 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75-year-old Male is admitted with Delirium due to known physiological condition. Presenting symptoms include Confusion, Fatigue, present for several days and improving after treatment. Home medications include lisinopril 10 MG Oral Tablet, atorvastatin 40 MG Oral Tablet, metformin hydrochloride 500 MG Oral Tablet. ibuprofen 400 MG Oral Tablet was stopped during this admission. Admitted for delirium with an initially incomplete medication history. The patient could not supply a reliable medication history at admission. A collateral home-medication list arrived later and was verified. Ibuprofen had already been stopped and was recorded separately from names that were still uncertain. A collateral medication list was obtained after admission and verified. Medications that had been stopped were recorded separately from names that remained uncertain.</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Male with Delirium due to known physiological condition. Symptoms: Confusion, Fatigue for several days (improving after treatment). Medications continued from home: lisinopril 10 MG Oral Tablet, atorvastatin 40 MG Oral Tablet, metformin hydrochloride 500 MG Oral Tablet. ibuprofen 400 MG Oral Tablet was stopped during this admission. Admitted for delirium with an initially incomplete medication history. The patient could not supply a reliable medication history at admission. A collateral home-medication list arrived later and was verified. Ibuprofen had already been stopped and was recorded separately from names that were still uncertain. A collateral medication list was obtained after admission and verified. Medications that had been stopped were recorded separately from names that remained uncertain.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collateral medication list was obtained after admission and verified. Medications that had been stopped were recorded separately from names that remained uncertain.</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136/78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163.0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81.000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121/71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caregiver and 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At admission the patient could not provide a reliable medication history because of delirium. After cognition improved, a collateral list from family and pharmacy fill history was verified. Unknown names were not converted into discharge orders.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 after collateral medication verification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ibuprofen 400 MG Oral Tablet was stopped during this admission.</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geriatrics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Delirium improved toward baseline.</w:t>
            </w:r>
          </w:p>
        </w:tc>
        <w:tc>
          <w:tcPr>
            <w:tcW w:type="dxa" w:w="2448"/>
          </w:tcPr>
          <w:p>
            <w:pPr>
              <w:spacing w:after="20" w:before="20"/>
            </w:pPr>
            <w:r>
              <w:rPr>
                <w:rFonts w:ascii="Calibri" w:hAnsi="Calibri" w:cs="Calibri"/>
                <w:b w:val="0"/>
                <w:sz w:val="20"/>
              </w:rPr>
              <w:t>Use the verified collateral medication list at discharge.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VAL-802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81</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Delirium due to known physiological condition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81-year-old Female with Delirium due to known physiological condition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Confusion in the setting of Delirium due to known physiological condition</w:t>
      </w:r>
    </w:p>
    <w:p>
      <w:pPr>
        <w:pStyle w:val="ListBullet"/>
        <w:spacing w:after="40" w:before="0"/>
      </w:pPr>
      <w:r>
        <w:rPr>
          <w:rFonts w:ascii="Calibri" w:hAnsi="Calibri" w:cs="Calibri"/>
          <w:b/>
          <w:sz w:val="22"/>
        </w:rPr>
        <w:t xml:space="preserve">Symptoms: </w:t>
      </w:r>
      <w:r>
        <w:rPr>
          <w:rFonts w:ascii="Calibri" w:hAnsi="Calibri" w:cs="Calibri"/>
          <w:b w:val="0"/>
          <w:sz w:val="22"/>
        </w:rPr>
        <w:t>Confusion</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81-year-old Female is admitted with Delirium due to known physiological condition. Presenting symptoms include Confusion, present for two days and improving after treatment. Home medications include lisinopril 10 MG Oral Tablet, atorvastatin 40 MG Oral Tablet. Admitted for delirium; a verified statin was confirmed from collateral sources. A later collateral list confirmed a continued statin. A collateral medication list was obtained after admission and verified. Medications that had been stopped were recorded separately from names that remained uncertain.</w:t>
      </w:r>
    </w:p>
    <w:p>
      <w:pPr>
        <w:pStyle w:val="Heading3"/>
      </w:pPr>
      <w:r>
        <w:rPr>
          <w:rFonts w:ascii="Calibri" w:hAnsi="Calibri"/>
          <w:color w:val="1F3A5F"/>
        </w:rPr>
        <w:t>Admission note</w:t>
      </w:r>
    </w:p>
    <w:p>
      <w:pPr>
        <w:spacing w:after="120"/>
      </w:pPr>
      <w:r>
        <w:rPr>
          <w:rFonts w:ascii="Calibri" w:hAnsi="Calibri" w:cs="Calibri"/>
          <w:b w:val="0"/>
          <w:sz w:val="22"/>
        </w:rPr>
        <w:t>Admission note for a 81-year-old Female with Delirium due to known physiological condition. Symptoms: Confusion for two days (improving after treatment). Medications continued from home: lisinopril 10 MG Oral Tablet, atorvastatin 40 MG Oral Tablet. Admitted for delirium; a verified statin was confirmed from collateral sources. A later collateral list confirmed a continued statin. A collateral medication list was obtained after admission and verified. Medications that had been stopped were recorded separately from names that remained uncertain.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collateral medication list was obtained after admission and verified. Medications that had been stopped were recorded separately from names that remained uncertain.</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124/68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pharmacy fill history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 later pharmacy fill history confirmed a continued statin. Incomplete information at admission is recorded as such.</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medication-list follow-up</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VAL-803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Delirium due to known physiological condition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Male with Delirium due to known physiological condition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Confusion in the setting of Delirium due to known physiological condition</w:t>
      </w:r>
    </w:p>
    <w:p>
      <w:pPr>
        <w:pStyle w:val="ListBullet"/>
        <w:spacing w:after="40" w:before="0"/>
      </w:pPr>
      <w:r>
        <w:rPr>
          <w:rFonts w:ascii="Calibri" w:hAnsi="Calibri" w:cs="Calibri"/>
          <w:b/>
          <w:sz w:val="22"/>
        </w:rPr>
        <w:t xml:space="preserve">Symptoms: </w:t>
      </w:r>
      <w:r>
        <w:rPr>
          <w:rFonts w:ascii="Calibri" w:hAnsi="Calibri" w:cs="Calibri"/>
          <w:b w:val="0"/>
          <w:sz w:val="22"/>
        </w:rPr>
        <w:t>Fatigue, Confusion</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71-year-old Male is admitted with Delirium due to known physiological condition. Presenting symptoms include Fatigue, Confusion, present for one week and persistent. Home medications include hydrochlorothiazide 25 MG Oral Tablet, lisinopril 10 MG Oral Tablet, atorvastatin 40 MG Oral Tablet, metformin hydrochloride 500 MG Oral Tablet. Admitted for delirium with a later-verified home regimen and home-health needs. Discharge planning includes home services. The verified list is the collateral regimen, including a diuretic identified after admission. The patient returned to cognitive baseline. Home services were arranged and the verified medication list was prepared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Delirium due to known physiological condition. Symptoms: Fatigue, Confusion for one week (persistent). Medications continued from home: hydrochlorothiazide 25 MG Oral Tablet, lisinopril 10 MG Oral Tablet, atorvastatin 40 MG Oral Tablet, metformin hydrochloride 500 MG Oral Tablet. Admitted for delirium with a later-verified home regimen and home-health needs. Discharge planning includes home services. The verified list is the collateral regimen, including a diuretic identified after admission. The patient returned to cognitive baseline. Home services were arranged and the verified medication list was prepared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patient returned to cognitive baseline. Home services were arranged and the verified medication list was prepared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149.0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4.4</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123/70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4.2</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 Supply: 30 days</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Supply: 30 days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Supply: 7 days</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 Supply: 30 days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caregiver and pharmacy</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3"/>
      </w:pPr>
      <w:r>
        <w:rPr>
          <w:rFonts w:ascii="Calibri" w:hAnsi="Calibri"/>
          <w:color w:val="1F3A5F"/>
        </w:rPr>
        <w:t>Reconciliation notes</w:t>
      </w:r>
    </w:p>
    <w:p>
      <w:pPr>
        <w:spacing w:after="120"/>
      </w:pPr>
      <w:r>
        <w:rPr>
          <w:rFonts w:ascii="Calibri" w:hAnsi="Calibri" w:cs="Calibri"/>
          <w:b w:val="0"/>
          <w:sz w:val="22"/>
        </w:rPr>
        <w:t>After delirium improved, home services were arranged around the verified medication list.</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Home-health and primary care medication-supply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VAL-804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Delirium due to known physiological condition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70-year-old Female with Delirium due to known physiological condition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Confusion in the setting of Delirium due to known physiological condition</w:t>
      </w:r>
    </w:p>
    <w:p>
      <w:pPr>
        <w:pStyle w:val="ListBullet"/>
        <w:spacing w:after="40" w:before="0"/>
      </w:pPr>
      <w:r>
        <w:rPr>
          <w:rFonts w:ascii="Calibri" w:hAnsi="Calibri" w:cs="Calibri"/>
          <w:b/>
          <w:sz w:val="22"/>
        </w:rPr>
        <w:t xml:space="preserve">Symptoms: </w:t>
      </w:r>
      <w:r>
        <w:rPr>
          <w:rFonts w:ascii="Calibri" w:hAnsi="Calibri" w:cs="Calibri"/>
          <w:b w:val="0"/>
          <w:sz w:val="22"/>
        </w:rPr>
        <w:t>Confusion</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70-year-old Female is admitted with Delirium due to known physiological condition. Presenting symptoms include Confusion, present for one day and improving after treatment. Home medications include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disease-modifying start was deferred to outpatient confirmation.</w:t>
      </w:r>
    </w:p>
    <w:p>
      <w:pPr>
        <w:pStyle w:val="Heading3"/>
      </w:pPr>
      <w:r>
        <w:rPr>
          <w:rFonts w:ascii="Calibri" w:hAnsi="Calibri"/>
          <w:color w:val="1F3A5F"/>
        </w:rPr>
        <w:t>Admission note</w:t>
      </w:r>
    </w:p>
    <w:p>
      <w:pPr>
        <w:spacing w:after="120"/>
      </w:pPr>
      <w:r>
        <w:rPr>
          <w:rFonts w:ascii="Calibri" w:hAnsi="Calibri" w:cs="Calibri"/>
          <w:b w:val="0"/>
          <w:sz w:val="22"/>
        </w:rPr>
        <w:t>Admission note for a 70-year-old Female with Delirium due to known physiological condition. Symptoms: Confusion for one day (improving after treatment). Medications continued from home: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disease-modifying start was deferred to outpatient confirmation.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Delirium due to known physiological condition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 new disease-modifying start was deferred to outpatient confirmation.</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155.0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125/67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108.0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family collateral</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No</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p>
      <w:pPr>
        <w:spacing w:after="120"/>
      </w:pPr>
      <w:r>
        <w:rPr>
          <w:rFonts w:ascii="Calibri" w:hAnsi="Calibri" w:cs="Calibri"/>
          <w:b w:val="0"/>
          <w:sz w:val="22"/>
        </w:rPr>
        <w:t>No follow-up appointments were specified.</w:t>
      </w: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Start of a cognitive-enhancer remains a pending therapeutic decision for memory-clinic confirmation and is not an unknown home medication.</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Confusion</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VAL-805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81.000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68-year-old Female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Edema, Orthopnea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68-year-old Female is admitted with Acute systolic (congestive) heart failure. Presenting symptoms include Dyspnea, Edema, Orthopnea, present for one week and improving after treatment. Home medications include furosemide 40 MG Oral Tablet, atorvastatin 40 MG Oral Tablet, 24 HR metoprolol succinate 25 MG Extended Release Oral Tablet. Admitted for acute heart-failure decompensation with congestion. Congestion improved with inpatient diuresis. Daily weights and intake/output were used to judge euvolemia before discharge. Congestion was treated with inpatient diuresis. Serial weights and intake/output were used to judge readiness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68-year-old Female with Acute systolic (congestive) heart failure. Symptoms: Dyspnea, Edema, Orthopnea for one week (improving after treatment). Medications continued from home: furosemide 40 MG Oral Tablet, atorvastatin 40 MG Oral Tablet, 24 HR metoprolol succinate 25 MG Extended Release Oral Tablet. Admitted for acute heart-failure decompensation with congestion. Congestion improved with inpatient diuresis. Daily weights and intake/output were used to judge euvolemia before discharge. Congestion was treated with inpatient diuresis. Serial weights and intake/output were used to judge readiness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Congestion was treated with inpatient diuresis. Serial weights and intake/output were used to judge readiness for discharge.</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1418</w:t>
            </w:r>
          </w:p>
        </w:tc>
        <w:tc>
          <w:tcPr>
            <w:tcW w:type="dxa" w:w="2448"/>
          </w:tcPr>
          <w:p>
            <w:pPr>
              <w:spacing w:after="20" w:before="20"/>
            </w:pPr>
            <w:r>
              <w:rPr>
                <w:rFonts w:ascii="Calibri" w:hAnsi="Calibri" w:cs="Calibri"/>
                <w:b w:val="0"/>
                <w:sz w:val="20"/>
              </w:rPr>
              <w:t>2463</w:t>
            </w:r>
          </w:p>
        </w:tc>
        <w:tc>
          <w:tcPr>
            <w:tcW w:type="dxa" w:w="2448"/>
          </w:tcPr>
          <w:p>
            <w:pPr>
              <w:spacing w:after="20" w:before="20"/>
            </w:pPr>
            <w:r>
              <w:rPr>
                <w:rFonts w:ascii="Calibri" w:hAnsi="Calibri" w:cs="Calibri"/>
                <w:b w:val="0"/>
                <w:sz w:val="20"/>
              </w:rPr>
              <w:t>-1045</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109/82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92.00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1.7</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4.7</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1120.0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81.000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110/84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4.3</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369.0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78.000</w:t>
            </w:r>
          </w:p>
        </w:tc>
        <w:tc>
          <w:tcPr>
            <w:tcW w:type="dxa" w:w="4896"/>
          </w:tcPr>
          <w:p>
            <w:pPr>
              <w:spacing w:after="20" w:before="20"/>
            </w:pPr>
            <w:r>
              <w:rPr>
                <w:rFonts w:ascii="Calibri" w:hAnsi="Calibri" w:cs="Calibri"/>
                <w:b w:val="0"/>
                <w:sz w:val="20"/>
              </w:rPr>
              <w:t>73.000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 after diuresis</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edema without pneumonia.</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VAL-806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Female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Edema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Edema</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82-year-old Female is admitted with Acute systolic (congestive) heart failure. Presenting symptoms include Dyspnea, Edema, present for several days and progressive. Home medications include furosemide 40 MG Oral Tablet, atorvastatin 40 MG Oral Tablet, 24 HR metoprolol succinate 25 MG Extended Release Oral Tablet. lisinopril 10 MG Oral Tablet was held during the admission (Held for rising creatinine during decongestion; intended to restart after renal recovery.). Admitted for decompensated heart failure with worsening renal function. Creatinine rose with congestion. Lisinopril was held during decongestion because of worsening renal function. Creatinine rose with congestion. Selected therapy was held.</w:t>
      </w:r>
    </w:p>
    <w:p>
      <w:pPr>
        <w:pStyle w:val="Heading3"/>
      </w:pPr>
      <w:r>
        <w:rPr>
          <w:rFonts w:ascii="Calibri" w:hAnsi="Calibri"/>
          <w:color w:val="1F3A5F"/>
        </w:rPr>
        <w:t>Admission note</w:t>
      </w:r>
    </w:p>
    <w:p>
      <w:pPr>
        <w:spacing w:after="120"/>
      </w:pPr>
      <w:r>
        <w:rPr>
          <w:rFonts w:ascii="Calibri" w:hAnsi="Calibri" w:cs="Calibri"/>
          <w:b w:val="0"/>
          <w:sz w:val="22"/>
        </w:rPr>
        <w:t>Admission note for a 82-year-old Female with Acute systolic (congestive) heart failure. Symptoms: Dyspnea, Edema for several days (progressive). Medications continued from home: furosemide 40 MG Oral Tablet, atorvastatin 40 MG Oral Tablet, 24 HR metoprolol succinate 25 MG Extended Release Oral Tablet. lisinopril 10 MG Oral Tablet was held during the admission (Held for rising creatinine during decongestion; intended to restart after renal recovery.). Admitted for decompensated heart failure with worsening renal function. Creatinine rose with congestion. Lisinopril was held during decongestion because of worsening renal function. Creatinine rose with congestion. Selected therapy was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Creatinine rose with congestion. Selected therapy was held.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1307</w:t>
            </w:r>
          </w:p>
        </w:tc>
        <w:tc>
          <w:tcPr>
            <w:tcW w:type="dxa" w:w="2448"/>
          </w:tcPr>
          <w:p>
            <w:pPr>
              <w:spacing w:after="20" w:before="20"/>
            </w:pPr>
            <w:r>
              <w:rPr>
                <w:rFonts w:ascii="Calibri" w:hAnsi="Calibri" w:cs="Calibri"/>
                <w:b w:val="0"/>
                <w:sz w:val="20"/>
              </w:rPr>
              <w:t>2064</w:t>
            </w:r>
          </w:p>
        </w:tc>
        <w:tc>
          <w:tcPr>
            <w:tcW w:type="dxa" w:w="2448"/>
          </w:tcPr>
          <w:p>
            <w:pPr>
              <w:spacing w:after="20" w:before="20"/>
            </w:pPr>
            <w:r>
              <w:rPr>
                <w:rFonts w:ascii="Calibri" w:hAnsi="Calibri" w:cs="Calibri"/>
                <w:b w:val="0"/>
                <w:sz w:val="20"/>
              </w:rPr>
              <w:t>-757</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21</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89.00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2.8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116/72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4.5</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73.000</w:t>
            </w:r>
          </w:p>
        </w:tc>
        <w:tc>
          <w:tcPr>
            <w:tcW w:type="dxa" w:w="4896"/>
          </w:tcPr>
          <w:p>
            <w:pPr>
              <w:spacing w:after="20" w:before="20"/>
            </w:pPr>
            <w:r>
              <w:rPr>
                <w:rFonts w:ascii="Calibri" w:hAnsi="Calibri" w:cs="Calibri"/>
                <w:b w:val="0"/>
                <w:sz w:val="20"/>
              </w:rPr>
              <w:t>74.000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Essential (primary) hypertension; Held reason: Held for rising creatinine during decongestion; intended to restart after renal recovery.</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Essential (primary) hypertension; Held reason: Held for rising creatinine during decongestion; intended to restart after renal recovery.</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Cardiology follow-up to reassess held therapy</w:t>
            </w:r>
          </w:p>
        </w:tc>
        <w:tc>
          <w:tcPr>
            <w:tcW w:type="dxa" w:w="3264"/>
          </w:tcPr>
          <w:p>
            <w:pPr>
              <w:spacing w:after="20" w:before="20"/>
            </w:pPr>
            <w:r>
              <w:rPr>
                <w:rFonts w:ascii="Calibri" w:hAnsi="Calibri" w:cs="Calibri"/>
                <w:b w:val="0"/>
                <w:sz w:val="20"/>
              </w:rPr>
              <w:t>3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Congestion with small pleural effusions.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VAL-807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60</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60-year-old 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Orthopnea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acutely worsening</w:t>
      </w:r>
    </w:p>
    <w:p>
      <w:pPr>
        <w:pStyle w:val="Heading3"/>
      </w:pPr>
      <w:r>
        <w:rPr>
          <w:rFonts w:ascii="Calibri" w:hAnsi="Calibri"/>
          <w:color w:val="1F3A5F"/>
        </w:rPr>
        <w:t>History of present illness</w:t>
      </w:r>
    </w:p>
    <w:p>
      <w:pPr>
        <w:spacing w:after="120"/>
      </w:pPr>
      <w:r>
        <w:rPr>
          <w:rFonts w:ascii="Calibri" w:hAnsi="Calibri" w:cs="Calibri"/>
          <w:b w:val="0"/>
          <w:sz w:val="22"/>
        </w:rPr>
        <w:t>A 60-year-old Male is admitted with Acute systolic (congestive) heart failure. Presenting symptoms include Dyspnea, Orthopnea, present for two days and acutely worsening. Home medications include furosemide 40 MG Oral Tablet, atorvastatin 40 MG Oral Tablet, 24 HR metoprolol succinate 25 MG Extended Release Oral Tablet. Admitted for decompensated heart failure with hypokalemia during diuresis. Diuresis was accompanied by potassium repletion. The intended outpatient diuretic dose is recorded. Diuresis was accompanied by potassium repletion. Electrolytes were trending toward a range acceptable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60-year-old Male with Acute systolic (congestive) heart failure. Symptoms: Dyspnea, Orthopnea for two days (acutely worsening). Medications continued from home: furosemide 40 MG Oral Tablet, atorvastatin 40 MG Oral Tablet, 24 HR metoprolol succinate 25 MG Extended Release Oral Tablet. Admitted for decompensated heart failure with hypokalemia during diuresis. Diuresis was accompanied by potassium repletion. The intended outpatient diuretic dose is recorded. Diuresis was accompanied by potassium repletion. Electrolytes were trending toward a range acceptable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Diuresis was accompanied by potassium repletion. Electrolytes were trending toward a range acceptable for discharge.</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1325</w:t>
            </w:r>
          </w:p>
        </w:tc>
        <w:tc>
          <w:tcPr>
            <w:tcW w:type="dxa" w:w="2448"/>
          </w:tcPr>
          <w:p>
            <w:pPr>
              <w:spacing w:after="20" w:before="20"/>
            </w:pPr>
            <w:r>
              <w:rPr>
                <w:rFonts w:ascii="Calibri" w:hAnsi="Calibri" w:cs="Calibri"/>
                <w:b w:val="0"/>
                <w:sz w:val="20"/>
              </w:rPr>
              <w:t>2417</w:t>
            </w:r>
          </w:p>
        </w:tc>
        <w:tc>
          <w:tcPr>
            <w:tcW w:type="dxa" w:w="2448"/>
          </w:tcPr>
          <w:p>
            <w:pPr>
              <w:spacing w:after="20" w:before="20"/>
            </w:pPr>
            <w:r>
              <w:rPr>
                <w:rFonts w:ascii="Calibri" w:hAnsi="Calibri" w:cs="Calibri"/>
                <w:b w:val="0"/>
                <w:sz w:val="20"/>
              </w:rPr>
              <w:t>-1092</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3.5</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836.0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585.0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93.000</w:t>
            </w:r>
          </w:p>
        </w:tc>
        <w:tc>
          <w:tcPr>
            <w:tcW w:type="dxa" w:w="4896"/>
          </w:tcPr>
          <w:p>
            <w:pPr>
              <w:spacing w:after="20" w:before="20"/>
            </w:pPr>
            <w:r>
              <w:rPr>
                <w:rFonts w:ascii="Calibri" w:hAnsi="Calibri" w:cs="Calibri"/>
                <w:b w:val="0"/>
                <w:sz w:val="20"/>
              </w:rPr>
              <w:t>95.000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20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Electrolyte and heart-failure follow-up</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vascular congestion and interstitial edema.</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discharge</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Improved pulmonary edema compared with admission.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VAL-808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66</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66-year-old Female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Edema, Orthopnea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worsening</w:t>
      </w:r>
    </w:p>
    <w:p>
      <w:pPr>
        <w:pStyle w:val="Heading3"/>
      </w:pPr>
      <w:r>
        <w:rPr>
          <w:rFonts w:ascii="Calibri" w:hAnsi="Calibri"/>
          <w:color w:val="1F3A5F"/>
        </w:rPr>
        <w:t>History of present illness</w:t>
      </w:r>
    </w:p>
    <w:p>
      <w:pPr>
        <w:spacing w:after="120"/>
      </w:pPr>
      <w:r>
        <w:rPr>
          <w:rFonts w:ascii="Calibri" w:hAnsi="Calibri" w:cs="Calibri"/>
          <w:b w:val="0"/>
          <w:sz w:val="22"/>
        </w:rPr>
        <w:t>A 66-year-old Female is admitted with Acute systolic (congestive) heart failure. Presenting symptoms include Edema, Orthopnea, present for one week and worsening. Home medications include spironolactone 25 MG Oral Tablet, furosemide 40 MG Oral Tablet, lisinopril 10 MG Oral Tablet, 24 HR metoprolol succinate 25 MG Extended Release Oral Tablet. Admitted for decompensated heart failure requiring diuretic adjustment. The outpatient diuretic plan was reviewed during the stay. The discharge list is the intended home regimen after that adjustment. The outpatient diuretic plan was adjusted during the stay after the inpatient response to therapy was observed.</w:t>
      </w:r>
    </w:p>
    <w:p>
      <w:pPr>
        <w:pStyle w:val="Heading3"/>
      </w:pPr>
      <w:r>
        <w:rPr>
          <w:rFonts w:ascii="Calibri" w:hAnsi="Calibri"/>
          <w:color w:val="1F3A5F"/>
        </w:rPr>
        <w:t>Admission note</w:t>
      </w:r>
    </w:p>
    <w:p>
      <w:pPr>
        <w:spacing w:after="120"/>
      </w:pPr>
      <w:r>
        <w:rPr>
          <w:rFonts w:ascii="Calibri" w:hAnsi="Calibri" w:cs="Calibri"/>
          <w:b w:val="0"/>
          <w:sz w:val="22"/>
        </w:rPr>
        <w:t>Admission note for a 66-year-old Female with Acute systolic (congestive) heart failure. Symptoms: Edema, Orthopnea for one week (worsening). Medications continued from home: spironolactone 25 MG Oral Tablet, furosemide 40 MG Oral Tablet, lisinopril 10 MG Oral Tablet, 24 HR metoprolol succinate 25 MG Extended Release Oral Tablet. Admitted for decompensated heart failure requiring diuretic adjustment. The outpatient diuretic plan was reviewed during the stay. The discharge list is the intended home regimen after that adjustment. The outpatient diuretic plan was adjusted during the stay after the inpatient response to therapy was observed.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outpatient diuretic plan was adjusted during the stay after the inpatient response to therapy was observed.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1569</w:t>
            </w:r>
          </w:p>
        </w:tc>
        <w:tc>
          <w:tcPr>
            <w:tcW w:type="dxa" w:w="2448"/>
          </w:tcPr>
          <w:p>
            <w:pPr>
              <w:spacing w:after="20" w:before="20"/>
            </w:pPr>
            <w:r>
              <w:rPr>
                <w:rFonts w:ascii="Calibri" w:hAnsi="Calibri" w:cs="Calibri"/>
                <w:b w:val="0"/>
                <w:sz w:val="20"/>
              </w:rPr>
              <w:t>2248</w:t>
            </w:r>
          </w:p>
        </w:tc>
        <w:tc>
          <w:tcPr>
            <w:tcW w:type="dxa" w:w="2448"/>
          </w:tcPr>
          <w:p>
            <w:pPr>
              <w:spacing w:after="20" w:before="20"/>
            </w:pPr>
            <w:r>
              <w:rPr>
                <w:rFonts w:ascii="Calibri" w:hAnsi="Calibri" w:cs="Calibri"/>
                <w:b w:val="0"/>
                <w:sz w:val="20"/>
              </w:rPr>
              <w:t>-679</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3.4</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142/64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3.7</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92.000</w:t>
            </w:r>
          </w:p>
        </w:tc>
        <w:tc>
          <w:tcPr>
            <w:tcW w:type="dxa" w:w="4896"/>
          </w:tcPr>
          <w:p>
            <w:pPr>
              <w:spacing w:after="20" w:before="20"/>
            </w:pPr>
            <w:r>
              <w:rPr>
                <w:rFonts w:ascii="Calibri" w:hAnsi="Calibri" w:cs="Calibri"/>
                <w:b w:val="0"/>
                <w:sz w:val="20"/>
              </w:rPr>
              <w:t>86.000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volume follow-up after diuretic adjustment</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Residual mild congestion.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Edema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VAL-809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Male with Acute and subacute infective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Acute and subacute infective endocarditis</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82-year-old Male is admitted with Acute and subacute infective endocarditis. Presenting symptoms include Fatigue, present for one week and improving after treatment. Home medications include lisinopril 10 MG Oral Tablet, atorvastatin 40 MG Oral Tablet. Started during this admission: ceftriaxone 2000 MG Injection. Admitted for endocarditis and discharged on planned outpatient parenteral antimicrobial therapy. The patient is leaving with a planned parenteral antibiotic course, line precautions, and scheduled laboratory monitoring. A seven-day supply was arranged to cover therapy until infectious-disease follow-up. Parenteral antimicrobial therapy was continued with a specified remaining duration, laboratory monitoring, and line precautions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82-year-old Male with Acute and subacute infective endocarditis. Symptoms: Fatigue for one week (improving after treatment). Medications continued from home: lisinopril 10 MG Oral Tablet, atorvastatin 40 MG Oral Tablet. Started during this admission: ceftriaxone 2000 MG Injection. Admitted for endocarditis and discharged on planned outpatient parenteral antimicrobial therapy. The patient is leaving with a planned parenteral antibiotic course, line precautions, and scheduled laboratory monitoring. A seven-day supply was arranged to cover therapy until infectious-disease follow-up. Parenteral antimicrobial therapy was continued with a specified remaining duration, laboratory monitoring, and line precautions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Parenteral antimicrobial therapy was continued with a specified remaining duration, laboratory monitoring, and line precautions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13.1</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follow-up with parenteral-therapy laboratory monitoring</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gram-positive cocci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Initial diagnostic culture.</w:t>
            </w:r>
          </w:p>
        </w:tc>
      </w:tr>
      <w:tr>
        <w:trPr>
          <w:cantSplit/>
        </w:trPr>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Subsequent cultures cleared after treatment.</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PICC</w:t>
            </w:r>
          </w:p>
        </w:tc>
        <w:tc>
          <w:tcPr>
            <w:tcW w:type="dxa" w:w="1399"/>
          </w:tcPr>
          <w:p>
            <w:pPr>
              <w:spacing w:after="20" w:before="20"/>
            </w:pPr>
            <w:r>
              <w:rPr>
                <w:rFonts w:ascii="Calibri" w:hAnsi="Calibri" w:cs="Calibri"/>
                <w:b w:val="0"/>
                <w:sz w:val="20"/>
              </w:rPr>
              <w:t>right upper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on chest radiograph</w:t>
            </w:r>
          </w:p>
        </w:tc>
        <w:tc>
          <w:tcPr>
            <w:tcW w:type="dxa" w:w="1399"/>
          </w:tcPr>
          <w:p>
            <w:pPr>
              <w:spacing w:after="20" w:before="20"/>
            </w:pPr>
            <w:r>
              <w:rPr>
                <w:rFonts w:ascii="Calibri" w:hAnsi="Calibri" w:cs="Calibri"/>
                <w:b w:val="0"/>
                <w:sz w:val="20"/>
              </w:rPr>
              <w:t>Line precautions and weekly dressing changes</w:t>
            </w:r>
          </w:p>
        </w:tc>
        <w:tc>
          <w:tcPr>
            <w:tcW w:type="dxa" w:w="1399"/>
          </w:tcPr>
          <w:p>
            <w:pPr>
              <w:spacing w:after="20" w:before="20"/>
            </w:pPr>
            <w:r>
              <w:rPr>
                <w:rFonts w:ascii="Calibri" w:hAnsi="Calibri" w:cs="Calibri"/>
                <w:b w:val="0"/>
                <w:sz w:val="20"/>
              </w:rPr>
              <w:t>Remove after the planned parenteral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VAL-810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83</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83-year-old Male with Acute and subacute infective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Fatigue in the setting of Acute and subacute infective endocarditis</w:t>
      </w:r>
    </w:p>
    <w:p>
      <w:pPr>
        <w:pStyle w:val="ListBullet"/>
        <w:spacing w:after="40" w:before="0"/>
      </w:pPr>
      <w:r>
        <w:rPr>
          <w:rFonts w:ascii="Calibri" w:hAnsi="Calibri" w:cs="Calibri"/>
          <w:b/>
          <w:sz w:val="22"/>
        </w:rPr>
        <w:t xml:space="preserve">Symptoms: </w:t>
      </w:r>
      <w:r>
        <w:rPr>
          <w:rFonts w:ascii="Calibri" w:hAnsi="Calibri" w:cs="Calibri"/>
          <w:b w:val="0"/>
          <w:sz w:val="22"/>
        </w:rPr>
        <w:t>Nausea,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83-year-old Male is admitted with Acute and subacute infective endocarditis. Presenting symptoms include Nausea, Fatigue, present for several days and improving after treatment. Home medications include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cleared on inpatient therapy. The remaining parenteral course and infectious-disease follow-up were arranged before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83-year-old Male with Acute and subacute infective endocarditis. Symptoms: Nausea, Fatigue for several days (improving after treatment). Medications continued from home: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cleared on inpatient therapy. The remaining parenteral course and infectious-disease follow-up were arranged before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Type 2 diabetes mellitus without complications,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Cultures cleared on inpatient therapy. The remaining parenteral course and infectious-disease follow-up were arranged before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93.00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176.0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112.0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clinic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gram-positive cocci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Initial diagnostic culture.</w:t>
            </w:r>
          </w:p>
        </w:tc>
      </w:tr>
      <w:tr>
        <w:trPr>
          <w:cantSplit/>
        </w:trPr>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Subsequent cultures cleared after treatment.</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PICC</w:t>
            </w:r>
          </w:p>
        </w:tc>
        <w:tc>
          <w:tcPr>
            <w:tcW w:type="dxa" w:w="1399"/>
          </w:tcPr>
          <w:p>
            <w:pPr>
              <w:spacing w:after="20" w:before="20"/>
            </w:pPr>
            <w:r>
              <w:rPr>
                <w:rFonts w:ascii="Calibri" w:hAnsi="Calibri" w:cs="Calibri"/>
                <w:b w:val="0"/>
                <w:sz w:val="20"/>
              </w:rPr>
              <w:t>right upper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on chest radiograph</w:t>
            </w:r>
          </w:p>
        </w:tc>
        <w:tc>
          <w:tcPr>
            <w:tcW w:type="dxa" w:w="1399"/>
          </w:tcPr>
          <w:p>
            <w:pPr>
              <w:spacing w:after="20" w:before="20"/>
            </w:pPr>
            <w:r>
              <w:rPr>
                <w:rFonts w:ascii="Calibri" w:hAnsi="Calibri" w:cs="Calibri"/>
                <w:b w:val="0"/>
                <w:sz w:val="20"/>
              </w:rPr>
              <w:t>Line precautions and weekly dressing changes</w:t>
            </w:r>
          </w:p>
        </w:tc>
        <w:tc>
          <w:tcPr>
            <w:tcW w:type="dxa" w:w="1399"/>
          </w:tcPr>
          <w:p>
            <w:pPr>
              <w:spacing w:after="20" w:before="20"/>
            </w:pPr>
            <w:r>
              <w:rPr>
                <w:rFonts w:ascii="Calibri" w:hAnsi="Calibri" w:cs="Calibri"/>
                <w:b w:val="0"/>
                <w:sz w:val="20"/>
              </w:rPr>
              <w:t>Remove after the planned parenteral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VAL-811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74-year-old Male with Acute and subacute infective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in the setting of Acute and subacute infective endocarditis</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74-year-old Male is admitted with Acute and subacute infective endocarditis. Presenting symptoms include Nausea, present for two days and persistent. Home medications include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 is scheduled. Parenteral antimicrobial therapy was continued with a specified remaining duration, laboratory monitoring, and line precautions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74-year-old Male with Acute and subacute infective endocarditis. Symptoms: Nausea for two days (persistent). Medications continued from home: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 is scheduled. Parenteral antimicrobial therapy was continued with a specified remaining duration, laboratory monitoring, and line precautions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Type 2 diabetes mellitus without complications, Atherosclerotic heart disease of native coronary artery without angina pectoris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Parenteral antimicrobial therapy was continued with a specified remaining duration, laboratory monitoring, and line precautions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139/88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137.0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12.4</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 Supply: 30 days</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Supply: 7 days; Note: Started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Supply: 30 days</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 Supply: 30 days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Infectious-disease follow-up for remaining antibiotic duration</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gram-positive cocci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Initial diagnostic culture.</w:t>
            </w:r>
          </w:p>
        </w:tc>
      </w:tr>
      <w:tr>
        <w:trPr>
          <w:cantSplit/>
        </w:trPr>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Subsequent cultures cleared after treatment.</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PICC</w:t>
            </w:r>
          </w:p>
        </w:tc>
        <w:tc>
          <w:tcPr>
            <w:tcW w:type="dxa" w:w="1399"/>
          </w:tcPr>
          <w:p>
            <w:pPr>
              <w:spacing w:after="20" w:before="20"/>
            </w:pPr>
            <w:r>
              <w:rPr>
                <w:rFonts w:ascii="Calibri" w:hAnsi="Calibri" w:cs="Calibri"/>
                <w:b w:val="0"/>
                <w:sz w:val="20"/>
              </w:rPr>
              <w:t>right upper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on chest radiograph</w:t>
            </w:r>
          </w:p>
        </w:tc>
        <w:tc>
          <w:tcPr>
            <w:tcW w:type="dxa" w:w="1399"/>
          </w:tcPr>
          <w:p>
            <w:pPr>
              <w:spacing w:after="20" w:before="20"/>
            </w:pPr>
            <w:r>
              <w:rPr>
                <w:rFonts w:ascii="Calibri" w:hAnsi="Calibri" w:cs="Calibri"/>
                <w:b w:val="0"/>
                <w:sz w:val="20"/>
              </w:rPr>
              <w:t>Line precautions and weekly dressing changes</w:t>
            </w:r>
          </w:p>
        </w:tc>
        <w:tc>
          <w:tcPr>
            <w:tcW w:type="dxa" w:w="1399"/>
          </w:tcPr>
          <w:p>
            <w:pPr>
              <w:spacing w:after="20" w:before="20"/>
            </w:pPr>
            <w:r>
              <w:rPr>
                <w:rFonts w:ascii="Calibri" w:hAnsi="Calibri" w:cs="Calibri"/>
                <w:b w:val="0"/>
                <w:sz w:val="20"/>
              </w:rPr>
              <w:t>Remove after the planned parenteral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VAL-812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75.000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infectious disease</w:t>
      </w:r>
    </w:p>
    <w:p>
      <w:pPr>
        <w:pStyle w:val="ListBullet"/>
        <w:spacing w:after="40" w:before="0"/>
      </w:pPr>
      <w:r>
        <w:rPr>
          <w:rFonts w:ascii="Calibri" w:hAnsi="Calibri" w:cs="Calibri"/>
          <w:b/>
          <w:sz w:val="22"/>
        </w:rPr>
        <w:t xml:space="preserve">Admission diagnosis: </w:t>
      </w:r>
      <w:r>
        <w:rPr>
          <w:rFonts w:ascii="Calibri" w:hAnsi="Calibri" w:cs="Calibri"/>
          <w:b w:val="0"/>
          <w:sz w:val="22"/>
        </w:rPr>
        <w:t>Acute and subacute infective endocarditis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75-year-old Male with Acute and subacute infective endocarditis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Nausea in the setting of Acute and subacute infective endocarditis</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75-year-old Male is admitted with Acute and subacute infective endocarditis. Presenting symptoms include Fatigue, Nausea, present for one week and improving after treatment. Home medications include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Male with Acute and subacute infective endocarditis. Symptoms: Fatigue, Nausea for one week (improving after treatment). Medications continued from home: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Atherosclerotic heart disease of native coronary artery without angina pectoris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Atherosclerotic heart disease of native coronary artery without angina pectoris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and subacute infective endocarditis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Cultures cleared on inpatient therapy. Remaining parenteral duration is to be confirmed as an outpatient decision.</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129/79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13.6</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75.000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11.9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Atherosclerotic heart disease of native coronary artery without angina pectoris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ceftriaxone 2000 MG Injection</w:t>
            </w:r>
          </w:p>
        </w:tc>
        <w:tc>
          <w:tcPr>
            <w:tcW w:type="dxa" w:w="1224"/>
          </w:tcPr>
          <w:p>
            <w:pPr>
              <w:spacing w:after="20" w:before="20"/>
            </w:pPr>
            <w:r>
              <w:rPr>
                <w:rFonts w:ascii="Calibri" w:hAnsi="Calibri" w:cs="Calibri"/>
                <w:b w:val="0"/>
                <w:sz w:val="20"/>
              </w:rPr>
              <w:t>2000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and subacute infective endocarditis; Note: Started during this admission.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weekly complete blood count and creatinine during parenteral therapy</w:t>
            </w:r>
          </w:p>
        </w:tc>
        <w:tc>
          <w:tcPr>
            <w:tcW w:type="dxa" w:w="3264"/>
          </w:tcPr>
          <w:p>
            <w:pPr>
              <w:spacing w:after="20" w:before="20"/>
            </w:pPr>
            <w:r>
              <w:rPr>
                <w:rFonts w:ascii="Calibri" w:hAnsi="Calibri" w:cs="Calibri"/>
                <w:b w:val="0"/>
                <w:sz w:val="20"/>
              </w:rPr>
              <w:t>weekly</w:t>
            </w:r>
          </w:p>
        </w:tc>
        <w:tc>
          <w:tcPr>
            <w:tcW w:type="dxa" w:w="3264"/>
          </w:tcPr>
          <w:p>
            <w:pPr>
              <w:spacing w:after="20" w:before="20"/>
            </w:pPr>
            <w:r>
              <w:rPr>
                <w:rFonts w:ascii="Calibri" w:hAnsi="Calibri" w:cs="Calibri"/>
                <w:b w:val="0"/>
                <w:sz w:val="20"/>
              </w:rPr>
              <w:t>infectious disease</w:t>
            </w:r>
          </w:p>
        </w:tc>
      </w:tr>
    </w:tbl>
    <w:p>
      <w:pPr>
        <w:spacing w:after="40"/>
      </w:pPr>
    </w:p>
    <w:p>
      <w:pPr>
        <w:pStyle w:val="Heading2"/>
      </w:pPr>
      <w:r>
        <w:rPr>
          <w:rFonts w:ascii="Calibri" w:hAnsi="Calibri"/>
          <w:color w:val="1F3A5F"/>
        </w:rPr>
        <w:t>Follow-up</w:t>
      </w:r>
    </w:p>
    <w:p>
      <w:pPr>
        <w:spacing w:after="120"/>
      </w:pPr>
      <w:r>
        <w:rPr>
          <w:rFonts w:ascii="Calibri" w:hAnsi="Calibri" w:cs="Calibri"/>
          <w:b w:val="0"/>
          <w:sz w:val="22"/>
        </w:rPr>
        <w:t>No follow-up appointments were specified.</w:t>
      </w: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Remaining duration of parenteral ceftriaxone is to be confirmed at infectious-disease follow-up.</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Transthoracic echocardiogram</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heart</w:t>
            </w:r>
          </w:p>
        </w:tc>
        <w:tc>
          <w:tcPr>
            <w:tcW w:type="dxa" w:w="2448"/>
          </w:tcPr>
          <w:p>
            <w:pPr>
              <w:spacing w:after="20" w:before="20"/>
            </w:pPr>
            <w:r>
              <w:rPr>
                <w:rFonts w:ascii="Calibri" w:hAnsi="Calibri" w:cs="Calibri"/>
                <w:b w:val="0"/>
                <w:sz w:val="20"/>
              </w:rPr>
              <w:t>Mobile echodensity consistent with a vegetation; ventricular function preserved.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Complete the planned parenteral course with laboratory follow-up.</w:t>
            </w:r>
          </w:p>
        </w:tc>
      </w:tr>
    </w:tbl>
    <w:p>
      <w:pPr>
        <w:spacing w:after="40"/>
      </w:pPr>
    </w:p>
    <w:p>
      <w:pPr>
        <w:pStyle w:val="Heading2"/>
      </w:pPr>
      <w:r>
        <w:rPr>
          <w:rFonts w:ascii="Calibri" w:hAnsi="Calibri"/>
          <w:color w:val="1F3A5F"/>
        </w:rPr>
        <w:t>Microbiology</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Timepoint</w:t>
            </w:r>
          </w:p>
        </w:tc>
        <w:tc>
          <w:tcPr>
            <w:tcW w:type="dxa" w:w="1399"/>
            <w:shd w:val="clear" w:color="auto" w:fill="D9E2F3"/>
          </w:tcPr>
          <w:p>
            <w:pPr>
              <w:spacing w:after="20" w:before="20"/>
            </w:pPr>
            <w:r>
              <w:rPr>
                <w:rFonts w:ascii="Calibri" w:hAnsi="Calibri" w:cs="Calibri"/>
                <w:b/>
                <w:sz w:val="20"/>
              </w:rPr>
              <w:t>Specimen</w:t>
            </w:r>
          </w:p>
        </w:tc>
        <w:tc>
          <w:tcPr>
            <w:tcW w:type="dxa" w:w="1399"/>
            <w:shd w:val="clear" w:color="auto" w:fill="D9E2F3"/>
          </w:tcPr>
          <w:p>
            <w:pPr>
              <w:spacing w:after="20" w:before="20"/>
            </w:pPr>
            <w:r>
              <w:rPr>
                <w:rFonts w:ascii="Calibri" w:hAnsi="Calibri" w:cs="Calibri"/>
                <w:b/>
                <w:sz w:val="20"/>
              </w:rPr>
              <w:t>Test</w:t>
            </w:r>
          </w:p>
        </w:tc>
        <w:tc>
          <w:tcPr>
            <w:tcW w:type="dxa" w:w="1399"/>
            <w:shd w:val="clear" w:color="auto" w:fill="D9E2F3"/>
          </w:tcPr>
          <w:p>
            <w:pPr>
              <w:spacing w:after="20" w:before="20"/>
            </w:pPr>
            <w:r>
              <w:rPr>
                <w:rFonts w:ascii="Calibri" w:hAnsi="Calibri" w:cs="Calibri"/>
                <w:b/>
                <w:sz w:val="20"/>
              </w:rPr>
              <w:t>Organism</w:t>
            </w:r>
          </w:p>
        </w:tc>
        <w:tc>
          <w:tcPr>
            <w:tcW w:type="dxa" w:w="1399"/>
            <w:shd w:val="clear" w:color="auto" w:fill="D9E2F3"/>
          </w:tcPr>
          <w:p>
            <w:pPr>
              <w:spacing w:after="20" w:before="20"/>
            </w:pPr>
            <w:r>
              <w:rPr>
                <w:rFonts w:ascii="Calibri" w:hAnsi="Calibri" w:cs="Calibri"/>
                <w:b/>
                <w:sz w:val="20"/>
              </w:rPr>
              <w:t>Result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Notes</w:t>
            </w:r>
          </w:p>
        </w:tc>
      </w:tr>
      <w:tr>
        <w:trPr>
          <w:cantSplit/>
        </w:trPr>
        <w:tc>
          <w:tcPr>
            <w:tcW w:type="dxa" w:w="1399"/>
          </w:tcPr>
          <w:p>
            <w:pPr>
              <w:spacing w:after="20" w:before="20"/>
            </w:pPr>
            <w:r>
              <w:rPr>
                <w:rFonts w:ascii="Calibri" w:hAnsi="Calibri" w:cs="Calibri"/>
                <w:b w:val="0"/>
                <w:sz w:val="20"/>
              </w:rPr>
              <w:t>admission</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t>gram-positive cocci</w:t>
            </w:r>
          </w:p>
        </w:tc>
        <w:tc>
          <w:tcPr>
            <w:tcW w:type="dxa" w:w="1399"/>
          </w:tcPr>
          <w:p>
            <w:pPr>
              <w:spacing w:after="20" w:before="20"/>
            </w:pPr>
            <w:r>
              <w:rPr>
                <w:rFonts w:ascii="Calibri" w:hAnsi="Calibri" w:cs="Calibri"/>
                <w:b w:val="0"/>
                <w:sz w:val="20"/>
              </w:rPr>
              <w:t>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Initial diagnostic culture.</w:t>
            </w:r>
          </w:p>
        </w:tc>
      </w:tr>
      <w:tr>
        <w:trPr>
          <w:cantSplit/>
        </w:trPr>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blood</w:t>
            </w:r>
          </w:p>
        </w:tc>
        <w:tc>
          <w:tcPr>
            <w:tcW w:type="dxa" w:w="1399"/>
          </w:tcPr>
          <w:p>
            <w:pPr>
              <w:spacing w:after="20" w:before="20"/>
            </w:pPr>
            <w:r>
              <w:rPr>
                <w:rFonts w:ascii="Calibri" w:hAnsi="Calibri" w:cs="Calibri"/>
                <w:b w:val="0"/>
                <w:sz w:val="20"/>
              </w:rPr>
              <w:t>blood culture</w:t>
            </w:r>
          </w:p>
        </w:tc>
        <w:tc>
          <w:tcPr>
            <w:tcW w:type="dxa" w:w="1399"/>
          </w:tcPr>
          <w:p>
            <w:pPr>
              <w:spacing w:after="20" w:before="20"/>
            </w:pPr>
            <w:r>
              <w:rPr>
                <w:rFonts w:ascii="Calibri" w:hAnsi="Calibri" w:cs="Calibri"/>
                <w:b w:val="0"/>
                <w:sz w:val="20"/>
              </w:rPr>
            </w:r>
          </w:p>
        </w:tc>
        <w:tc>
          <w:tcPr>
            <w:tcW w:type="dxa" w:w="1399"/>
          </w:tcPr>
          <w:p>
            <w:pPr>
              <w:spacing w:after="20" w:before="20"/>
            </w:pPr>
            <w:r>
              <w:rPr>
                <w:rFonts w:ascii="Calibri" w:hAnsi="Calibri" w:cs="Calibri"/>
                <w:b w:val="0"/>
                <w:sz w:val="20"/>
              </w:rPr>
              <w:t>no growth</w:t>
            </w:r>
          </w:p>
        </w:tc>
        <w:tc>
          <w:tcPr>
            <w:tcW w:type="dxa" w:w="1399"/>
          </w:tcPr>
          <w:p>
            <w:pPr>
              <w:spacing w:after="20" w:before="20"/>
            </w:pPr>
            <w:r>
              <w:rPr>
                <w:rFonts w:ascii="Calibri" w:hAnsi="Calibri" w:cs="Calibri"/>
                <w:b w:val="0"/>
                <w:sz w:val="20"/>
              </w:rPr>
              <w:t>final</w:t>
            </w:r>
          </w:p>
        </w:tc>
        <w:tc>
          <w:tcPr>
            <w:tcW w:type="dxa" w:w="1399"/>
          </w:tcPr>
          <w:p>
            <w:pPr>
              <w:spacing w:after="20" w:before="20"/>
            </w:pPr>
            <w:r>
              <w:rPr>
                <w:rFonts w:ascii="Calibri" w:hAnsi="Calibri" w:cs="Calibri"/>
                <w:b w:val="0"/>
                <w:sz w:val="20"/>
              </w:rPr>
              <w:t>Subsequent cultures cleared after treatment.</w:t>
            </w:r>
          </w:p>
        </w:tc>
      </w:tr>
    </w:tbl>
    <w:p>
      <w:pPr>
        <w:spacing w:after="40"/>
      </w:pPr>
    </w:p>
    <w:p>
      <w:pPr>
        <w:pStyle w:val="Heading2"/>
      </w:pPr>
      <w:r>
        <w:rPr>
          <w:rFonts w:ascii="Calibri" w:hAnsi="Calibri"/>
          <w:color w:val="1F3A5F"/>
        </w:rPr>
        <w:t>Devices</w:t>
      </w:r>
    </w:p>
    <w:tbl>
      <w:tblPr>
        <w:tblStyle w:val="TableGrid"/>
        <w:tblW w:type="dxa" w:w="9792"/>
        <w:tblLayout w:type="fixed"/>
        <w:tblLook w:firstColumn="1" w:firstRow="1" w:lastColumn="0" w:lastRow="0" w:noHBand="0" w:noVBand="1" w:val="04A0"/>
      </w:tblPr>
      <w:tblGrid>
        <w:gridCol w:w="1399"/>
        <w:gridCol w:w="1399"/>
        <w:gridCol w:w="1399"/>
        <w:gridCol w:w="1399"/>
        <w:gridCol w:w="1399"/>
        <w:gridCol w:w="1399"/>
        <w:gridCol w:w="1399"/>
      </w:tblGrid>
      <w:tr>
        <w:trPr>
          <w:tblHeader/>
          <w:cantSplit/>
        </w:trPr>
        <w:tc>
          <w:tcPr>
            <w:tcW w:type="dxa" w:w="1399"/>
            <w:shd w:val="clear" w:color="auto" w:fill="D9E2F3"/>
          </w:tcPr>
          <w:p>
            <w:pPr>
              <w:spacing w:after="20" w:before="20"/>
            </w:pPr>
            <w:r>
              <w:rPr>
                <w:rFonts w:ascii="Calibri" w:hAnsi="Calibri" w:cs="Calibri"/>
                <w:b/>
                <w:sz w:val="20"/>
              </w:rPr>
              <w:t>Device</w:t>
            </w:r>
          </w:p>
        </w:tc>
        <w:tc>
          <w:tcPr>
            <w:tcW w:type="dxa" w:w="1399"/>
            <w:shd w:val="clear" w:color="auto" w:fill="D9E2F3"/>
          </w:tcPr>
          <w:p>
            <w:pPr>
              <w:spacing w:after="20" w:before="20"/>
            </w:pPr>
            <w:r>
              <w:rPr>
                <w:rFonts w:ascii="Calibri" w:hAnsi="Calibri" w:cs="Calibri"/>
                <w:b/>
                <w:sz w:val="20"/>
              </w:rPr>
              <w:t>Site</w:t>
            </w:r>
          </w:p>
        </w:tc>
        <w:tc>
          <w:tcPr>
            <w:tcW w:type="dxa" w:w="1399"/>
            <w:shd w:val="clear" w:color="auto" w:fill="D9E2F3"/>
          </w:tcPr>
          <w:p>
            <w:pPr>
              <w:spacing w:after="20" w:before="20"/>
            </w:pPr>
            <w:r>
              <w:rPr>
                <w:rFonts w:ascii="Calibri" w:hAnsi="Calibri" w:cs="Calibri"/>
                <w:b/>
                <w:sz w:val="20"/>
              </w:rPr>
              <w:t>Placement</w:t>
            </w:r>
          </w:p>
        </w:tc>
        <w:tc>
          <w:tcPr>
            <w:tcW w:type="dxa" w:w="1399"/>
            <w:shd w:val="clear" w:color="auto" w:fill="D9E2F3"/>
          </w:tcPr>
          <w:p>
            <w:pPr>
              <w:spacing w:after="20" w:before="20"/>
            </w:pPr>
            <w:r>
              <w:rPr>
                <w:rFonts w:ascii="Calibri" w:hAnsi="Calibri" w:cs="Calibri"/>
                <w:b/>
                <w:sz w:val="20"/>
              </w:rPr>
              <w:t>Status</w:t>
            </w:r>
          </w:p>
        </w:tc>
        <w:tc>
          <w:tcPr>
            <w:tcW w:type="dxa" w:w="1399"/>
            <w:shd w:val="clear" w:color="auto" w:fill="D9E2F3"/>
          </w:tcPr>
          <w:p>
            <w:pPr>
              <w:spacing w:after="20" w:before="20"/>
            </w:pPr>
            <w:r>
              <w:rPr>
                <w:rFonts w:ascii="Calibri" w:hAnsi="Calibri" w:cs="Calibri"/>
                <w:b/>
                <w:sz w:val="20"/>
              </w:rPr>
              <w:t>Confirmation</w:t>
            </w:r>
          </w:p>
        </w:tc>
        <w:tc>
          <w:tcPr>
            <w:tcW w:type="dxa" w:w="1399"/>
            <w:shd w:val="clear" w:color="auto" w:fill="D9E2F3"/>
          </w:tcPr>
          <w:p>
            <w:pPr>
              <w:spacing w:after="20" w:before="20"/>
            </w:pPr>
            <w:r>
              <w:rPr>
                <w:rFonts w:ascii="Calibri" w:hAnsi="Calibri" w:cs="Calibri"/>
                <w:b/>
                <w:sz w:val="20"/>
              </w:rPr>
              <w:t>Care instructions</w:t>
            </w:r>
          </w:p>
        </w:tc>
        <w:tc>
          <w:tcPr>
            <w:tcW w:type="dxa" w:w="1399"/>
            <w:shd w:val="clear" w:color="auto" w:fill="D9E2F3"/>
          </w:tcPr>
          <w:p>
            <w:pPr>
              <w:spacing w:after="20" w:before="20"/>
            </w:pPr>
            <w:r>
              <w:rPr>
                <w:rFonts w:ascii="Calibri" w:hAnsi="Calibri" w:cs="Calibri"/>
                <w:b/>
                <w:sz w:val="20"/>
              </w:rPr>
              <w:t>Removal plan</w:t>
            </w:r>
          </w:p>
        </w:tc>
      </w:tr>
      <w:tr>
        <w:trPr>
          <w:cantSplit/>
        </w:trPr>
        <w:tc>
          <w:tcPr>
            <w:tcW w:type="dxa" w:w="1399"/>
          </w:tcPr>
          <w:p>
            <w:pPr>
              <w:spacing w:after="20" w:before="20"/>
            </w:pPr>
            <w:r>
              <w:rPr>
                <w:rFonts w:ascii="Calibri" w:hAnsi="Calibri" w:cs="Calibri"/>
                <w:b w:val="0"/>
                <w:sz w:val="20"/>
              </w:rPr>
              <w:t>PICC</w:t>
            </w:r>
          </w:p>
        </w:tc>
        <w:tc>
          <w:tcPr>
            <w:tcW w:type="dxa" w:w="1399"/>
          </w:tcPr>
          <w:p>
            <w:pPr>
              <w:spacing w:after="20" w:before="20"/>
            </w:pPr>
            <w:r>
              <w:rPr>
                <w:rFonts w:ascii="Calibri" w:hAnsi="Calibri" w:cs="Calibri"/>
                <w:b w:val="0"/>
                <w:sz w:val="20"/>
              </w:rPr>
              <w:t>right upper arm</w:t>
            </w:r>
          </w:p>
        </w:tc>
        <w:tc>
          <w:tcPr>
            <w:tcW w:type="dxa" w:w="1399"/>
          </w:tcPr>
          <w:p>
            <w:pPr>
              <w:spacing w:after="20" w:before="20"/>
            </w:pPr>
            <w:r>
              <w:rPr>
                <w:rFonts w:ascii="Calibri" w:hAnsi="Calibri" w:cs="Calibri"/>
                <w:b w:val="0"/>
                <w:sz w:val="20"/>
              </w:rPr>
              <w:t>inpatient</w:t>
            </w:r>
          </w:p>
        </w:tc>
        <w:tc>
          <w:tcPr>
            <w:tcW w:type="dxa" w:w="1399"/>
          </w:tcPr>
          <w:p>
            <w:pPr>
              <w:spacing w:after="20" w:before="20"/>
            </w:pPr>
            <w:r>
              <w:rPr>
                <w:rFonts w:ascii="Calibri" w:hAnsi="Calibri" w:cs="Calibri"/>
                <w:b w:val="0"/>
                <w:sz w:val="20"/>
              </w:rPr>
              <w:t>in place</w:t>
            </w:r>
          </w:p>
        </w:tc>
        <w:tc>
          <w:tcPr>
            <w:tcW w:type="dxa" w:w="1399"/>
          </w:tcPr>
          <w:p>
            <w:pPr>
              <w:spacing w:after="20" w:before="20"/>
            </w:pPr>
            <w:r>
              <w:rPr>
                <w:rFonts w:ascii="Calibri" w:hAnsi="Calibri" w:cs="Calibri"/>
                <w:b w:val="0"/>
                <w:sz w:val="20"/>
              </w:rPr>
              <w:t>Tip position confirmed on chest radiograph</w:t>
            </w:r>
          </w:p>
        </w:tc>
        <w:tc>
          <w:tcPr>
            <w:tcW w:type="dxa" w:w="1399"/>
          </w:tcPr>
          <w:p>
            <w:pPr>
              <w:spacing w:after="20" w:before="20"/>
            </w:pPr>
            <w:r>
              <w:rPr>
                <w:rFonts w:ascii="Calibri" w:hAnsi="Calibri" w:cs="Calibri"/>
                <w:b w:val="0"/>
                <w:sz w:val="20"/>
              </w:rPr>
              <w:t>Line precautions and weekly dressing changes</w:t>
            </w:r>
          </w:p>
        </w:tc>
        <w:tc>
          <w:tcPr>
            <w:tcW w:type="dxa" w:w="1399"/>
          </w:tcPr>
          <w:p>
            <w:pPr>
              <w:spacing w:after="20" w:before="20"/>
            </w:pPr>
            <w:r>
              <w:rPr>
                <w:rFonts w:ascii="Calibri" w:hAnsi="Calibri" w:cs="Calibri"/>
                <w:b w:val="0"/>
                <w:sz w:val="20"/>
              </w:rPr>
              <w:t>Remove after the planned parenteral course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VAL-813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68.000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Other cytomegaloviral diseases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Female with Other cytomegaloviral diseases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 in the setting of Other cytomegaloviral diseases</w:t>
      </w:r>
    </w:p>
    <w:p>
      <w:pPr>
        <w:pStyle w:val="ListBullet"/>
        <w:spacing w:after="40" w:before="0"/>
      </w:pPr>
      <w:r>
        <w:rPr>
          <w:rFonts w:ascii="Calibri" w:hAnsi="Calibri" w:cs="Calibri"/>
          <w:b/>
          <w:sz w:val="22"/>
        </w:rPr>
        <w:t xml:space="preserve">Symptoms: </w:t>
      </w:r>
      <w:r>
        <w:rPr>
          <w:rFonts w:ascii="Calibri" w:hAnsi="Calibri" w:cs="Calibri"/>
          <w:b w:val="0"/>
          <w:sz w:val="22"/>
        </w:rPr>
        <w:t>Diarrhea</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64-year-old Female is admitted with Other cytomegaloviral diseases. Presenting symptoms include Diarrhea, present for several days and improving after treatment. Home medications include amlodipine 5 MG Oral Tablet, BX Rating tacrolimus 1 MG Oral Capsule, valganciclovir 450 MG Oral Tablet, atorvastatin 40 MG Oral Tablet. Admitted for cytomegalovirus disease after kidney transplantation. Gastrointestinal symptoms improved on antiviral therapy. Outpatient valganciclovir is the intended continuation. Kidney-transplant immunosuppression continues separately from CMV treatment. Infectious symptoms improved. Antiviral therapy was reviewed during the stay.</w:t>
      </w:r>
    </w:p>
    <w:p>
      <w:pPr>
        <w:pStyle w:val="Heading3"/>
      </w:pPr>
      <w:r>
        <w:rPr>
          <w:rFonts w:ascii="Calibri" w:hAnsi="Calibri"/>
          <w:color w:val="1F3A5F"/>
        </w:rPr>
        <w:t>Admission note</w:t>
      </w:r>
    </w:p>
    <w:p>
      <w:pPr>
        <w:spacing w:after="120"/>
      </w:pPr>
      <w:r>
        <w:rPr>
          <w:rFonts w:ascii="Calibri" w:hAnsi="Calibri" w:cs="Calibri"/>
          <w:b w:val="0"/>
          <w:sz w:val="22"/>
        </w:rPr>
        <w:t>Admission note for a 64-year-old Female with Other cytomegaloviral diseases. Symptoms: Diarrhea for several days (improving after treatment). Medications continued from home: amlodipine 5 MG Oral Tablet, BX Rating tacrolimus 1 MG Oral Capsule, valganciclovir 450 MG Oral Tablet, atorvastatin 40 MG Oral Tablet. Admitted for cytomegalovirus disease after kidney transplantation. Gastrointestinal symptoms improved on antiviral therapy. Outpatient valganciclovir is the intended continuation. Kidney-transplant immunosuppression continues separately from CMV treatment. Infectious symptoms improved. Antiviral therapy was reviewed during the stay.</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Infectious symptoms improved. Antiviral therapy was reviewed during the stay.</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5</w:t>
            </w:r>
          </w:p>
        </w:tc>
        <w:tc>
          <w:tcPr>
            <w:tcW w:type="dxa" w:w="2448"/>
          </w:tcPr>
          <w:p>
            <w:pPr>
              <w:spacing w:after="20" w:before="20"/>
            </w:pPr>
            <w:r>
              <w:rPr>
                <w:rFonts w:ascii="Calibri" w:hAnsi="Calibri" w:cs="Calibri"/>
                <w:b w:val="0"/>
                <w:sz w:val="20"/>
              </w:rPr>
              <w:t>1655</w:t>
            </w:r>
          </w:p>
        </w:tc>
        <w:tc>
          <w:tcPr>
            <w:tcW w:type="dxa" w:w="2448"/>
          </w:tcPr>
          <w:p>
            <w:pPr>
              <w:spacing w:after="20" w:before="20"/>
            </w:pPr>
            <w:r>
              <w:rPr>
                <w:rFonts w:ascii="Calibri" w:hAnsi="Calibri" w:cs="Calibri"/>
                <w:b w:val="0"/>
                <w:sz w:val="20"/>
              </w:rPr>
              <w:t>1812</w:t>
            </w:r>
          </w:p>
        </w:tc>
        <w:tc>
          <w:tcPr>
            <w:tcW w:type="dxa" w:w="2448"/>
          </w:tcPr>
          <w:p>
            <w:pPr>
              <w:spacing w:after="20" w:before="20"/>
            </w:pPr>
            <w:r>
              <w:rPr>
                <w:rFonts w:ascii="Calibri" w:hAnsi="Calibri" w:cs="Calibri"/>
                <w:b w:val="0"/>
                <w:sz w:val="20"/>
              </w:rPr>
              <w:t>-157</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4.7</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134/80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3.9</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66.000</w:t>
            </w:r>
          </w:p>
        </w:tc>
        <w:tc>
          <w:tcPr>
            <w:tcW w:type="dxa" w:w="4896"/>
          </w:tcPr>
          <w:p>
            <w:pPr>
              <w:spacing w:after="20" w:before="20"/>
            </w:pPr>
            <w:r>
              <w:rPr>
                <w:rFonts w:ascii="Calibri" w:hAnsi="Calibri" w:cs="Calibri"/>
                <w:b w:val="0"/>
                <w:sz w:val="20"/>
              </w:rPr>
              <w:t>63.000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clinic follow-up after antiviral conversion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CMV viral burden was detected and supported antiviral treatment.</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Transplant-service recommendations were recorded.</w:t>
            </w:r>
          </w:p>
        </w:tc>
        <w:tc>
          <w:tcPr>
            <w:tcW w:type="dxa" w:w="2448"/>
          </w:tcPr>
          <w:p>
            <w:pPr>
              <w:spacing w:after="20" w:before="20"/>
            </w:pPr>
            <w:r>
              <w:rPr>
                <w:rFonts w:ascii="Calibri" w:hAnsi="Calibri" w:cs="Calibri"/>
                <w:b w:val="0"/>
                <w:sz w:val="20"/>
              </w:rPr>
              <w:t>Continue immunosuppression with infection-related adjustments as documented.</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Continue antiviral therapy and infection-related monitoring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VAL-814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Other cytomegaloviral diseases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Male with Other cytomegaloviral diseases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 Nausea in the setting of Other cytomegaloviral diseases</w:t>
      </w:r>
    </w:p>
    <w:p>
      <w:pPr>
        <w:pStyle w:val="ListBullet"/>
        <w:spacing w:after="40" w:before="0"/>
      </w:pPr>
      <w:r>
        <w:rPr>
          <w:rFonts w:ascii="Calibri" w:hAnsi="Calibri" w:cs="Calibri"/>
          <w:b/>
          <w:sz w:val="22"/>
        </w:rPr>
        <w:t xml:space="preserve">Symptoms: </w:t>
      </w:r>
      <w:r>
        <w:rPr>
          <w:rFonts w:ascii="Calibri" w:hAnsi="Calibri" w:cs="Calibri"/>
          <w:b w:val="0"/>
          <w:sz w:val="22"/>
        </w:rPr>
        <w:t>Diarrhea,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71-year-old Male is admitted with Other cytomegaloviral diseases. Presenting symptoms include Diarrhea, Nausea, present for one week and progressive. Home medications include amlodipine 5 MG Oral Tablet, BX Rating tacrolimus 1 MG Oral Capsule, valganciclovir 450 MG Oral Tablet. mycophenolate mofetil 500 MG Oral Tablet was held during the admission (Held during active infection as an immunosuppression adjustment; intended to restart.). Admitted for cytomegalovirus disease after kidney transplantation with an infection-related mycophenolate hold. Mycophenolate was held during infection as an immunosuppression adjustment. Tacrolimus continues for transplant immunosuppression. Volume-related kidney injury led to temporary holds of selected immunosuppression.</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Other cytomegaloviral diseases. Symptoms: Diarrhea, Nausea for one week (progressive). Medications continued from home: amlodipine 5 MG Oral Tablet, BX Rating tacrolimus 1 MG Oral Capsule, valganciclovir 450 MG Oral Tablet. mycophenolate mofetil 500 MG Oral Tablet was held during the admission (Held during active infection as an immunosuppression adjustment; intended to restart.). Admitted for cytomegalovirus disease after kidney transplantation with an infection-related mycophenolate hold. Mycophenolate was held during infection as an immunosuppression adjustment. Tacrolimus continues for transplant immunosuppression. Volume-related kidney injury led to temporary holds of selected immunosuppression.</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Volume-related kidney injury led to temporary holds of selected immunosuppression.</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1441</w:t>
            </w:r>
          </w:p>
        </w:tc>
        <w:tc>
          <w:tcPr>
            <w:tcW w:type="dxa" w:w="2448"/>
          </w:tcPr>
          <w:p>
            <w:pPr>
              <w:spacing w:after="20" w:before="20"/>
            </w:pPr>
            <w:r>
              <w:rPr>
                <w:rFonts w:ascii="Calibri" w:hAnsi="Calibri" w:cs="Calibri"/>
                <w:b w:val="0"/>
                <w:sz w:val="20"/>
              </w:rPr>
              <w:t>1515</w:t>
            </w:r>
          </w:p>
        </w:tc>
        <w:tc>
          <w:tcPr>
            <w:tcW w:type="dxa" w:w="2448"/>
          </w:tcPr>
          <w:p>
            <w:pPr>
              <w:spacing w:after="20" w:before="20"/>
            </w:pPr>
            <w:r>
              <w:rPr>
                <w:rFonts w:ascii="Calibri" w:hAnsi="Calibri" w:cs="Calibri"/>
                <w:b w:val="0"/>
                <w:sz w:val="20"/>
              </w:rPr>
              <w:t>-74</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2.5</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1.6</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84.000</w:t>
            </w:r>
          </w:p>
        </w:tc>
        <w:tc>
          <w:tcPr>
            <w:tcW w:type="dxa" w:w="4896"/>
          </w:tcPr>
          <w:p>
            <w:pPr>
              <w:spacing w:after="20" w:before="20"/>
            </w:pPr>
            <w:r>
              <w:rPr>
                <w:rFonts w:ascii="Calibri" w:hAnsi="Calibri" w:cs="Calibri"/>
                <w:b w:val="0"/>
                <w:sz w:val="20"/>
              </w:rPr>
              <w:t>85.000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Kidney transplant status; Held reason: Held during active infection as an immunosuppression adjustment; intended to restart.</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mycophenolate mofetil 500 MG Oral Tablet</w:t>
            </w:r>
          </w:p>
        </w:tc>
        <w:tc>
          <w:tcPr>
            <w:tcW w:type="dxa" w:w="1224"/>
          </w:tcPr>
          <w:p>
            <w:pPr>
              <w:spacing w:after="20" w:before="20"/>
            </w:pPr>
            <w:r>
              <w:rPr>
                <w:rFonts w:ascii="Calibri" w:hAnsi="Calibri" w:cs="Calibri"/>
                <w:b w:val="0"/>
                <w:sz w:val="20"/>
              </w:rPr>
              <w:t>1000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Kidney transplant status; Held reason: Held during active infection as an immunosuppression adjustment; intended to restart.</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follow-up to reassess held immunosuppression</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CMV viral burden was detected and supported antiviral treatment.</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Transplant-service recommendations were recorded.</w:t>
            </w:r>
          </w:p>
        </w:tc>
        <w:tc>
          <w:tcPr>
            <w:tcW w:type="dxa" w:w="2448"/>
          </w:tcPr>
          <w:p>
            <w:pPr>
              <w:spacing w:after="20" w:before="20"/>
            </w:pPr>
            <w:r>
              <w:rPr>
                <w:rFonts w:ascii="Calibri" w:hAnsi="Calibri" w:cs="Calibri"/>
                <w:b w:val="0"/>
                <w:sz w:val="20"/>
              </w:rPr>
              <w:t>Continue immunosuppression with infection-related adjustments as documented.</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Continue antiviral therapy and infection-related monitoring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VAL-815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Other cytomegaloviral diseases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68-year-old Female with Other cytomegaloviral diseases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in the setting of Other cytomegaloviral diseases</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intermittent</w:t>
      </w:r>
    </w:p>
    <w:p>
      <w:pPr>
        <w:pStyle w:val="Heading3"/>
      </w:pPr>
      <w:r>
        <w:rPr>
          <w:rFonts w:ascii="Calibri" w:hAnsi="Calibri"/>
          <w:color w:val="1F3A5F"/>
        </w:rPr>
        <w:t>History of present illness</w:t>
      </w:r>
    </w:p>
    <w:p>
      <w:pPr>
        <w:spacing w:after="120"/>
      </w:pPr>
      <w:r>
        <w:rPr>
          <w:rFonts w:ascii="Calibri" w:hAnsi="Calibri" w:cs="Calibri"/>
          <w:b w:val="0"/>
          <w:sz w:val="22"/>
        </w:rPr>
        <w:t>A 68-year-old Female is admitted with Other cytomegaloviral diseases. Presenting symptoms include Nausea, present for two days and intermittent. Home medications include amlodipine 5 MG Oral Tablet, BX Rating tacrolimus 1 MG Oral Capsule, valganciclovir 450 MG Oral Tablet, lisinopril 10 MG Oral Tablet, atorvastatin 40 MG Oral Tablet. Admitted for cytomegalovirus disease after kidney transplantation with a tacrolimus dose adjustment. Tacrolimus was continued at the intended adjusted outpatient dose for transplant immunosuppression, not as treatment for CMV. Home therapy was reviewed during the stay after the inpatient response was observed.</w:t>
      </w:r>
    </w:p>
    <w:p>
      <w:pPr>
        <w:pStyle w:val="Heading3"/>
      </w:pPr>
      <w:r>
        <w:rPr>
          <w:rFonts w:ascii="Calibri" w:hAnsi="Calibri"/>
          <w:color w:val="1F3A5F"/>
        </w:rPr>
        <w:t>Admission note</w:t>
      </w:r>
    </w:p>
    <w:p>
      <w:pPr>
        <w:spacing w:after="120"/>
      </w:pPr>
      <w:r>
        <w:rPr>
          <w:rFonts w:ascii="Calibri" w:hAnsi="Calibri" w:cs="Calibri"/>
          <w:b w:val="0"/>
          <w:sz w:val="22"/>
        </w:rPr>
        <w:t>Admission note for a 68-year-old Female with Other cytomegaloviral diseases. Symptoms: Nausea for two days (intermittent). Medications continued from home: amlodipine 5 MG Oral Tablet, BX Rating tacrolimus 1 MG Oral Capsule, valganciclovir 450 MG Oral Tablet, lisinopril 10 MG Oral Tablet, atorvastatin 40 MG Oral Tablet. Admitted for cytomegalovirus disease after kidney transplantation with a tacrolimus dose adjustment. Tacrolimus was continued at the intended adjusted outpatient dose for transplant immunosuppression, not as treatment for CMV. Home therapy was reviewed during the stay after the inpatient response was observed.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Home therapy was reviewed during the stay after the inpatient response was observed.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1623</w:t>
            </w:r>
          </w:p>
        </w:tc>
        <w:tc>
          <w:tcPr>
            <w:tcW w:type="dxa" w:w="2448"/>
          </w:tcPr>
          <w:p>
            <w:pPr>
              <w:spacing w:after="20" w:before="20"/>
            </w:pPr>
            <w:r>
              <w:rPr>
                <w:rFonts w:ascii="Calibri" w:hAnsi="Calibri" w:cs="Calibri"/>
                <w:b w:val="0"/>
                <w:sz w:val="20"/>
              </w:rPr>
              <w:t>1966</w:t>
            </w:r>
          </w:p>
        </w:tc>
        <w:tc>
          <w:tcPr>
            <w:tcW w:type="dxa" w:w="2448"/>
          </w:tcPr>
          <w:p>
            <w:pPr>
              <w:spacing w:after="20" w:before="20"/>
            </w:pPr>
            <w:r>
              <w:rPr>
                <w:rFonts w:ascii="Calibri" w:hAnsi="Calibri" w:cs="Calibri"/>
                <w:b w:val="0"/>
                <w:sz w:val="20"/>
              </w:rPr>
              <w:t>-343</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4.5</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68.000</w:t>
            </w:r>
          </w:p>
        </w:tc>
        <w:tc>
          <w:tcPr>
            <w:tcW w:type="dxa" w:w="4896"/>
          </w:tcPr>
          <w:p>
            <w:pPr>
              <w:spacing w:after="20" w:before="20"/>
            </w:pPr>
            <w:r>
              <w:rPr>
                <w:rFonts w:ascii="Calibri" w:hAnsi="Calibri" w:cs="Calibri"/>
                <w:b w:val="0"/>
                <w:sz w:val="20"/>
              </w:rPr>
              <w:t>70.000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2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Transplant medication-dose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CMV viral burden was detected and supported antiviral treatment.</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Transplant-service recommendations were recorded.</w:t>
            </w:r>
          </w:p>
        </w:tc>
        <w:tc>
          <w:tcPr>
            <w:tcW w:type="dxa" w:w="2448"/>
          </w:tcPr>
          <w:p>
            <w:pPr>
              <w:spacing w:after="20" w:before="20"/>
            </w:pPr>
            <w:r>
              <w:rPr>
                <w:rFonts w:ascii="Calibri" w:hAnsi="Calibri" w:cs="Calibri"/>
                <w:b w:val="0"/>
                <w:sz w:val="20"/>
              </w:rPr>
              <w:t>Continue immunosuppression with infection-related adjustments as documented.</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Continue antiviral therapy and infection-related monitoring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VAL-816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nephrology</w:t>
      </w:r>
    </w:p>
    <w:p>
      <w:pPr>
        <w:pStyle w:val="ListBullet"/>
        <w:spacing w:after="40" w:before="0"/>
      </w:pPr>
      <w:r>
        <w:rPr>
          <w:rFonts w:ascii="Calibri" w:hAnsi="Calibri" w:cs="Calibri"/>
          <w:b/>
          <w:sz w:val="22"/>
        </w:rPr>
        <w:t xml:space="preserve">Admission diagnosis: </w:t>
      </w:r>
      <w:r>
        <w:rPr>
          <w:rFonts w:ascii="Calibri" w:hAnsi="Calibri" w:cs="Calibri"/>
          <w:b w:val="0"/>
          <w:sz w:val="22"/>
        </w:rPr>
        <w:t>Other cytomegaloviral diseases</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57-year-old Male with Other cytomegaloviral diseases</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Diarrhea, Fatigue in the setting of Other cytomegaloviral diseases</w:t>
      </w:r>
    </w:p>
    <w:p>
      <w:pPr>
        <w:pStyle w:val="ListBullet"/>
        <w:spacing w:after="40" w:before="0"/>
      </w:pPr>
      <w:r>
        <w:rPr>
          <w:rFonts w:ascii="Calibri" w:hAnsi="Calibri" w:cs="Calibri"/>
          <w:b/>
          <w:sz w:val="22"/>
        </w:rPr>
        <w:t xml:space="preserve">Symptoms: </w:t>
      </w:r>
      <w:r>
        <w:rPr>
          <w:rFonts w:ascii="Calibri" w:hAnsi="Calibri" w:cs="Calibri"/>
          <w:b w:val="0"/>
          <w:sz w:val="22"/>
        </w:rPr>
        <w:t>Diarrhea,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57-year-old Male is admitted with Other cytomegaloviral diseases. Presenting symptoms include Diarrhea, Fatigue, present for one day and improving after treatment. Home medications include BX Rating tacrolimus 1 MG Oral Capsule, valganciclovir 450 MG Oral Tablet, atorvastatin 40 MG Oral Tablet. Admitted for cytomegalovirus disease after kidney transplantation; antiviral duration remains pending. Antiviral duration after conversion remains a pending outpatient decision. Tacrolimus continues for immunosuppression. Infectious symptoms improved. Antiviral therapy was reviewed during the stay.</w:t>
      </w:r>
    </w:p>
    <w:p>
      <w:pPr>
        <w:pStyle w:val="Heading3"/>
      </w:pPr>
      <w:r>
        <w:rPr>
          <w:rFonts w:ascii="Calibri" w:hAnsi="Calibri"/>
          <w:color w:val="1F3A5F"/>
        </w:rPr>
        <w:t>Admission note</w:t>
      </w:r>
    </w:p>
    <w:p>
      <w:pPr>
        <w:spacing w:after="120"/>
      </w:pPr>
      <w:r>
        <w:rPr>
          <w:rFonts w:ascii="Calibri" w:hAnsi="Calibri" w:cs="Calibri"/>
          <w:b w:val="0"/>
          <w:sz w:val="22"/>
        </w:rPr>
        <w:t>Admission note for a 57-year-old Male with Other cytomegaloviral diseases. Symptoms: Diarrhea, Fatigue for one day (improving after treatment). Medications continued from home: BX Rating tacrolimus 1 MG Oral Capsule, valganciclovir 450 MG Oral Tablet, atorvastatin 40 MG Oral Tablet. Admitted for cytomegalovirus disease after kidney transplantation; antiviral duration remains pending. Antiviral duration after conversion remains a pending outpatient decision. Tacrolimus continues for immunosuppression. Infectious symptoms improved. Antiviral therapy was reviewed during the stay.</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Kidney transplant status,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Kidney transplant status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Other cytomegaloviral diseases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Infectious symptoms improved. Antiviral therapy was reviewed during the stay.</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BX Rating tacrolimus 1 MG Oral Capsule</w:t>
            </w:r>
          </w:p>
        </w:tc>
        <w:tc>
          <w:tcPr>
            <w:tcW w:type="dxa" w:w="1224"/>
          </w:tcPr>
          <w:p>
            <w:pPr>
              <w:spacing w:after="20" w:before="20"/>
            </w:pPr>
            <w:r>
              <w:rPr>
                <w:rFonts w:ascii="Calibri" w:hAnsi="Calibri" w:cs="Calibri"/>
                <w:b w:val="0"/>
                <w:sz w:val="20"/>
              </w:rPr>
              <w:t>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12 hours</w:t>
            </w:r>
          </w:p>
        </w:tc>
        <w:tc>
          <w:tcPr>
            <w:tcW w:type="dxa" w:w="2520"/>
          </w:tcPr>
          <w:p>
            <w:pPr>
              <w:spacing w:after="20" w:before="20"/>
            </w:pPr>
            <w:r>
              <w:rPr>
                <w:rFonts w:ascii="Calibri" w:hAnsi="Calibri" w:cs="Calibri"/>
                <w:b w:val="0"/>
                <w:sz w:val="20"/>
              </w:rPr>
              <w:t>Indication: Kidney transplant status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valganciclovir 450 MG Oral Tablet</w:t>
            </w:r>
          </w:p>
        </w:tc>
        <w:tc>
          <w:tcPr>
            <w:tcW w:type="dxa" w:w="1224"/>
          </w:tcPr>
          <w:p>
            <w:pPr>
              <w:spacing w:after="20" w:before="20"/>
            </w:pPr>
            <w:r>
              <w:rPr>
                <w:rFonts w:ascii="Calibri" w:hAnsi="Calibri" w:cs="Calibri"/>
                <w:b w:val="0"/>
                <w:sz w:val="20"/>
              </w:rPr>
              <w:t>900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Other cytomegaloviral diseases; Note: Given as 450 MG tablets.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Parameter</w:t>
            </w:r>
          </w:p>
        </w:tc>
        <w:tc>
          <w:tcPr>
            <w:tcW w:type="dxa" w:w="3264"/>
            <w:shd w:val="clear" w:color="auto" w:fill="D9E2F3"/>
          </w:tcPr>
          <w:p>
            <w:pPr>
              <w:spacing w:after="20" w:before="20"/>
            </w:pPr>
            <w:r>
              <w:rPr>
                <w:rFonts w:ascii="Calibri" w:hAnsi="Calibri" w:cs="Calibri"/>
                <w:b/>
                <w:sz w:val="20"/>
              </w:rPr>
              <w:t>Frequency</w:t>
            </w:r>
          </w:p>
        </w:tc>
        <w:tc>
          <w:tcPr>
            <w:tcW w:type="dxa" w:w="3264"/>
            <w:shd w:val="clear" w:color="auto" w:fill="D9E2F3"/>
          </w:tcPr>
          <w:p>
            <w:pPr>
              <w:spacing w:after="20" w:before="20"/>
            </w:pPr>
            <w:r>
              <w:rPr>
                <w:rFonts w:ascii="Calibri" w:hAnsi="Calibri" w:cs="Calibri"/>
                <w:b/>
                <w:sz w:val="20"/>
              </w:rPr>
              <w:t>Responsible service</w:t>
            </w:r>
          </w:p>
        </w:tc>
      </w:tr>
      <w:tr>
        <w:trPr>
          <w:cantSplit/>
        </w:trPr>
        <w:tc>
          <w:tcPr>
            <w:tcW w:type="dxa" w:w="3264"/>
          </w:tcPr>
          <w:p>
            <w:pPr>
              <w:spacing w:after="20" w:before="20"/>
            </w:pPr>
            <w:r>
              <w:rPr>
                <w:rFonts w:ascii="Calibri" w:hAnsi="Calibri" w:cs="Calibri"/>
                <w:b w:val="0"/>
                <w:sz w:val="20"/>
              </w:rPr>
              <w:t>tacrolimus trough and serum creatinine</w:t>
            </w:r>
          </w:p>
        </w:tc>
        <w:tc>
          <w:tcPr>
            <w:tcW w:type="dxa" w:w="3264"/>
          </w:tcPr>
          <w:p>
            <w:pPr>
              <w:spacing w:after="20" w:before="20"/>
            </w:pPr>
            <w:r>
              <w:rPr>
                <w:rFonts w:ascii="Calibri" w:hAnsi="Calibri" w:cs="Calibri"/>
                <w:b w:val="0"/>
                <w:sz w:val="20"/>
              </w:rPr>
              <w:t>as directed by the transplant service</w:t>
            </w:r>
          </w:p>
        </w:tc>
        <w:tc>
          <w:tcPr>
            <w:tcW w:type="dxa" w:w="3264"/>
          </w:tcPr>
          <w:p>
            <w:pPr>
              <w:spacing w:after="20" w:before="20"/>
            </w:pPr>
            <w:r>
              <w:rPr>
                <w:rFonts w:ascii="Calibri" w:hAnsi="Calibri" w:cs="Calibri"/>
                <w:b w:val="0"/>
                <w:sz w:val="20"/>
              </w:rPr>
              <w:t>transplant</w:t>
            </w:r>
          </w:p>
        </w:tc>
      </w:tr>
    </w:tbl>
    <w:p>
      <w:pPr>
        <w:spacing w:after="40"/>
      </w:pPr>
    </w:p>
    <w:p>
      <w:pPr>
        <w:pStyle w:val="Heading2"/>
      </w:pPr>
      <w:r>
        <w:rPr>
          <w:rFonts w:ascii="Calibri" w:hAnsi="Calibri"/>
          <w:color w:val="1F3A5F"/>
        </w:rPr>
        <w:t>Follow-up</w:t>
      </w:r>
    </w:p>
    <w:p>
      <w:pPr>
        <w:spacing w:after="120"/>
      </w:pPr>
      <w:r>
        <w:rPr>
          <w:rFonts w:ascii="Calibri" w:hAnsi="Calibri" w:cs="Calibri"/>
          <w:b w:val="0"/>
          <w:sz w:val="22"/>
        </w:rPr>
        <w:t>No follow-up appointments were specified.</w:t>
      </w: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Remaining duration of valganciclovir is to be confirmed at infectious-disease follow-up.</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CMV viral burden was detected and supported antiviral treatment.</w:t>
            </w:r>
          </w:p>
        </w:tc>
      </w:tr>
      <w:tr>
        <w:trPr>
          <w:cantSplit/>
        </w:trPr>
        <w:tc>
          <w:tcPr>
            <w:tcW w:type="dxa" w:w="2448"/>
          </w:tcPr>
          <w:p>
            <w:pPr>
              <w:spacing w:after="20" w:before="20"/>
            </w:pPr>
            <w:r>
              <w:rPr>
                <w:rFonts w:ascii="Calibri" w:hAnsi="Calibri" w:cs="Calibri"/>
                <w:b w:val="0"/>
                <w:sz w:val="20"/>
              </w:rPr>
              <w:t>CMV viral-load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CMV viral burden was lower than the admission result.</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transplant</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Transplant-service recommendations were recorded.</w:t>
            </w:r>
          </w:p>
        </w:tc>
        <w:tc>
          <w:tcPr>
            <w:tcW w:type="dxa" w:w="2448"/>
          </w:tcPr>
          <w:p>
            <w:pPr>
              <w:spacing w:after="20" w:before="20"/>
            </w:pPr>
            <w:r>
              <w:rPr>
                <w:rFonts w:ascii="Calibri" w:hAnsi="Calibri" w:cs="Calibri"/>
                <w:b w:val="0"/>
                <w:sz w:val="20"/>
              </w:rPr>
              <w:t>Continue immunosuppression with infection-related adjustments as documented.</w:t>
            </w:r>
          </w:p>
        </w:tc>
      </w:tr>
      <w:tr>
        <w:trPr>
          <w:cantSplit/>
        </w:trPr>
        <w:tc>
          <w:tcPr>
            <w:tcW w:type="dxa" w:w="2448"/>
          </w:tcPr>
          <w:p>
            <w:pPr>
              <w:spacing w:after="20" w:before="20"/>
            </w:pPr>
            <w:r>
              <w:rPr>
                <w:rFonts w:ascii="Calibri" w:hAnsi="Calibri" w:cs="Calibri"/>
                <w:b w:val="0"/>
                <w:sz w:val="20"/>
              </w:rPr>
              <w:t>infectious disease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Infectious-disease recommendations were recorded.</w:t>
            </w:r>
          </w:p>
        </w:tc>
        <w:tc>
          <w:tcPr>
            <w:tcW w:type="dxa" w:w="2448"/>
          </w:tcPr>
          <w:p>
            <w:pPr>
              <w:spacing w:after="20" w:before="20"/>
            </w:pPr>
            <w:r>
              <w:rPr>
                <w:rFonts w:ascii="Calibri" w:hAnsi="Calibri" w:cs="Calibri"/>
                <w:b w:val="0"/>
                <w:sz w:val="20"/>
              </w:rPr>
              <w:t>Confirm remaining antiviral duration as an outpatient decision.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Diarrhea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VAL-817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87</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Fracture of unspecified part of neck of right femur, initial encounter for closed fracture</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87-year-old Male with Fracture of unspecified part of neck of right femur, initial encounter for closed fracture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Fracture of unspecified part of neck of right femur, initial encounter for closed fracture</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87-year-old Male is admitted with Fracture of unspecified part of neck of right femur, initial encounter for closed fracture. Presenting symptoms include Fatigue, present for several days and improving after treatment. Home medications include lisinopril 10 MG Oral Tablet, warfarin sodium 5 MG Oral Tablet, metformin hydrochloride 500 MG Oral Tablet. Admitted after operative repair of a femoral-neck fracture with planned warfarin resumption. Warfarin was interrupted for surgery and then resumed. The inpatient enoxaparin injection stops at discharge in this profile. Anticoagulation was interrupted for surgery and then resumed.</w:t>
      </w:r>
    </w:p>
    <w:p>
      <w:pPr>
        <w:pStyle w:val="Heading3"/>
      </w:pPr>
      <w:r>
        <w:rPr>
          <w:rFonts w:ascii="Calibri" w:hAnsi="Calibri"/>
          <w:color w:val="1F3A5F"/>
        </w:rPr>
        <w:t>Admission note</w:t>
      </w:r>
    </w:p>
    <w:p>
      <w:pPr>
        <w:spacing w:after="120"/>
      </w:pPr>
      <w:r>
        <w:rPr>
          <w:rFonts w:ascii="Calibri" w:hAnsi="Calibri" w:cs="Calibri"/>
          <w:b w:val="0"/>
          <w:sz w:val="22"/>
        </w:rPr>
        <w:t>Admission note for a 87-year-old Male with Fracture of unspecified part of neck of right femur, initial encounter for closed fracture. Symptoms: Fatigue for several days (improving after treatment). Medications continued from home: lisinopril 10 MG Oral Tablet, warfarin sodium 5 MG Oral Tablet, metformin hydrochloride 500 MG Oral Tablet. Admitted after operative repair of a femoral-neck fracture with planned warfarin resumption. Warfarin was interrupted for surgery and then resumed. The inpatient enoxaparin injection stops at discharge in this profile. Anticoagulation was interrupted for surgery and then resumed.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Anticoagulation was interrupted for surgery and then resumed.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123/72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127.0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9.0</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136/73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10.1</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Anticoagulation clinic INR follow-up after warfarin resumption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Open reduction and internal fixation of femoral neck fracture</w:t>
            </w:r>
          </w:p>
        </w:tc>
        <w:tc>
          <w:tcPr>
            <w:tcW w:type="dxa" w:w="2448"/>
          </w:tcPr>
          <w:p>
            <w:pPr>
              <w:spacing w:after="20" w:before="20"/>
            </w:pPr>
            <w:r>
              <w:rPr>
                <w:rFonts w:ascii="Calibri" w:hAnsi="Calibri" w:cs="Calibri"/>
                <w:b w:val="0"/>
                <w:sz w:val="20"/>
              </w:rPr>
              <w:t>operative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Orthopedic postoperative recommendations were recorded.</w:t>
            </w:r>
          </w:p>
        </w:tc>
        <w:tc>
          <w:tcPr>
            <w:tcW w:type="dxa" w:w="2448"/>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VAL-818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Fracture of unspecified part of neck of right femur, initial encounter for closed fracture</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79-year-old Male with Fracture of unspecified part of neck of right femur, initial encounter for closed fracture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Fatigue in the setting of Fracture of unspecified part of neck of right femur, initial encounter for closed fracture</w:t>
      </w:r>
    </w:p>
    <w:p>
      <w:pPr>
        <w:pStyle w:val="ListBullet"/>
        <w:spacing w:after="40" w:before="0"/>
      </w:pPr>
      <w:r>
        <w:rPr>
          <w:rFonts w:ascii="Calibri" w:hAnsi="Calibri" w:cs="Calibri"/>
          <w:b/>
          <w:sz w:val="22"/>
        </w:rPr>
        <w:t xml:space="preserve">Symptoms: </w:t>
      </w:r>
      <w:r>
        <w:rPr>
          <w:rFonts w:ascii="Calibri" w:hAnsi="Calibri" w:cs="Calibri"/>
          <w:b w:val="0"/>
          <w:sz w:val="22"/>
        </w:rPr>
        <w:t>Nausea,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79-year-old Male is admitted with Fracture of unspecified part of neck of right femur, initial encounter for closed fracture. Presenting symptoms include Nausea, Fatigue, present for one day and improving after treatment. Home medications include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hemoglobin was observed without transfusion. Rehabilitation and anticoagulation follow-up were planned.</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Male with Fracture of unspecified part of neck of right femur, initial encounter for closed fracture. Symptoms: Nausea, Fatigue for one day (improving after treatment). Medications continued from home: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hemoglobin was observed without transfusion. Rehabilitation and anticoagulation follow-up were planned.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Postoperative hemoglobin was observed without transfusion. Rehabilitation and anticoagulation follow-up were planned.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2.3</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7.9</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124/74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2.9</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10.3</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 and anticoagulation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orthopedics</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Open reduction and internal fixation of femoral neck fracture</w:t>
            </w:r>
          </w:p>
        </w:tc>
        <w:tc>
          <w:tcPr>
            <w:tcW w:type="dxa" w:w="2448"/>
          </w:tcPr>
          <w:p>
            <w:pPr>
              <w:spacing w:after="20" w:before="20"/>
            </w:pPr>
            <w:r>
              <w:rPr>
                <w:rFonts w:ascii="Calibri" w:hAnsi="Calibri" w:cs="Calibri"/>
                <w:b w:val="0"/>
                <w:sz w:val="20"/>
              </w:rPr>
              <w:t>operative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Orthopedic postoperative recommendations were recorded.</w:t>
            </w:r>
          </w:p>
        </w:tc>
        <w:tc>
          <w:tcPr>
            <w:tcW w:type="dxa" w:w="2448"/>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VAL-819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Fracture of unspecified part of neck of right femur, initial encounter for closed fracture</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70-year-old Female with Fracture of unspecified part of neck of right femur, initial encounter for closed fracture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Nausea in the setting of Fracture of unspecified part of neck of right femur, initial encounter for closed fracture</w:t>
      </w:r>
    </w:p>
    <w:p>
      <w:pPr>
        <w:pStyle w:val="ListBullet"/>
        <w:spacing w:after="40" w:before="0"/>
      </w:pPr>
      <w:r>
        <w:rPr>
          <w:rFonts w:ascii="Calibri" w:hAnsi="Calibri" w:cs="Calibri"/>
          <w:b/>
          <w:sz w:val="22"/>
        </w:rPr>
        <w:t xml:space="preserve">Symptoms: </w:t>
      </w:r>
      <w:r>
        <w:rPr>
          <w:rFonts w:ascii="Calibri" w:hAnsi="Calibri" w:cs="Calibri"/>
          <w:b w:val="0"/>
          <w:sz w:val="22"/>
        </w:rPr>
        <w:t>Nausea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70-year-old Female is admitted with Fracture of unspecified part of neck of right femur, initial encounter for closed fracture. Presenting symptoms include Nausea, present for two days and persistent. Home medications include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pPr>
        <w:pStyle w:val="Heading3"/>
      </w:pPr>
      <w:r>
        <w:rPr>
          <w:rFonts w:ascii="Calibri" w:hAnsi="Calibri"/>
          <w:color w:val="1F3A5F"/>
        </w:rPr>
        <w:t>Admission note</w:t>
      </w:r>
    </w:p>
    <w:p>
      <w:pPr>
        <w:spacing w:after="120"/>
      </w:pPr>
      <w:r>
        <w:rPr>
          <w:rFonts w:ascii="Calibri" w:hAnsi="Calibri" w:cs="Calibri"/>
          <w:b w:val="0"/>
          <w:sz w:val="22"/>
        </w:rPr>
        <w:t>Admission note for a 70-year-old Female with Fracture of unspecified part of neck of right femur, initial encounter for closed fracture. Symptoms: Nausea for two days (persistent). Medications continued from home: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Anticoagulation was interrupted for surgery and then resumed.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133/84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2.5</w:t>
            </w:r>
          </w:p>
        </w:tc>
        <w:tc>
          <w:tcPr>
            <w:tcW w:type="dxa" w:w="2160"/>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Supply: 30 days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Supply: 7 days; Monitoring: INR check</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Anticoagulation supply and INR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Open reduction and internal fixation of femoral neck fracture</w:t>
            </w:r>
          </w:p>
        </w:tc>
        <w:tc>
          <w:tcPr>
            <w:tcW w:type="dxa" w:w="2448"/>
          </w:tcPr>
          <w:p>
            <w:pPr>
              <w:spacing w:after="20" w:before="20"/>
            </w:pPr>
            <w:r>
              <w:rPr>
                <w:rFonts w:ascii="Calibri" w:hAnsi="Calibri" w:cs="Calibri"/>
                <w:b w:val="0"/>
                <w:sz w:val="20"/>
              </w:rPr>
              <w:t>operative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Orthopedic postoperative recommendations were recorded.</w:t>
            </w:r>
          </w:p>
        </w:tc>
        <w:tc>
          <w:tcPr>
            <w:tcW w:type="dxa" w:w="2448"/>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Nausea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VAL-820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orthopedics</w:t>
      </w:r>
    </w:p>
    <w:p>
      <w:pPr>
        <w:pStyle w:val="ListBullet"/>
        <w:spacing w:after="40" w:before="0"/>
      </w:pPr>
      <w:r>
        <w:rPr>
          <w:rFonts w:ascii="Calibri" w:hAnsi="Calibri" w:cs="Calibri"/>
          <w:b/>
          <w:sz w:val="22"/>
        </w:rPr>
        <w:t xml:space="preserve">Admission diagnosis: </w:t>
      </w:r>
      <w:r>
        <w:rPr>
          <w:rFonts w:ascii="Calibri" w:hAnsi="Calibri" w:cs="Calibri"/>
          <w:b w:val="0"/>
          <w:sz w:val="22"/>
        </w:rPr>
        <w:t>Fracture of unspecified part of neck of right femur, initial encounter for closed fracture</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One-liner: </w:t>
      </w:r>
      <w:r>
        <w:rPr>
          <w:rFonts w:ascii="Calibri" w:hAnsi="Calibri" w:cs="Calibri"/>
          <w:b w:val="0"/>
          <w:sz w:val="22"/>
        </w:rPr>
        <w:t>82-year-old Female with Fracture of unspecified part of neck of right femur, initial encounter for closed fracture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Nausea in the setting of Fracture of unspecified part of neck of right femur, initial encounter for closed fracture</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82-year-old Female is admitted with Fracture of unspecified part of neck of right femur, initial encounter for closed fracture. Presenting symptoms include Fatigue, Nausea, present for one week and improving after treatment. Home medications include lisinopril 10 MG Oral Tablet, warfarin sodium 5 MG Oral Tablet, metformin hydrochloride 500 MG Oral Tablet. Started during the hospitalization: 0.4 ML enoxaparin sodium 100 MG/ML Prefilled Syringe. Admitted after hip-fracture surgery with inpatient bridging anticoagulation only. Enoxaparin was used for inpatient venous-thromboembolism prophylaxis. Postoperative hemoglobin was observed without transfusion. Rehabilitation and anticoagulation follow-up were planned.</w:t>
      </w:r>
    </w:p>
    <w:p>
      <w:pPr>
        <w:pStyle w:val="Heading3"/>
      </w:pPr>
      <w:r>
        <w:rPr>
          <w:rFonts w:ascii="Calibri" w:hAnsi="Calibri"/>
          <w:color w:val="1F3A5F"/>
        </w:rPr>
        <w:t>Admission note</w:t>
      </w:r>
    </w:p>
    <w:p>
      <w:pPr>
        <w:spacing w:after="120"/>
      </w:pPr>
      <w:r>
        <w:rPr>
          <w:rFonts w:ascii="Calibri" w:hAnsi="Calibri" w:cs="Calibri"/>
          <w:b w:val="0"/>
          <w:sz w:val="22"/>
        </w:rPr>
        <w:t>Admission note for a 82-year-old Female with Fracture of unspecified part of neck of right femur, initial encounter for closed fracture. Symptoms: Fatigue, Nausea for one week (improving after treatment). Medications continued from home: lisinopril 10 MG Oral Tablet, warfarin sodium 5 MG Oral Tablet, metformin hydrochloride 500 MG Oral Tablet. Started during the hospitalization: 0.4 ML enoxaparin sodium 100 MG/ML Prefilled Syringe. Admitted after hip-fracture surgery with inpatient bridging anticoagulation only. Enoxaparin was used for inpatient venous-thromboembolism prophylaxis. Postoperative hemoglobin was observed without transfusion. Rehabilitation and anticoagulation follow-up were planned.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Fracture of unspecified part of neck of right femur, initial encounter for closed fracture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Postoperative hemoglobin was observed without transfusion. Rehabilitation and anticoagulation follow-up were planned.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rehab</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124.0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3.2</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8.3</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114/77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119.0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2.0</w:t>
            </w:r>
          </w:p>
        </w:tc>
        <w:tc>
          <w:tcPr>
            <w:tcW w:type="dxa" w:w="2160"/>
          </w:tcPr>
          <w:p>
            <w:pPr>
              <w:spacing w:after="20" w:before="20"/>
            </w:pPr>
            <w:r>
              <w:rPr>
                <w:rFonts w:ascii="Calibri" w:hAnsi="Calibri" w:cs="Calibri"/>
                <w:b w:val="0"/>
                <w:sz w:val="20"/>
              </w:rPr>
              <w:t>{INR}</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11.1</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0.4 ML enoxaparin sodium 100 MG/ML Prefilled Syringe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Enoxaparin was used for inpatient venous-thromboembolism prophylaxis.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0.4 ML enoxaparin sodium 100 MG/ML Prefilled Syringe</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Note: Enoxaparin was used for inpatient venous-thromboembolism prophylaxis.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Monitoring: INR check</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Orthopedic rehabilitation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orthopedics</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Open reduction and internal fixation of femoral neck fracture</w:t>
            </w:r>
          </w:p>
        </w:tc>
        <w:tc>
          <w:tcPr>
            <w:tcW w:type="dxa" w:w="2448"/>
          </w:tcPr>
          <w:p>
            <w:pPr>
              <w:spacing w:after="20" w:before="20"/>
            </w:pPr>
            <w:r>
              <w:rPr>
                <w:rFonts w:ascii="Calibri" w:hAnsi="Calibri" w:cs="Calibri"/>
                <w:b w:val="0"/>
                <w:sz w:val="20"/>
              </w:rPr>
              <w:t>operative</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Fracture reduced and internally fixed.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orthopedics</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Orthopedic postoperative recommendations were recorded.</w:t>
            </w:r>
          </w:p>
        </w:tc>
        <w:tc>
          <w:tcPr>
            <w:tcW w:type="dxa" w:w="2448"/>
          </w:tcPr>
          <w:p>
            <w:pPr>
              <w:spacing w:after="20" w:before="20"/>
            </w:pPr>
            <w:r>
              <w:rPr>
                <w:rFonts w:ascii="Calibri" w:hAnsi="Calibri" w:cs="Calibri"/>
                <w:b w:val="0"/>
                <w:sz w:val="20"/>
              </w:rPr>
              <w:t>Protective weight bearing and rehabilitation as documented.</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VAL-821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78-year-old Female with Gastrointestinal hemorrhage, unspecified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Gastrointestinal hemorrhage, unspecified</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78-year-old Female is admitted with Gastrointestinal hemorrhage, unspecified. Presenting symptoms include Fatigue, present for two days and improving after treatment. Home medications include lisinopril 10 MG Oral Tablet, atorvastatin 40 MG Oral Tablet. apixaban 5 MG Oral Tablet was held during the admission (Held for gastrointestinal bleeding; intended to restart after hemoglobin stability.). Admitted for gastrointestinal bleeding with held anticoagulation. Bleeding settled and hemoglobin was stable. Apixaban was held. The patient is discharge-ready. Gastrointestinal bleeding settled and hemoglobin was stable. Anticoagulation was held.</w:t>
      </w:r>
    </w:p>
    <w:p>
      <w:pPr>
        <w:pStyle w:val="Heading3"/>
      </w:pPr>
      <w:r>
        <w:rPr>
          <w:rFonts w:ascii="Calibri" w:hAnsi="Calibri"/>
          <w:color w:val="1F3A5F"/>
        </w:rPr>
        <w:t>Admission note</w:t>
      </w:r>
    </w:p>
    <w:p>
      <w:pPr>
        <w:spacing w:after="120"/>
      </w:pPr>
      <w:r>
        <w:rPr>
          <w:rFonts w:ascii="Calibri" w:hAnsi="Calibri" w:cs="Calibri"/>
          <w:b w:val="0"/>
          <w:sz w:val="22"/>
        </w:rPr>
        <w:t>Admission note for a 78-year-old Female with Gastrointestinal hemorrhage, unspecified. Symptoms: Fatigue for two days (improving after treatment). Medications continued from home: lisinopril 10 MG Oral Tablet, atorvastatin 40 MG Oral Tablet. apixaban 5 MG Oral Tablet was held during the admission (Held for gastrointestinal bleeding; intended to restart after hemoglobin stability.). Admitted for gastrointestinal bleeding with held anticoagulation. Bleeding settled and hemoglobin was stable. Apixaban was held. The patient is discharge-ready. Gastrointestinal bleeding settled and hemoglobin was stable. Anticoagulation was held.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Mixed hyperlipidemia,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Gastrointestinal bleeding settled and hemoglobin was stable. Anticoagulation was held.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138/70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8.7</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for gastrointestinal bleeding; intended to restart after hemoglobin stability.</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for gastrointestinal bleeding; intended to restart after hemoglobin stability.</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Gastroenterology follow-up after held anticoagulation</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gastroenterology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Gastroenterology recommendations were recorded.</w:t>
            </w:r>
          </w:p>
        </w:tc>
        <w:tc>
          <w:tcPr>
            <w:tcW w:type="dxa" w:w="2448"/>
          </w:tcPr>
          <w:p>
            <w:pPr>
              <w:spacing w:after="20" w:before="20"/>
            </w:pPr>
            <w:r>
              <w:rPr>
                <w:rFonts w:ascii="Calibri" w:hAnsi="Calibri" w:cs="Calibri"/>
                <w:b w:val="0"/>
                <w:sz w:val="20"/>
              </w:rPr>
              <w:t>Hold anticoagulation while hemoglobin remains stable, then reassess.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VAL-822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79-year-old Female with Gastrointestinal hemorrhage, unspecified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Nausea in the setting of Gastrointestinal hemorrhage, unspecified</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79-year-old Female is admitted with Gastrointestinal hemorrhage, unspecified. Presenting symptoms include Fatigue, Nausea, present for one day and improving after treatment. Home medications include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Female with Gastrointestinal hemorrhage, unspecified. Symptoms: Fatigue, Nausea for one day (improving after treatment). Medications continued from home: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Gastrointestinal bleeding was observed with serial hemoglobin checks. Inpatient acid suppression was used while the patient stabilized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144/71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8.5</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126.0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10.7</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Gastrointestinal hemorrhage, unspecified; Note: Pantoprazole was initiated during the hospitalization for acute gastrointestinal management.</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Gastrointestinal hemorrhage, unspecified; Note: Pantoprazole was initiated during the hospitalization for acute gastrointestinal management.</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 after gastrointestinal bleed</w:t>
            </w:r>
          </w:p>
        </w:tc>
        <w:tc>
          <w:tcPr>
            <w:tcW w:type="dxa" w:w="3264"/>
          </w:tcPr>
          <w:p>
            <w:pPr>
              <w:spacing w:after="20" w:before="20"/>
            </w:pPr>
            <w:r>
              <w:rPr>
                <w:rFonts w:ascii="Calibri" w:hAnsi="Calibri" w:cs="Calibri"/>
                <w:b w:val="0"/>
                <w:sz w:val="20"/>
              </w:rPr>
              <w:t>5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Gastroenterology recommendations were recorded.</w:t>
            </w:r>
          </w:p>
        </w:tc>
        <w:tc>
          <w:tcPr>
            <w:tcW w:type="dxa" w:w="2448"/>
          </w:tcPr>
          <w:p>
            <w:pPr>
              <w:spacing w:after="20" w:before="20"/>
            </w:pPr>
            <w:r>
              <w:rPr>
                <w:rFonts w:ascii="Calibri" w:hAnsi="Calibri" w:cs="Calibri"/>
                <w:b w:val="0"/>
                <w:sz w:val="20"/>
              </w:rPr>
              <w:t>Continue inpatient acid suppression and observe serial hemoglobin until stability.</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VAL-823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Male with Gastrointestinal hemorrhage, unspecified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Gastrointestinal hemorrhage, unspecified</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71-year-old Male is admitted with Gastrointestinal hemorrhage, unspecified. Presenting symptoms include Fatigue, present for several days and persistent. Home medications include apixaban 5 MG Oral Tablet, atorvastatin 40 MG Oral Tablet, metformin hydrochloride 500 MG Oral Tablet. Admitted for gastrointestinal bleeding with a pending anticoagulation decision. Restart versus continued hold of anticoagulation is a pending outpatient decision. The patient is discharge-ready, not in shock. Restart versus continued hold of anticoagulation remains a pending outpatient decision. The patient is otherwise ready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Gastrointestinal hemorrhage, unspecified. Symptoms: Fatigue for several days (persistent). Medications continued from home: apixaban 5 MG Oral Tablet, atorvastatin 40 MG Oral Tablet, metformin hydrochloride 500 MG Oral Tablet. Admitted for gastrointestinal bleeding with a pending anticoagulation decision. Restart versus continued hold of anticoagulation is a pending outpatient decision. The patient is discharge-ready, not in shock. Restart versus continued hold of anticoagulation remains a pending outpatient decision. The patient is otherwise ready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Mixed hyperlipidemia,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Restart versus continued hold of anticoagulation remains a pending outpatient decision. The patient is otherwise ready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119/72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9.0</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104.0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10.2</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after the acute event while restart timing remains unresolved.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after the acute event while restart timing remains unresolved.</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p>
      <w:pPr>
        <w:spacing w:after="120"/>
      </w:pPr>
      <w:r>
        <w:rPr>
          <w:rFonts w:ascii="Calibri" w:hAnsi="Calibri" w:cs="Calibri"/>
          <w:b w:val="0"/>
          <w:sz w:val="22"/>
        </w:rPr>
        <w:t>No follow-up appointments were specified.</w:t>
      </w: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Restart versus continued hold of apixaban remains a pending outpatient decision after the bleed.</w:t>
      </w: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Upper endoscopy</w:t>
            </w:r>
          </w:p>
        </w:tc>
        <w:tc>
          <w:tcPr>
            <w:tcW w:type="dxa" w:w="2448"/>
          </w:tcPr>
          <w:p>
            <w:pPr>
              <w:spacing w:after="20" w:before="20"/>
            </w:pPr>
            <w:r>
              <w:rPr>
                <w:rFonts w:ascii="Calibri" w:hAnsi="Calibri" w:cs="Calibri"/>
                <w:b w:val="0"/>
                <w:sz w:val="20"/>
              </w:rPr>
              <w:t>endoscopic</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Bleeding source evaluated; no ongoing active bleeding at discharge planning.</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Gastroenterology recommendations were recorded.</w:t>
            </w:r>
          </w:p>
        </w:tc>
        <w:tc>
          <w:tcPr>
            <w:tcW w:type="dxa" w:w="2448"/>
          </w:tcPr>
          <w:p>
            <w:pPr>
              <w:spacing w:after="20" w:before="20"/>
            </w:pPr>
            <w:r>
              <w:rPr>
                <w:rFonts w:ascii="Calibri" w:hAnsi="Calibri" w:cs="Calibri"/>
                <w:b w:val="0"/>
                <w:sz w:val="20"/>
              </w:rPr>
              <w:t>Hold anticoagulation while hemoglobin remains stable, then reassess.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1"/>
        <w:pageBreakBefore/>
      </w:pPr>
      <w:r>
        <w:rPr>
          <w:rFonts w:ascii="Calibri" w:hAnsi="Calibri"/>
          <w:color w:val="1F3A5F"/>
        </w:rPr>
        <w:t>VAL-824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77</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97.000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Gastrointestinal hemorrhage, unspecified</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77-year-old Female with Gastrointestinal hemorrhage, unspecified</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Nausea in the setting of Gastrointestinal hemorrhage, unspecified</w:t>
      </w:r>
    </w:p>
    <w:p>
      <w:pPr>
        <w:pStyle w:val="ListBullet"/>
        <w:spacing w:after="40" w:before="0"/>
      </w:pPr>
      <w:r>
        <w:rPr>
          <w:rFonts w:ascii="Calibri" w:hAnsi="Calibri" w:cs="Calibri"/>
          <w:b/>
          <w:sz w:val="22"/>
        </w:rPr>
        <w:t xml:space="preserve">Symptoms: </w:t>
      </w:r>
      <w:r>
        <w:rPr>
          <w:rFonts w:ascii="Calibri" w:hAnsi="Calibri" w:cs="Calibri"/>
          <w:b w:val="0"/>
          <w:sz w:val="22"/>
        </w:rPr>
        <w:t>Fatigue, Nausea</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77-year-old Female is admitted with Gastrointestinal hemorrhage, unspecified. Presenting symptoms include Fatigue, Nausea, present for one week and improving after treatment. Home medications include lisinopril 10 MG Oral Tablet, atorvastatin 40 MG Oral Tablet, metformin hydrochloride 500 MG Oral Tablet. aspirin 81 MG Chewable Tablet was stopped during this admission. Admitted for gastrointestinal bleeding with intentional aspirin discontinuation. Aspirin used for primary prevention was stopped after the bleed. Gastrointestinal bleeding settled and hemoglobin was stable. Aspirin used for primary prevention was stopped.</w:t>
      </w:r>
    </w:p>
    <w:p>
      <w:pPr>
        <w:pStyle w:val="Heading3"/>
      </w:pPr>
      <w:r>
        <w:rPr>
          <w:rFonts w:ascii="Calibri" w:hAnsi="Calibri"/>
          <w:color w:val="1F3A5F"/>
        </w:rPr>
        <w:t>Admission note</w:t>
      </w:r>
    </w:p>
    <w:p>
      <w:pPr>
        <w:spacing w:after="120"/>
      </w:pPr>
      <w:r>
        <w:rPr>
          <w:rFonts w:ascii="Calibri" w:hAnsi="Calibri" w:cs="Calibri"/>
          <w:b w:val="0"/>
          <w:sz w:val="22"/>
        </w:rPr>
        <w:t>Admission note for a 77-year-old Female with Gastrointestinal hemorrhage, unspecified. Symptoms: Fatigue, Nausea for one week (improving after treatment). Medications continued from home: lisinopril 10 MG Oral Tablet, atorvastatin 40 MG Oral Tablet, metformin hydrochloride 500 MG Oral Tablet. aspirin 81 MG Chewable Tablet was stopped during this admission. Admitted for gastrointestinal bleeding with intentional aspirin discontinuation. Aspirin used for primary prevention was stopped after the bleed. Gastrointestinal bleeding settled and hemoglobin was stable. Aspirin used for primary prevention was stopped.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 Type 2 diabetes mellitus without complications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without complications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Gastrointestinal hemorrhage, unspecified</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Gastrointestinal bleeding settled and hemoglobin was stable. Aspirin used for primary prevention was stopped.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147/87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7.8</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130/74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9.3</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antiplatelet therapy;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Status: held; Indication: antiplatelet therapy;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aspirin 81 MG Chewable Tablet</w:t>
            </w:r>
          </w:p>
        </w:tc>
        <w:tc>
          <w:tcPr>
            <w:tcW w:type="dxa" w:w="1224"/>
          </w:tcPr>
          <w:p>
            <w:pPr>
              <w:spacing w:after="20" w:before="20"/>
            </w:pPr>
            <w:r>
              <w:rPr>
                <w:rFonts w:ascii="Calibri" w:hAnsi="Calibri" w:cs="Calibri"/>
                <w:b w:val="0"/>
                <w:sz w:val="20"/>
              </w:rPr>
              <w:t>81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antiplatelet therapy; not a treatment for the admission diagnosis</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without complications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aspirin 81 MG Chewable Tablet was stopped during this admission.</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gastroenterology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Gastroenterology recommendations were recorded.</w:t>
            </w:r>
          </w:p>
        </w:tc>
        <w:tc>
          <w:tcPr>
            <w:tcW w:type="dxa" w:w="2448"/>
          </w:tcPr>
          <w:p>
            <w:pPr>
              <w:spacing w:after="20" w:before="20"/>
            </w:pPr>
            <w:r>
              <w:rPr>
                <w:rFonts w:ascii="Calibri" w:hAnsi="Calibri" w:cs="Calibri"/>
                <w:b w:val="0"/>
                <w:sz w:val="20"/>
              </w:rPr>
              <w:t>Hold anticoagulation while hemoglobin remains stable, then reassess.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sectPr w:rsidR="00FC693F" w:rsidRPr="0006063C" w:rsidSect="00034616">
      <w:footerReference w:type="default" r:id="rId9"/>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resident-seed-guided case set  |  CLINIPROOF_SEEDCASES_V3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