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spacing w:after="120"/>
      </w:pPr>
      <w:r>
        <w:rPr>
          <w:rFonts w:ascii="Calibri" w:hAnsi="Calibri" w:cs="Calibri"/>
          <w:b w:val="0"/>
          <w:sz w:val="22"/>
        </w:rPr>
        <w:t>Set 1. Six revised cases prepared for clinician re-review.</w:t>
      </w:r>
    </w:p>
    <w:p>
      <w:pPr>
        <w:pStyle w:val="Heading1"/>
      </w:pPr>
      <w:r>
        <w:rPr>
          <w:rFonts w:ascii="Calibri" w:hAnsi="Calibri"/>
          <w:color w:val="1F3A5F"/>
        </w:rPr>
        <w:t>SET 1</w:t>
      </w:r>
    </w:p>
    <w:p>
      <w:pPr>
        <w:pStyle w:val="Heading2"/>
      </w:pPr>
      <w:r>
        <w:rPr>
          <w:rFonts w:ascii="Calibri" w:hAnsi="Calibri"/>
          <w:color w:val="1F3A5F"/>
        </w:rPr>
        <w:t>REVISED CASES FOLLOWING ROUND 1 CLINICIAN FEEDBACK</w:t>
      </w:r>
    </w:p>
    <w:p>
      <w:pPr>
        <w:spacing w:after="120"/>
      </w:pPr>
      <w:r>
        <w:rPr>
          <w:rFonts w:ascii="Calibri" w:hAnsi="Calibri" w:cs="Calibri"/>
          <w:b w:val="0"/>
          <w:sz w:val="22"/>
        </w:rPr>
        <w:t>Cases: VAL-801, VAL-802, VAL-803, VAL-805, VAL-809, VAL-813</w:t>
      </w:r>
    </w:p>
    <w:p>
      <w:pPr>
        <w:spacing w:after="120"/>
      </w:pPr>
      <w:r>
        <w:rPr>
          <w:rFonts w:ascii="Calibri" w:hAnsi="Calibri" w:cs="Calibri"/>
          <w:b w:val="0"/>
          <w:sz w:val="22"/>
        </w:rPr>
        <w:t>The chart is the information a resident would see. Complete C1 and C2 before you read the hidden reference. The reference is not shown to residents. Historical Round 1 feedback follows the blank form. Ready for clinician review does not mean clinically validated.</w:t>
      </w:r>
    </w:p>
    <w:p>
      <w:pPr>
        <w:keepNext/>
        <w:pageBreakBefore/>
      </w:pPr>
      <w:r>
        <w:rPr>
          <w:rFonts w:ascii="Calibri" w:hAnsi="Calibri" w:cs="Calibri"/>
          <w:b/>
          <w:color w:val="1F3A5F"/>
          <w:sz w:val="32"/>
        </w:rPr>
        <w:t>CASE VAL-801</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Male is admitted with delirium after several days of confusion, fatigue, and poor oral intake. Mucous membranes are dry. The recorded supine blood pressure is 136/78 mmHg, and the orthostatic systolic pressure falls 20 mmHg from that supine value. Home medicines include lisinopril, atorvastatin, metformin, and ibuprofen 400 mg every 8 hours as needed. He could not give a reliable medication history at admission. A collateral list was verified later. Glucose is 163 mg/dL on admission and 103 mg/dL at discharge. Creatinine is 1.1 mg/dL then 1.0 mg/dL.</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delirium. Poor oral intake, dry mucous membranes, and a 20 mmHg orthostatic fall from the supine pressure of 136 mmHg are present. Home medicines include lisinopril, atorvastatin, metformin, and ibuprofen as needed. A collateral medication history was verified after admission.</w:t>
      </w:r>
    </w:p>
    <w:p>
      <w:pPr>
        <w:pStyle w:val="Heading2"/>
      </w:pPr>
      <w:r>
        <w:rPr>
          <w:rFonts w:ascii="Calibri" w:hAnsi="Calibri"/>
          <w:color w:val="1F3A5F"/>
        </w:rPr>
        <w:t>Hospital course</w:t>
      </w:r>
    </w:p>
    <w:p>
      <w:pPr>
        <w:spacing w:after="120"/>
      </w:pPr>
      <w:r>
        <w:rPr>
          <w:rFonts w:ascii="Calibri" w:hAnsi="Calibri" w:cs="Calibri"/>
          <w:b w:val="0"/>
          <w:sz w:val="22"/>
        </w:rPr>
        <w:t>Poor oral intake and volume depletion were treated with fluids, and oral intake resumed. Confusion cleared as intake improved. Glucose is 163 mg/dL then 103 mg/dL. Creatinine is 1.1 mg/dL then 1.0 mg/dL. Ibuprofen 400 mg every 8 hours as needed is on the medication list for symptomatic analgesia.</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136/78</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121/71</w:t>
            </w:r>
          </w:p>
        </w:tc>
        <w:tc>
          <w:tcPr>
            <w:tcW w:type="dxa" w:w="1440"/>
            <w:vAlign w:val="top"/>
          </w:tcPr>
          <w:p>
            <w:pPr>
              <w:spacing w:after="20" w:before="20"/>
            </w:pPr>
            <w:r>
              <w:rPr>
                <w:rFonts w:ascii="Calibri" w:hAnsi="Calibri" w:cs="Calibri"/>
                <w:b w:val="0"/>
                <w:sz w:val="20"/>
              </w:rPr>
              <w:t>65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163.0</w:t>
            </w:r>
          </w:p>
        </w:tc>
        <w:tc>
          <w:tcPr>
            <w:tcW w:type="dxa" w:w="2448"/>
            <w:vAlign w:val="top"/>
          </w:tcPr>
          <w:p>
            <w:pPr>
              <w:spacing w:after="20" w:before="20"/>
            </w:pPr>
            <w:r>
              <w:rPr>
                <w:rFonts w:ascii="Calibri" w:hAnsi="Calibri" w:cs="Calibri"/>
                <w:b w:val="0"/>
                <w:sz w:val="20"/>
              </w:rPr>
              <w:t>103.0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geriatrics</w:t>
            </w:r>
          </w:p>
        </w:tc>
        <w:tc>
          <w:tcPr>
            <w:tcW w:type="dxa" w:w="3264"/>
            <w:vAlign w:val="top"/>
          </w:tcPr>
          <w:p>
            <w:pPr>
              <w:spacing w:after="20" w:before="20"/>
            </w:pPr>
            <w:r>
              <w:rPr>
                <w:rFonts w:ascii="Calibri" w:hAnsi="Calibri" w:cs="Calibri"/>
                <w:b w:val="0"/>
                <w:sz w:val="20"/>
              </w:rPr>
              <w:t>Delirium improved toward baseline.</w:t>
            </w:r>
          </w:p>
        </w:tc>
        <w:tc>
          <w:tcPr>
            <w:tcW w:type="dxa" w:w="3264"/>
            <w:vAlign w:val="top"/>
          </w:tcPr>
          <w:p>
            <w:pPr>
              <w:spacing w:after="20" w:before="20"/>
            </w:pPr>
            <w:r>
              <w:rPr>
                <w:rFonts w:ascii="Calibri" w:hAnsi="Calibri" w:cs="Calibri"/>
                <w:b w:val="0"/>
                <w:sz w:val="20"/>
              </w:rPr>
              <w:t>A collateral medication history was verified after admission.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collateral medication verification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1 C1 Presentation and demographics 1"/>
                <w:tag w:val="VAL-801-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2"/>
                <w:tag w:val="VAL-801-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3"/>
                <w:tag w:val="VAL-801-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4"/>
                <w:tag w:val="VAL-801-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1"/>
                <w:tag w:val="VAL-801-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2"/>
                <w:tag w:val="VAL-801-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3"/>
                <w:tag w:val="VAL-801-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4"/>
                <w:tag w:val="VAL-801-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1 C1 Vital signs 1"/>
                <w:tag w:val="VAL-801-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2"/>
                <w:tag w:val="VAL-801-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3"/>
                <w:tag w:val="VAL-801-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4"/>
                <w:tag w:val="VAL-801-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1 C1 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1 C1 Medication regimen 1"/>
                <w:tag w:val="VAL-801-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2"/>
                <w:tag w:val="VAL-801-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3"/>
                <w:tag w:val="VAL-801-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4"/>
                <w:tag w:val="VAL-801-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1 C1 Hospital course 1"/>
                <w:tag w:val="VAL-801-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2"/>
                <w:tag w:val="VAL-801-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3"/>
                <w:tag w:val="VAL-801-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4"/>
                <w:tag w:val="VAL-801-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1 C1 Chart consistency 1"/>
                <w:tag w:val="VAL-801-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2"/>
                <w:tag w:val="VAL-801-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3"/>
                <w:tag w:val="VAL-801-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4"/>
                <w:tag w:val="VAL-801-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1 C1 Discharge context and follow-up 1"/>
                <w:tag w:val="VAL-801-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2"/>
                <w:tag w:val="VAL-801-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3"/>
                <w:tag w:val="VAL-801-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4"/>
                <w:tag w:val="VAL-801-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1 c1-overall Pass"/>
                <w:tag w:val="VAL-801-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1-overall Fail"/>
                <w:tag w:val="VAL-801-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1-c1-comment"/>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1 c2 Pass"/>
                <w:tag w:val="VAL-801-c2-Pass"/>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2 Fail"/>
                <w:tag w:val="VAL-801-c2-Fail"/>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1-c2-comment"/>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ibuprofen 400 MG Oral Tablet</w:t>
            </w:r>
          </w:p>
        </w:tc>
        <w:tc>
          <w:tcPr>
            <w:tcW w:type="dxa" w:w="1152"/>
            <w:vAlign w:val="top"/>
          </w:tcPr>
          <w:p>
            <w:pPr>
              <w:spacing w:after="20" w:before="20"/>
            </w:pPr>
            <w:r>
              <w:rPr>
                <w:rFonts w:ascii="Calibri" w:hAnsi="Calibri" w:cs="Calibri"/>
                <w:b w:val="0"/>
                <w:sz w:val="20"/>
              </w:rPr>
              <w:t>400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8 hours as needed</w:t>
            </w:r>
          </w:p>
        </w:tc>
        <w:tc>
          <w:tcPr>
            <w:tcW w:type="dxa" w:w="2304"/>
            <w:vAlign w:val="top"/>
          </w:tcPr>
          <w:p>
            <w:pPr>
              <w:spacing w:after="20" w:before="20"/>
            </w:pPr>
            <w:r>
              <w:rPr>
                <w:rFonts w:ascii="Calibri" w:hAnsi="Calibri" w:cs="Calibri"/>
                <w:b w:val="0"/>
                <w:sz w:val="20"/>
              </w:rPr>
              <w:t>symptomatic analgesia</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1 c3 Pass"/>
                <w:tag w:val="VAL-801-c3-Pass"/>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3 Fail"/>
                <w:tag w:val="VAL-801-c3-Fail"/>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1 c4 No"/>
                <w:tag w:val="VAL-801-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4 Yes"/>
                <w:tag w:val="VAL-801-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1 c5-issue No"/>
                <w:tag w:val="VAL-801-c5-issue-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issue Yes"/>
                <w:tag w:val="VAL-801-c5-issue-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1 c5-leak No"/>
                <w:tag w:val="VAL-801-c5-leak-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leak Yes"/>
                <w:tag w:val="VAL-801-c5-leak-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1-c5-comment"/>
              <w:id w:val="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Easy"/>
                <w:tag w:val="VAL-801-c6-Eas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1 c6 Moderate"/>
                <w:tag w:val="VAL-801-c6-Moder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Hard"/>
                <w:tag w:val="VAL-801-c6-Hard"/>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1 c6 Inappropriate or outlier"/>
                <w:tag w:val="VAL-801-c6-Inappropriate or outlier"/>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1 overall Accept"/>
                <w:tag w:val="VAL-801-overall-Accept"/>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1 overall Revise"/>
                <w:tag w:val="VAL-801-overall-Revis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1 overall Exclude"/>
                <w:tag w:val="VAL-801-overall-Exclude"/>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1-overall-comment"/>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1-reviewer"/>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1-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This case is lacking clinical complexity. The patient presents with delirium, but the cause is not revealed during the hospital course, we just learn that the delirium improves with treatment. There are no further details on why the patient was delirious or why he improved. It is also not clear why the ibuprofen was stopped. I would add that he is discovered to have an infection or GI bleed or something that would explain this better.</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It wasn’t clear why ibuprofen should be stopped.</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Pass, Fail. Source document contains multiple selected responses; reproduced exactly.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Ibuprofen stopped on admission</w:t>
      </w:r>
    </w:p>
    <w:p>
      <w:pPr>
        <w:spacing w:after="120"/>
      </w:pPr>
      <w:r>
        <w:rPr>
          <w:rFonts w:ascii="Calibri" w:hAnsi="Calibri" w:cs="Calibri"/>
          <w:b w:val="0"/>
          <w:sz w:val="22"/>
        </w:rPr>
        <w:t>C4 location: In home medication list</w:t>
      </w:r>
    </w:p>
    <w:p>
      <w:pPr>
        <w:spacing w:after="120"/>
      </w:pPr>
      <w:r>
        <w:rPr>
          <w:rFonts w:ascii="Calibri" w:hAnsi="Calibri" w:cs="Calibri"/>
          <w:b w:val="0"/>
          <w:sz w:val="22"/>
        </w:rPr>
        <w:t>C4 clinical meaning: No obvious indication for why this should be stopped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clear why ibuprofen was stopped</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Case is unclear</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This case could be usable if there was more complexity to the clinical case, i.e infection discovered and treated. Delirium due to known physiologic condition and then not elaborating on the physiologic condition doesn’t make sense. Medication list should be clearer.</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overall Fail. Presentation, fit, and hospital course are 2. Comment: the cause of delirium is not revealed, improvement is unexplained, and it is not clear why ibuprofen was stopped. The reviewer offered infection or gastrointestinal bleeding as examples.</w:t>
            </w:r>
          </w:p>
        </w:tc>
        <w:tc>
          <w:tcPr>
            <w:tcW w:type="dxa" w:w="1368"/>
            <w:vAlign w:val="top"/>
          </w:tcPr>
          <w:p>
            <w:pPr>
              <w:spacing w:after="20" w:before="20"/>
            </w:pPr>
            <w:r>
              <w:rPr>
                <w:rFonts w:ascii="Calibri" w:hAnsi="Calibri" w:cs="Calibri"/>
                <w:b w:val="0"/>
                <w:sz w:val="16"/>
              </w:rPr>
              <w:t>Named poor oral intake, dry mucous membranes, and a 20 mmHg orthostatic fall as the volume-depletion course. Did not add infection or bleeding. Removed every sentence that tells the resident what to do with ibuprofen.</w:t>
            </w:r>
          </w:p>
        </w:tc>
        <w:tc>
          <w:tcPr>
            <w:tcW w:type="dxa" w:w="1224"/>
            <w:vAlign w:val="top"/>
          </w:tcPr>
          <w:p>
            <w:pPr>
              <w:spacing w:after="20" w:before="20"/>
            </w:pPr>
            <w:r>
              <w:rPr>
                <w:rFonts w:ascii="Calibri" w:hAnsi="Calibri" w:cs="Calibri"/>
                <w:b w:val="0"/>
                <w:sz w:val="16"/>
              </w:rPr>
              <w:t>presentation; admission note; hospital course</w:t>
            </w:r>
          </w:p>
        </w:tc>
        <w:tc>
          <w:tcPr>
            <w:tcW w:type="dxa" w:w="1368"/>
            <w:vAlign w:val="top"/>
          </w:tcPr>
          <w:p>
            <w:pPr>
              <w:spacing w:after="20" w:before="20"/>
            </w:pPr>
            <w:r>
              <w:rPr>
                <w:rFonts w:ascii="Calibri" w:hAnsi="Calibri" w:cs="Calibri"/>
                <w:b w:val="0"/>
                <w:sz w:val="16"/>
              </w:rPr>
              <w:t>The note names delirium and says it improves with treatment. It does not name a precipitant. The history says ibuprofen was stopped.</w:t>
            </w:r>
          </w:p>
        </w:tc>
        <w:tc>
          <w:tcPr>
            <w:tcW w:type="dxa" w:w="1368"/>
            <w:vAlign w:val="top"/>
          </w:tcPr>
          <w:p>
            <w:pPr>
              <w:spacing w:after="20" w:before="20"/>
            </w:pPr>
            <w:r>
              <w:rPr>
                <w:rFonts w:ascii="Calibri" w:hAnsi="Calibri" w:cs="Calibri"/>
                <w:b w:val="0"/>
                <w:sz w:val="16"/>
              </w:rPr>
              <w:t>Poor oral intake, dry mucous membranes, and a 20 mmHg fall from the recorded supine pressure of 136 mmHg are described. Confusion clears as intake resumes. Glucose is 163 mg/dL then 103 mg/dL. Creatinine is 1.1 mg/dL then 1.0 mg/dL. Ibuprofen remains on the medication list. The chart does not say whether to stop it.</w:t>
            </w:r>
          </w:p>
        </w:tc>
        <w:tc>
          <w:tcPr>
            <w:tcW w:type="dxa" w:w="1656"/>
            <w:vAlign w:val="top"/>
          </w:tcPr>
          <w:p>
            <w:pPr>
              <w:spacing w:after="20" w:before="20"/>
            </w:pPr>
            <w:r>
              <w:rPr>
                <w:rFonts w:ascii="Calibri" w:hAnsi="Calibri" w:cs="Calibri"/>
                <w:b w:val="0"/>
                <w:sz w:val="16"/>
              </w:rPr>
              <w:t>The diagnosis says delirium has a physiological cause, but the original course does not show one, so the medication implications of the stay are not interpretable. Volume depletion is a reversible precipitant and uses the recorded laboratories and the recorded supine pressure. The dry membranes, poor-intake history, and orthostatic fall are synthetic. They were not measured in the source chart. Infection and gastrointestinal bleeding were not added because either one would open a separate medication pathway. The resident chart shows the illness. It does not state the discharge action.</w:t>
            </w:r>
          </w:p>
        </w:tc>
        <w:tc>
          <w:tcPr>
            <w:tcW w:type="dxa" w:w="1296"/>
            <w:vAlign w:val="top"/>
          </w:tcPr>
          <w:p>
            <w:pPr>
              <w:spacing w:after="20" w:before="20"/>
            </w:pPr>
            <w:r>
              <w:rPr>
                <w:rFonts w:ascii="Calibri" w:hAnsi="Calibri" w:cs="Calibri"/>
                <w:b w:val="0"/>
                <w:sz w:val="16"/>
              </w:rPr>
              <w:t>[E1] [E2] [E3] [E4]</w:t>
            </w:r>
          </w:p>
        </w:tc>
      </w:tr>
      <w:tr>
        <w:trPr>
          <w:cantSplit/>
        </w:trPr>
        <w:tc>
          <w:tcPr>
            <w:tcW w:type="dxa" w:w="1512"/>
            <w:vAlign w:val="top"/>
          </w:tcPr>
          <w:p>
            <w:pPr>
              <w:spacing w:after="20" w:before="20"/>
            </w:pPr>
            <w:r>
              <w:rPr>
                <w:rFonts w:ascii="Calibri" w:hAnsi="Calibri" w:cs="Calibri"/>
                <w:b w:val="0"/>
                <w:sz w:val="16"/>
              </w:rPr>
              <w:t>C2 Fail: it was not clear why ibuprofen should be stopped. C4 Fail: ibuprofen stopped on admission, in the home medication list, with no obvious indication.</w:t>
            </w:r>
          </w:p>
        </w:tc>
        <w:tc>
          <w:tcPr>
            <w:tcW w:type="dxa" w:w="1368"/>
            <w:vAlign w:val="top"/>
          </w:tcPr>
          <w:p>
            <w:pPr>
              <w:spacing w:after="20" w:before="20"/>
            </w:pPr>
            <w:r>
              <w:rPr>
                <w:rFonts w:ascii="Calibri" w:hAnsi="Calibri" w:cs="Calibri"/>
                <w:b w:val="0"/>
                <w:sz w:val="16"/>
              </w:rPr>
              <w:t>The ibuprofen hold was removed from the medication rows. The reference continues it. The resident chart does not say to continue it.</w:t>
            </w:r>
          </w:p>
        </w:tc>
        <w:tc>
          <w:tcPr>
            <w:tcW w:type="dxa" w:w="1224"/>
            <w:vAlign w:val="top"/>
          </w:tcPr>
          <w:p>
            <w:pPr>
              <w:spacing w:after="20" w:before="20"/>
            </w:pPr>
            <w:r>
              <w:rPr>
                <w:rFonts w:ascii="Calibri" w:hAnsi="Calibri" w:cs="Calibri"/>
                <w:b w:val="0"/>
                <w:sz w:val="16"/>
              </w:rPr>
              <w:t>home medications; inpatient medications; reference discharge plan</w:t>
            </w:r>
          </w:p>
        </w:tc>
        <w:tc>
          <w:tcPr>
            <w:tcW w:type="dxa" w:w="1368"/>
            <w:vAlign w:val="top"/>
          </w:tcPr>
          <w:p>
            <w:pPr>
              <w:spacing w:after="20" w:before="20"/>
            </w:pPr>
            <w:r>
              <w:rPr>
                <w:rFonts w:ascii="Calibri" w:hAnsi="Calibri" w:cs="Calibri"/>
                <w:b w:val="0"/>
                <w:sz w:val="16"/>
              </w:rPr>
              <w:t>Ibuprofen status held. Reference action stop. Discharge instruction: ibuprofen was stopped. Geriatrics: use the verified list at discharge.</w:t>
            </w:r>
          </w:p>
        </w:tc>
        <w:tc>
          <w:tcPr>
            <w:tcW w:type="dxa" w:w="1368"/>
            <w:vAlign w:val="top"/>
          </w:tcPr>
          <w:p>
            <w:pPr>
              <w:spacing w:after="20" w:before="20"/>
            </w:pPr>
            <w:r>
              <w:rPr>
                <w:rFonts w:ascii="Calibri" w:hAnsi="Calibri" w:cs="Calibri"/>
                <w:b w:val="0"/>
                <w:sz w:val="16"/>
              </w:rPr>
              <w:t>Ibuprofen 400 mg every 8 hours as needed is active on the home and inpatient lists. Indication remains symptomatic analgesia. Reference action continue. Geriatrics records that a collateral history was verified and does not say to use that list as the discharge order.</w:t>
            </w:r>
          </w:p>
        </w:tc>
        <w:tc>
          <w:tcPr>
            <w:tcW w:type="dxa" w:w="1656"/>
            <w:vAlign w:val="top"/>
          </w:tcPr>
          <w:p>
            <w:pPr>
              <w:spacing w:after="20" w:before="20"/>
            </w:pPr>
            <w:r>
              <w:rPr>
                <w:rFonts w:ascii="Calibri" w:hAnsi="Calibri" w:cs="Calibri"/>
                <w:b w:val="0"/>
                <w:sz w:val="16"/>
              </w:rPr>
              <w:t>Creatinine is 1.1 mg/dL then 1.0 mg/dL, and the chart does not describe bleeding. Stopping ibuprofen is not required by those facts. Continuing it is the reference because the drug is on the verified list and no stop indication is stored. A resident can still stop an as-needed NSAID in a 75-year-old; that alternative is not forbidden by the chart. The chart itself no longer announces either choice.</w:t>
            </w:r>
          </w:p>
        </w:tc>
        <w:tc>
          <w:tcPr>
            <w:tcW w:type="dxa" w:w="1296"/>
            <w:vAlign w:val="top"/>
          </w:tcPr>
          <w:p>
            <w:pPr>
              <w:spacing w:after="20" w:before="20"/>
            </w:pPr>
            <w:r>
              <w:rPr>
                <w:rFonts w:ascii="Calibri" w:hAnsi="Calibri" w:cs="Calibri"/>
                <w:b w:val="0"/>
                <w:sz w:val="16"/>
              </w:rPr>
              <w:t>[E1] [E4]</w:t>
            </w:r>
          </w:p>
        </w:tc>
      </w:tr>
      <w:tr>
        <w:trPr>
          <w:cantSplit/>
        </w:trPr>
        <w:tc>
          <w:tcPr>
            <w:tcW w:type="dxa" w:w="1512"/>
            <w:vAlign w:val="top"/>
          </w:tcPr>
          <w:p>
            <w:pPr>
              <w:spacing w:after="20" w:before="20"/>
            </w:pPr>
            <w:r>
              <w:rPr>
                <w:rFonts w:ascii="Calibri" w:hAnsi="Calibri" w:cs="Calibri"/>
                <w:b w:val="0"/>
                <w:sz w:val="16"/>
              </w:rPr>
              <w:t>C3 has both Pass and Fail selected, with a blank comment. C5 is Inappropriate / outlier: the case is unclear. Overall Revise: more clinical complexity is needed, for example an infection, and the medication list should be clearer.</w:t>
            </w:r>
          </w:p>
        </w:tc>
        <w:tc>
          <w:tcPr>
            <w:tcW w:type="dxa" w:w="1368"/>
            <w:vAlign w:val="top"/>
          </w:tcPr>
          <w:p>
            <w:pPr>
              <w:spacing w:after="20" w:before="20"/>
            </w:pPr>
            <w:r>
              <w:rPr>
                <w:rFonts w:ascii="Calibri" w:hAnsi="Calibri" w:cs="Calibri"/>
                <w:b w:val="0"/>
                <w:sz w:val="16"/>
              </w:rPr>
              <w:t>The conflict and the incomplete C3 comment are preserved in the historical record. No infection was added.</w:t>
            </w:r>
          </w:p>
        </w:tc>
        <w:tc>
          <w:tcPr>
            <w:tcW w:type="dxa" w:w="1224"/>
            <w:vAlign w:val="top"/>
          </w:tcPr>
          <w:p>
            <w:pPr>
              <w:spacing w:after="20" w:before="20"/>
            </w:pPr>
            <w:r>
              <w:rPr>
                <w:rFonts w:ascii="Calibri" w:hAnsi="Calibri" w:cs="Calibri"/>
                <w:b w:val="0"/>
                <w:sz w:val="16"/>
              </w:rPr>
              <w:t>round 1 historical record</w:t>
            </w:r>
          </w:p>
        </w:tc>
        <w:tc>
          <w:tcPr>
            <w:tcW w:type="dxa" w:w="1368"/>
            <w:vAlign w:val="top"/>
          </w:tcPr>
          <w:p>
            <w:pPr>
              <w:spacing w:after="20" w:before="20"/>
            </w:pPr>
            <w:r>
              <w:rPr>
                <w:rFonts w:ascii="Calibri" w:hAnsi="Calibri" w:cs="Calibri"/>
                <w:b w:val="0"/>
                <w:sz w:val="16"/>
              </w:rPr>
              <w:t>Pass and Fail both selected. Comment blank.</w:t>
            </w:r>
          </w:p>
        </w:tc>
        <w:tc>
          <w:tcPr>
            <w:tcW w:type="dxa" w:w="1368"/>
            <w:vAlign w:val="top"/>
          </w:tcPr>
          <w:p>
            <w:pPr>
              <w:spacing w:after="20" w:before="20"/>
            </w:pPr>
            <w:r>
              <w:rPr>
                <w:rFonts w:ascii="Calibri" w:hAnsi="Calibri" w:cs="Calibri"/>
                <w:b w:val="0"/>
                <w:sz w:val="16"/>
              </w:rPr>
              <w:t>Pass and Fail both selected. Comment blank.</w:t>
            </w:r>
          </w:p>
        </w:tc>
        <w:tc>
          <w:tcPr>
            <w:tcW w:type="dxa" w:w="1656"/>
            <w:vAlign w:val="top"/>
          </w:tcPr>
          <w:p>
            <w:pPr>
              <w:spacing w:after="20" w:before="20"/>
            </w:pPr>
            <w:r>
              <w:rPr>
                <w:rFonts w:ascii="Calibri" w:hAnsi="Calibri" w:cs="Calibri"/>
                <w:b w:val="0"/>
                <w:sz w:val="16"/>
              </w:rPr>
              <w:t>Two selected C3 boxes and a blank comment do not identify a medication. Choosing one box, or adding the infection used as an example, would invent the review.</w:t>
            </w:r>
          </w:p>
        </w:tc>
        <w:tc>
          <w:tcPr>
            <w:tcW w:type="dxa" w:w="1296"/>
            <w:vAlign w:val="top"/>
          </w:tcPr>
          <w:p>
            <w:pPr>
              <w:spacing w:after="20" w:before="20"/>
            </w:pPr>
            <w:r>
              <w:rPr>
                <w:rFonts w:ascii="Calibri" w:hAnsi="Calibri" w:cs="Calibri"/>
                <w:b w:val="0"/>
                <w:sz w:val="16"/>
              </w:rPr>
              <w:t>[E1]</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[E2] Inouye SK, Westendorp RGJ, Saczynski JS. Delirium in elderly people. Lancet. 2014;383:911-922. doi:10.1016/S0140-6736(13)60688-1. Supports treating a precipitant of delirium, including metabolic precipitants. It does not establish which precipitant this synthetic patient had.</w:t>
      </w:r>
    </w:p>
    <w:p>
      <w:pPr>
        <w:spacing w:after="120"/>
      </w:pPr>
      <w:r>
        <w:rPr>
          <w:rFonts w:ascii="Calibri" w:hAnsi="Calibri" w:cs="Calibri"/>
          <w:b w:val="0"/>
          <w:sz w:val="22"/>
        </w:rPr>
        <w:t>[E3] Freeman R, Wieling W, Axelrod FB, et al. Consensus statement on the definition of orthostatic hypotension. Clin Auton Res. 2011;21:69-72. doi:10.1007/s10286-011-0119-5. Supports the 20 mmHg systolic threshold used for the synthetic orthostatic finding. It does not show that this patient had that finding.</w:t>
      </w:r>
    </w:p>
    <w:p>
      <w:pPr>
        <w:spacing w:after="120"/>
      </w:pPr>
      <w:r>
        <w:rPr>
          <w:rFonts w:ascii="Calibri" w:hAnsi="Calibri" w:cs="Calibri"/>
          <w:b w:val="0"/>
          <w:sz w:val="22"/>
        </w:rPr>
        <w:t>[E4] Clean pre-injection VAL-801. Glucose 163 mg/dL then 103 mg/dL. Creatinine 1.1 mg/dL then 1.0 mg/dL. Supine blood pressure 136/78 mmHg. Ibuprofen is on the verified list. No bleeding diagnosis is stored.</w:t>
      </w:r>
    </w:p>
    <w:p>
      <w:pPr>
        <w:keepNext/>
        <w:pageBreakBefore/>
      </w:pPr>
      <w:r>
        <w:rPr>
          <w:rFonts w:ascii="Calibri" w:hAnsi="Calibri" w:cs="Calibri"/>
          <w:b/>
          <w:color w:val="1F3A5F"/>
          <w:sz w:val="32"/>
        </w:rPr>
        <w:t>CASE VAL-802</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81-year-old Female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81-year-old Female is admitted with delirium after two days of confusion and poor oral intake. No other precipitant is recorded. Home medicines are lisinopril 10 mg daily and atorvastatin 40 mg daily. Creatinine is 1.3 mg/dL on admission and 1.2 mg/dL at discharge. No creatinine from before this admission is recorded. Blood pressure is 138/69 mmHg then 124/68 mmHg.</w:t>
      </w:r>
    </w:p>
    <w:p>
      <w:pPr>
        <w:pStyle w:val="Heading3"/>
      </w:pPr>
      <w:r>
        <w:rPr>
          <w:rFonts w:ascii="Calibri" w:hAnsi="Calibri"/>
          <w:color w:val="1F3A5F"/>
        </w:rPr>
        <w:t>Admission note</w:t>
      </w:r>
    </w:p>
    <w:p>
      <w:pPr>
        <w:spacing w:after="120"/>
      </w:pPr>
      <w:r>
        <w:rPr>
          <w:rFonts w:ascii="Calibri" w:hAnsi="Calibri" w:cs="Calibri"/>
          <w:b w:val="0"/>
          <w:sz w:val="22"/>
        </w:rPr>
        <w:t>Admission note for a 81-year-old Female with delirium. Confusion and poor oral intake for two days. Home medicines are lisinopril and atorvastatin. No creatinine from before this admission is recorded.</w:t>
      </w:r>
    </w:p>
    <w:p>
      <w:pPr>
        <w:pStyle w:val="Heading2"/>
      </w:pPr>
      <w:r>
        <w:rPr>
          <w:rFonts w:ascii="Calibri" w:hAnsi="Calibri"/>
          <w:color w:val="1F3A5F"/>
        </w:rPr>
        <w:t>Hospital course</w:t>
      </w:r>
    </w:p>
    <w:p>
      <w:pPr>
        <w:spacing w:after="120"/>
      </w:pPr>
      <w:r>
        <w:rPr>
          <w:rFonts w:ascii="Calibri" w:hAnsi="Calibri" w:cs="Calibri"/>
          <w:b w:val="0"/>
          <w:sz w:val="22"/>
        </w:rPr>
        <w:t>Poor oral intake was the only precipitant recorded. Confusion improved as intake resumed. Creatinine is 1.3 mg/dL then 1.2 mg/dL. Blood pressure is 138/69 mmHg then 124/68 mmHg. Atorvastatin 40 mg daily is on the verified home list. No creatinine from before this admission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138/69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124/68</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medication-list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2 C1 Presentation and demographics 1"/>
                <w:tag w:val="VAL-802-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2"/>
                <w:tag w:val="VAL-802-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3"/>
                <w:tag w:val="VAL-802-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4"/>
                <w:tag w:val="VAL-802-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1"/>
                <w:tag w:val="VAL-802-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2"/>
                <w:tag w:val="VAL-802-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3"/>
                <w:tag w:val="VAL-802-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4"/>
                <w:tag w:val="VAL-802-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2 C1 Vital signs 1"/>
                <w:tag w:val="VAL-802-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2"/>
                <w:tag w:val="VAL-802-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3"/>
                <w:tag w:val="VAL-802-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4"/>
                <w:tag w:val="VAL-802-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2 C1 Laboratory findings 1"/>
                <w:tag w:val="VAL-802-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2"/>
                <w:tag w:val="VAL-802-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3"/>
                <w:tag w:val="VAL-802-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4"/>
                <w:tag w:val="VAL-802-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2 C1 Medication regimen 1"/>
                <w:tag w:val="VAL-802-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2"/>
                <w:tag w:val="VAL-802-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3"/>
                <w:tag w:val="VAL-802-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4"/>
                <w:tag w:val="VAL-802-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2 C1 Hospital course 1"/>
                <w:tag w:val="VAL-802-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2"/>
                <w:tag w:val="VAL-802-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3"/>
                <w:tag w:val="VAL-802-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4"/>
                <w:tag w:val="VAL-802-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2 C1 Chart consistency 1"/>
                <w:tag w:val="VAL-802-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2"/>
                <w:tag w:val="VAL-802-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3"/>
                <w:tag w:val="VAL-802-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4"/>
                <w:tag w:val="VAL-802-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2 C1 Discharge context and follow-up 1"/>
                <w:tag w:val="VAL-802-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2"/>
                <w:tag w:val="VAL-802-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3"/>
                <w:tag w:val="VAL-802-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4"/>
                <w:tag w:val="VAL-802-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2 c1-overall Pass"/>
                <w:tag w:val="VAL-802-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1-overall Fail"/>
                <w:tag w:val="VAL-802-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2-c1-comment"/>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2 c2 Pass"/>
                <w:tag w:val="VAL-802-c2-Pass"/>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2 Fail"/>
                <w:tag w:val="VAL-802-c2-Fail"/>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2-c2-comment"/>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because no creatinine from before this admission is recorded.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2 c3 Pass"/>
                <w:tag w:val="VAL-802-c3-Pass"/>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3 Fail"/>
                <w:tag w:val="VAL-802-c3-Fail"/>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2 c4 No"/>
                <w:tag w:val="VAL-802-c4-No"/>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4 Yes"/>
                <w:tag w:val="VAL-802-c4-Ye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2 c5-issue No"/>
                <w:tag w:val="VAL-802-c5-issue-No"/>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issue Yes"/>
                <w:tag w:val="VAL-802-c5-issue-Yes"/>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2 c5-leak No"/>
                <w:tag w:val="VAL-802-c5-leak-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leak Yes"/>
                <w:tag w:val="VAL-802-c5-leak-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2-c5-comment"/>
              <w:id w:val="1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Easy"/>
                <w:tag w:val="VAL-802-c6-Eas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2 c6 Moderate"/>
                <w:tag w:val="VAL-802-c6-Moderat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Hard"/>
                <w:tag w:val="VAL-802-c6-Hard"/>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2 c6 Inappropriate or outlier"/>
                <w:tag w:val="VAL-802-c6-Inappropriate or outlier"/>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2 overall Accept"/>
                <w:tag w:val="VAL-802-overall-Accept"/>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2 overall Revise"/>
                <w:tag w:val="VAL-802-overall-Revise"/>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2 overall Exclude"/>
                <w:tag w:val="VAL-802-overall-Exclud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2-overall-comment"/>
              <w:id w:val="1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2-reviewer"/>
          <w:id w:val="11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2-date"/>
          <w:id w:val="1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Several issues with this – delirium cause is not revealed (delirium due to known physiologic condition doesn’t make sense), it doesn’t appear that anything happened in the hospital course, creatinine was the only lab value and changed slightly, but it was not clear what the baseline creatinine was, lots of mention of the statin and it said that she was taking the statin, but this was not continued at discharge for no obvious reason</w:t>
            </w:r>
          </w:p>
        </w:tc>
      </w:tr>
    </w:tbl>
    <w:p>
      <w:pPr>
        <w:spacing w:after="40"/>
      </w:pPr>
    </w:p>
    <w:p>
      <w:pPr>
        <w:spacing w:after="120"/>
      </w:pPr>
      <w:r>
        <w:rPr>
          <w:rFonts w:ascii="Calibri" w:hAnsi="Calibri" w:cs="Calibri"/>
          <w:b w:val="0"/>
          <w:sz w:val="22"/>
        </w:rPr>
        <w:t>C2 question: Does the clinical case actually contain the intended medication-reconciliation or transition-of-care problem described above, and does it match the intended category?</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Was the trainee supposed to continue the statin? Or recognize that it was not continued? It is unclear</w:t>
            </w:r>
          </w:p>
        </w:tc>
      </w:tr>
    </w:tbl>
    <w:p>
      <w:pPr>
        <w:spacing w:after="40"/>
      </w:pPr>
    </w:p>
    <w:p>
      <w:pPr>
        <w:spacing w:after="120"/>
      </w:pPr>
      <w:r>
        <w:rPr>
          <w:rFonts w:ascii="Calibri" w:hAnsi="Calibri" w:cs="Calibri"/>
          <w:b w:val="0"/>
          <w:sz w:val="22"/>
        </w:rPr>
        <w:t>C3 question: Could an internal-medicine resident identify and resolve the intended problem using only the clinical information provided in the patient-facing case?</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Case lacks clinical complexity and reasoning for stopping the statin</w:t>
            </w:r>
          </w:p>
        </w:tc>
      </w:tr>
    </w:tbl>
    <w:p>
      <w:pPr>
        <w:spacing w:after="40"/>
      </w:pPr>
    </w:p>
    <w:p>
      <w:pPr>
        <w:spacing w:after="120"/>
      </w:pPr>
      <w:r>
        <w:rPr>
          <w:rFonts w:ascii="Calibri" w:hAnsi="Calibri" w:cs="Calibri"/>
          <w:b w:val="0"/>
          <w:sz w:val="22"/>
        </w:rPr>
        <w:t>C4 question: Apart from the intended assessment problem, does the case contain another clinically meaningful medication-reconciliation or transition-of-care problem that a reasonable resident could interpret as an alternative target?</w:t>
      </w:r>
    </w:p>
    <w:p>
      <w:pPr>
        <w:spacing w:after="120"/>
      </w:pPr>
      <w:r>
        <w:rPr>
          <w:rFonts w:ascii="Calibri" w:hAnsi="Calibri" w:cs="Calibri"/>
          <w:b w:val="0"/>
          <w:sz w:val="22"/>
        </w:rPr>
        <w:t>C4: Fail</w:t>
      </w:r>
    </w:p>
    <w:p>
      <w:pPr>
        <w:spacing w:after="120"/>
      </w:pPr>
      <w:r>
        <w:rPr>
          <w:rFonts w:ascii="Calibri" w:hAnsi="Calibri" w:cs="Calibri"/>
          <w:b w:val="0"/>
          <w:sz w:val="22"/>
        </w:rPr>
        <w:t>C4 issue: Creatinine elevated but patient continued on lisinopril</w:t>
      </w:r>
    </w:p>
    <w:p>
      <w:pPr>
        <w:spacing w:after="120"/>
      </w:pPr>
      <w:r>
        <w:rPr>
          <w:rFonts w:ascii="Calibri" w:hAnsi="Calibri" w:cs="Calibri"/>
          <w:b w:val="0"/>
          <w:sz w:val="22"/>
        </w:rPr>
        <w:t>C4 location: Lab data</w:t>
      </w:r>
    </w:p>
    <w:p>
      <w:pPr>
        <w:spacing w:after="120"/>
      </w:pPr>
      <w:r>
        <w:rPr>
          <w:rFonts w:ascii="Calibri" w:hAnsi="Calibri" w:cs="Calibri"/>
          <w:b w:val="0"/>
          <w:sz w:val="22"/>
        </w:rPr>
        <w:t>C4 clinical meaning: If creatinine was elevated to point of AKI the lisinopril should be stopped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As above</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This case is unclear and intended discharge medications are not stated</w:t>
            </w:r>
          </w:p>
        </w:tc>
      </w:tr>
    </w:tbl>
    <w:p>
      <w:pPr>
        <w:spacing w:after="4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Would exclude, this case would need major revisions to be compatible with the goals of this project</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overall Fail. Fit and hospital course are 1. The cause is not revealed, the course looks empty, creatinine changed slightly, and the baseline creatinine is unknown.</w:t>
            </w:r>
          </w:p>
        </w:tc>
        <w:tc>
          <w:tcPr>
            <w:tcW w:type="dxa" w:w="1368"/>
            <w:vAlign w:val="top"/>
          </w:tcPr>
          <w:p>
            <w:pPr>
              <w:spacing w:after="20" w:before="20"/>
            </w:pPr>
            <w:r>
              <w:rPr>
                <w:rFonts w:ascii="Calibri" w:hAnsi="Calibri" w:cs="Calibri"/>
                <w:b w:val="0"/>
                <w:sz w:val="16"/>
              </w:rPr>
              <w:t>Named poor oral intake. Stated the recorded creatinine pair and blood pressure. Did not add a baseline creatinine or a potassium pair.</w:t>
            </w:r>
          </w:p>
        </w:tc>
        <w:tc>
          <w:tcPr>
            <w:tcW w:type="dxa" w:w="1224"/>
            <w:vAlign w:val="top"/>
          </w:tcPr>
          <w:p>
            <w:pPr>
              <w:spacing w:after="20" w:before="20"/>
            </w:pPr>
            <w:r>
              <w:rPr>
                <w:rFonts w:ascii="Calibri" w:hAnsi="Calibri" w:cs="Calibri"/>
                <w:b w:val="0"/>
                <w:sz w:val="16"/>
              </w:rPr>
              <w:t>presentation; admission note; hospital course; laboratories</w:t>
            </w:r>
          </w:p>
        </w:tc>
        <w:tc>
          <w:tcPr>
            <w:tcW w:type="dxa" w:w="1368"/>
            <w:vAlign w:val="top"/>
          </w:tcPr>
          <w:p>
            <w:pPr>
              <w:spacing w:after="20" w:before="20"/>
            </w:pPr>
            <w:r>
              <w:rPr>
                <w:rFonts w:ascii="Calibri" w:hAnsi="Calibri" w:cs="Calibri"/>
                <w:b w:val="0"/>
                <w:sz w:val="16"/>
              </w:rPr>
              <w:t>No precipitant. Creatinine 1.3 mg/dL then 1.2 mg/dL is stored and not discussed. No earlier creatinine.</w:t>
            </w:r>
          </w:p>
        </w:tc>
        <w:tc>
          <w:tcPr>
            <w:tcW w:type="dxa" w:w="1368"/>
            <w:vAlign w:val="top"/>
          </w:tcPr>
          <w:p>
            <w:pPr>
              <w:spacing w:after="20" w:before="20"/>
            </w:pPr>
            <w:r>
              <w:rPr>
                <w:rFonts w:ascii="Calibri" w:hAnsi="Calibri" w:cs="Calibri"/>
                <w:b w:val="0"/>
                <w:sz w:val="16"/>
              </w:rPr>
              <w:t>Poor oral intake for two days. The same creatinine pair. Blood pressure 138/69 mmHg then 124/68 mmHg. No creatinine from before the admission.</w:t>
            </w:r>
          </w:p>
        </w:tc>
        <w:tc>
          <w:tcPr>
            <w:tcW w:type="dxa" w:w="1656"/>
            <w:vAlign w:val="top"/>
          </w:tcPr>
          <w:p>
            <w:pPr>
              <w:spacing w:after="20" w:before="20"/>
            </w:pPr>
            <w:r>
              <w:rPr>
                <w:rFonts w:ascii="Calibri" w:hAnsi="Calibri" w:cs="Calibri"/>
                <w:b w:val="0"/>
                <w:sz w:val="16"/>
              </w:rPr>
              <w:t>The resident cannot connect the stay to a medication decision without a precipitant. Poor intake does not require a new laboratory. That history is synthetic. Version 1 added a clinic creatinine of 1.2 mg/dL six weeks earlier and potassium 4.2 then 4.1 mmol/L. Neither value is in the clean chart, so neither was restored. The README sentence about that baseline describes version 1, not a recovered measurement.</w:t>
            </w:r>
          </w:p>
        </w:tc>
        <w:tc>
          <w:tcPr>
            <w:tcW w:type="dxa" w:w="1296"/>
            <w:vAlign w:val="top"/>
          </w:tcPr>
          <w:p>
            <w:pPr>
              <w:spacing w:after="20" w:before="20"/>
            </w:pPr>
            <w:r>
              <w:rPr>
                <w:rFonts w:ascii="Calibri" w:hAnsi="Calibri" w:cs="Calibri"/>
                <w:b w:val="0"/>
                <w:sz w:val="16"/>
              </w:rPr>
              <w:t>[E1] [E2] [E5]</w:t>
            </w:r>
          </w:p>
        </w:tc>
      </w:tr>
      <w:tr>
        <w:trPr>
          <w:cantSplit/>
        </w:trPr>
        <w:tc>
          <w:tcPr>
            <w:tcW w:type="dxa" w:w="1512"/>
            <w:vAlign w:val="top"/>
          </w:tcPr>
          <w:p>
            <w:pPr>
              <w:spacing w:after="20" w:before="20"/>
            </w:pPr>
            <w:r>
              <w:rPr>
                <w:rFonts w:ascii="Calibri" w:hAnsi="Calibri" w:cs="Calibri"/>
                <w:b w:val="0"/>
                <w:sz w:val="16"/>
              </w:rPr>
              <w:t>The statin was described as taken but not continued. C2 Fail: was the trainee supposed to continue the statin? C3 Fail: no reasoning for stopping the statin.</w:t>
            </w:r>
          </w:p>
        </w:tc>
        <w:tc>
          <w:tcPr>
            <w:tcW w:type="dxa" w:w="1368"/>
            <w:vAlign w:val="top"/>
          </w:tcPr>
          <w:p>
            <w:pPr>
              <w:spacing w:after="20" w:before="20"/>
            </w:pPr>
            <w:r>
              <w:rPr>
                <w:rFonts w:ascii="Calibri" w:hAnsi="Calibri" w:cs="Calibri"/>
                <w:b w:val="0"/>
                <w:sz w:val="16"/>
              </w:rPr>
              <w:t>Removed the sentence that a continued statin had been confirmed. Atorvastatin stays on the list. The chart does not say to continue it.</w:t>
            </w:r>
          </w:p>
        </w:tc>
        <w:tc>
          <w:tcPr>
            <w:tcW w:type="dxa" w:w="1224"/>
            <w:vAlign w:val="top"/>
          </w:tcPr>
          <w:p>
            <w:pPr>
              <w:spacing w:after="20" w:before="20"/>
            </w:pPr>
            <w:r>
              <w:rPr>
                <w:rFonts w:ascii="Calibri" w:hAnsi="Calibri" w:cs="Calibri"/>
                <w:b w:val="0"/>
                <w:sz w:val="16"/>
              </w:rPr>
              <w:t>reconciliation note; medication list; reference discharge plan</w:t>
            </w:r>
          </w:p>
        </w:tc>
        <w:tc>
          <w:tcPr>
            <w:tcW w:type="dxa" w:w="1368"/>
            <w:vAlign w:val="top"/>
          </w:tcPr>
          <w:p>
            <w:pPr>
              <w:spacing w:after="20" w:before="20"/>
            </w:pPr>
            <w:r>
              <w:rPr>
                <w:rFonts w:ascii="Calibri" w:hAnsi="Calibri" w:cs="Calibri"/>
                <w:b w:val="0"/>
                <w:sz w:val="16"/>
              </w:rPr>
              <w:t>The reconciliation note said a pharmacy history confirmed a continued statin, while other sentences mentioned stopped medicines.</w:t>
            </w:r>
          </w:p>
        </w:tc>
        <w:tc>
          <w:tcPr>
            <w:tcW w:type="dxa" w:w="1368"/>
            <w:vAlign w:val="top"/>
          </w:tcPr>
          <w:p>
            <w:pPr>
              <w:spacing w:after="20" w:before="20"/>
            </w:pPr>
            <w:r>
              <w:rPr>
                <w:rFonts w:ascii="Calibri" w:hAnsi="Calibri" w:cs="Calibri"/>
                <w:b w:val="0"/>
                <w:sz w:val="16"/>
              </w:rPr>
              <w:t>The note says a pharmacy fill history was used to verify the home list. Atorvastatin 40 mg daily is on that list. Reference action remains continue.</w:t>
            </w:r>
          </w:p>
        </w:tc>
        <w:tc>
          <w:tcPr>
            <w:tcW w:type="dxa" w:w="1656"/>
            <w:vAlign w:val="top"/>
          </w:tcPr>
          <w:p>
            <w:pPr>
              <w:spacing w:after="20" w:before="20"/>
            </w:pPr>
            <w:r>
              <w:rPr>
                <w:rFonts w:ascii="Calibri" w:hAnsi="Calibri" w:cs="Calibri"/>
                <w:b w:val="0"/>
                <w:sz w:val="16"/>
              </w:rPr>
              <w:t>The clean medication rows continue atorvastatin. The prose made a stop look possible. The revision removes that contradiction and does not replace it with an instruction.</w:t>
            </w:r>
          </w:p>
        </w:tc>
        <w:tc>
          <w:tcPr>
            <w:tcW w:type="dxa" w:w="1296"/>
            <w:vAlign w:val="top"/>
          </w:tcPr>
          <w:p>
            <w:pPr>
              <w:spacing w:after="20" w:before="20"/>
            </w:pPr>
            <w:r>
              <w:rPr>
                <w:rFonts w:ascii="Calibri" w:hAnsi="Calibri" w:cs="Calibri"/>
                <w:b w:val="0"/>
                <w:sz w:val="16"/>
              </w:rPr>
              <w:t>[E1] [E5]</w:t>
            </w:r>
          </w:p>
        </w:tc>
      </w:tr>
      <w:tr>
        <w:trPr>
          <w:cantSplit/>
        </w:trPr>
        <w:tc>
          <w:tcPr>
            <w:tcW w:type="dxa" w:w="1512"/>
            <w:vAlign w:val="top"/>
          </w:tcPr>
          <w:p>
            <w:pPr>
              <w:spacing w:after="20" w:before="20"/>
            </w:pPr>
            <w:r>
              <w:rPr>
                <w:rFonts w:ascii="Calibri" w:hAnsi="Calibri" w:cs="Calibri"/>
                <w:b w:val="0"/>
                <w:sz w:val="16"/>
              </w:rPr>
              <w:t>C4 Fail: creatinine elevated but lisinopril continued. If the creatinine is acute kidney injury, lisinopril should be stopped. C5 Inappropriate / outlier. Overall Exclude.</w:t>
            </w:r>
          </w:p>
        </w:tc>
        <w:tc>
          <w:tcPr>
            <w:tcW w:type="dxa" w:w="1368"/>
            <w:vAlign w:val="top"/>
          </w:tcPr>
          <w:p>
            <w:pPr>
              <w:spacing w:after="20" w:before="20"/>
            </w:pPr>
            <w:r>
              <w:rPr>
                <w:rFonts w:ascii="Calibri" w:hAnsi="Calibri" w:cs="Calibri"/>
                <w:b w:val="0"/>
                <w:sz w:val="16"/>
              </w:rPr>
              <w:t>Reference continues lisinopril. Hold is an acceptable alternative. The uncertainty is marked on the evaluator plan. The resident chart shows the numbers and does not state the action.</w:t>
            </w:r>
          </w:p>
        </w:tc>
        <w:tc>
          <w:tcPr>
            <w:tcW w:type="dxa" w:w="1224"/>
            <w:vAlign w:val="top"/>
          </w:tcPr>
          <w:p>
            <w:pPr>
              <w:spacing w:after="20" w:before="20"/>
            </w:pPr>
            <w:r>
              <w:rPr>
                <w:rFonts w:ascii="Calibri" w:hAnsi="Calibri" w:cs="Calibri"/>
                <w:b w:val="0"/>
                <w:sz w:val="16"/>
              </w:rPr>
              <w:t>reference discharge plan; acceptable alternatives</w:t>
            </w:r>
          </w:p>
        </w:tc>
        <w:tc>
          <w:tcPr>
            <w:tcW w:type="dxa" w:w="1368"/>
            <w:vAlign w:val="top"/>
          </w:tcPr>
          <w:p>
            <w:pPr>
              <w:spacing w:after="20" w:before="20"/>
            </w:pPr>
            <w:r>
              <w:rPr>
                <w:rFonts w:ascii="Calibri" w:hAnsi="Calibri" w:cs="Calibri"/>
                <w:b w:val="0"/>
                <w:sz w:val="16"/>
              </w:rPr>
              <w:t>Reference continues lisinopril. Version 2 already stored a hold alternative. Version 1 did not.</w:t>
            </w:r>
          </w:p>
        </w:tc>
        <w:tc>
          <w:tcPr>
            <w:tcW w:type="dxa" w:w="1368"/>
            <w:vAlign w:val="top"/>
          </w:tcPr>
          <w:p>
            <w:pPr>
              <w:spacing w:after="20" w:before="20"/>
            </w:pPr>
            <w:r>
              <w:rPr>
                <w:rFonts w:ascii="Calibri" w:hAnsi="Calibri" w:cs="Calibri"/>
                <w:b w:val="0"/>
                <w:sz w:val="16"/>
              </w:rPr>
              <w:t>Reference continues lisinopril and records the decision as clinically ambiguous. Hold is acceptable.</w:t>
            </w:r>
          </w:p>
        </w:tc>
        <w:tc>
          <w:tcPr>
            <w:tcW w:type="dxa" w:w="1656"/>
            <w:vAlign w:val="top"/>
          </w:tcPr>
          <w:p>
            <w:pPr>
              <w:spacing w:after="20" w:before="20"/>
            </w:pPr>
            <w:r>
              <w:rPr>
                <w:rFonts w:ascii="Calibri" w:hAnsi="Calibri" w:cs="Calibri"/>
                <w:b w:val="0"/>
                <w:sz w:val="16"/>
              </w:rPr>
              <w:t>The only creatinine values are 1.3 mg/dL and 1.2 mg/dL. The comment says the change is slight and that a baseline is missing, and also says to stop lisinopril if this is acute kidney injury. Those statements do not establish the threshold. Continuing the recorded order is the reference because the change is 0.1 mg/dL and blood pressure fell from 138 to 124 mmHg. Holding it is acceptable because no pre-admission creatinine exists. The original Exclude recommendation is preserved in the historical record.</w:t>
            </w:r>
          </w:p>
        </w:tc>
        <w:tc>
          <w:tcPr>
            <w:tcW w:type="dxa" w:w="1296"/>
            <w:vAlign w:val="top"/>
          </w:tcPr>
          <w:p>
            <w:pPr>
              <w:spacing w:after="20" w:before="20"/>
            </w:pPr>
            <w:r>
              <w:rPr>
                <w:rFonts w:ascii="Calibri" w:hAnsi="Calibri" w:cs="Calibri"/>
                <w:b w:val="0"/>
                <w:sz w:val="16"/>
              </w:rPr>
              <w:t>[E1] [E5] [E6]</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[E2] Inouye SK, Westendorp RGJ, Saczynski JS. Delirium in elderly people. Lancet. 2014;383:911-922. doi:10.1016/S0140-6736(13)60688-1. Supports treating a precipitant of delirium, including metabolic precipitants. It does not establish which precipitant this synthetic patient had.</w:t>
      </w:r>
    </w:p>
    <w:p>
      <w:pPr>
        <w:spacing w:after="120"/>
      </w:pPr>
      <w:r>
        <w:rPr>
          <w:rFonts w:ascii="Calibri" w:hAnsi="Calibri" w:cs="Calibri"/>
          <w:b w:val="0"/>
          <w:sz w:val="22"/>
        </w:rPr>
        <w:t>[E5] Clean pre-injection VAL-802. Creatinine 1.3 mg/dL then 1.2 mg/dL. Blood pressure 138/69 mmHg then 124/68 mmHg. No earlier creatinine and no potassium series are stored. Atorvastatin is on the verified list.</w:t>
      </w:r>
    </w:p>
    <w:p>
      <w:pPr>
        <w:spacing w:after="120"/>
      </w:pPr>
      <w:r>
        <w:rPr>
          <w:rFonts w:ascii="Calibri" w:hAnsi="Calibri" w:cs="Calibri"/>
          <w:b w:val="0"/>
          <w:sz w:val="22"/>
        </w:rPr>
        <w:t>[E6] KDIGO Clinical Practice Guideline for Acute Kidney Injury. Kidney Int Suppl. 2012;2:1-138. Supports reviewing ACE-inhibitor exposure when kidney function may have worsened. It does not create a baseline creatinine.</w:t>
      </w:r>
    </w:p>
    <w:p>
      <w:pPr>
        <w:keepNext/>
        <w:pageBreakBefore/>
      </w:pPr>
      <w:r>
        <w:rPr>
          <w:rFonts w:ascii="Calibri" w:hAnsi="Calibri" w:cs="Calibri"/>
          <w:b/>
          <w:color w:val="1F3A5F"/>
          <w:sz w:val="32"/>
        </w:rPr>
        <w:t>CASE VAL-803</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Male is admitted with one week of fatigue and confusion. Home medicines include hydrochlorothiazide 25 mg daily, lisinopril, atorvastatin, and metformin. Serum sodium is 128 mmol/L on admission. Hydrochlorothiazide is held during the admission. Sodium is 135 mmol/L at discharge. Confusion clears as the sodium rises. Creatinine is 1.0 mg/dL then 1.2 mg/dL. Potassium is 4.4 mmol/L then 4.2 mmol/L.</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fatigue and confusion for one week. Hydrochlorothiazide 25 mg daily is a home medicine. Serum sodium is 128 mmol/L. Creatinine is 1.0 mg/dL. Potassium is 4.4 mmol/L.</w:t>
      </w:r>
    </w:p>
    <w:p>
      <w:pPr>
        <w:pStyle w:val="Heading2"/>
      </w:pPr>
      <w:r>
        <w:rPr>
          <w:rFonts w:ascii="Calibri" w:hAnsi="Calibri"/>
          <w:color w:val="1F3A5F"/>
        </w:rPr>
        <w:t>Hospital course</w:t>
      </w:r>
    </w:p>
    <w:p>
      <w:pPr>
        <w:spacing w:after="120"/>
      </w:pPr>
      <w:r>
        <w:rPr>
          <w:rFonts w:ascii="Calibri" w:hAnsi="Calibri" w:cs="Calibri"/>
          <w:b w:val="0"/>
          <w:sz w:val="22"/>
        </w:rPr>
        <w:t>Serum sodium is 128 mmol/L on admission and 135 mmol/L at discharge. Hydrochlorothiazide is held during the admission. Confusion clears as the sodium rises. Creatinine is 1.0 mg/dL then 1.2 mg/dL. Potassium is 4.4 mmol/L then 4.2 mmol/L. Glucose is 149 mg/dL then 129 mg/dL.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119/69</w:t>
            </w:r>
          </w:p>
        </w:tc>
        <w:tc>
          <w:tcPr>
            <w:tcW w:type="dxa" w:w="1440"/>
            <w:vAlign w:val="top"/>
          </w:tcPr>
          <w:p>
            <w:pPr>
              <w:spacing w:after="20" w:before="20"/>
            </w:pPr>
            <w:r>
              <w:rPr>
                <w:rFonts w:ascii="Calibri" w:hAnsi="Calibri" w:cs="Calibri"/>
                <w:b w:val="0"/>
                <w:sz w:val="20"/>
              </w:rPr>
              <w:t>91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123/70</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149.0</w:t>
            </w:r>
          </w:p>
        </w:tc>
        <w:tc>
          <w:tcPr>
            <w:tcW w:type="dxa" w:w="2448"/>
            <w:vAlign w:val="top"/>
          </w:tcPr>
          <w:p>
            <w:pPr>
              <w:spacing w:after="20" w:before="20"/>
            </w:pPr>
            <w:r>
              <w:rPr>
                <w:rFonts w:ascii="Calibri" w:hAnsi="Calibri" w:cs="Calibri"/>
                <w:b w:val="0"/>
                <w:sz w:val="20"/>
              </w:rPr>
              <w:t>129.0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4.4</w:t>
            </w:r>
          </w:p>
        </w:tc>
        <w:tc>
          <w:tcPr>
            <w:tcW w:type="dxa" w:w="2448"/>
            <w:vAlign w:val="top"/>
          </w:tcPr>
          <w:p>
            <w:pPr>
              <w:spacing w:after="20" w:before="20"/>
            </w:pPr>
            <w:r>
              <w:rPr>
                <w:rFonts w:ascii="Calibri" w:hAnsi="Calibri" w:cs="Calibri"/>
                <w:b w:val="0"/>
                <w:sz w:val="20"/>
              </w:rPr>
              <w:t>4.2</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Sodium [Moles/volume] in Serum or Plasma</w:t>
            </w:r>
          </w:p>
        </w:tc>
        <w:tc>
          <w:tcPr>
            <w:tcW w:type="dxa" w:w="2448"/>
            <w:vAlign w:val="top"/>
          </w:tcPr>
          <w:p>
            <w:pPr>
              <w:spacing w:after="20" w:before="20"/>
            </w:pPr>
            <w:r>
              <w:rPr>
                <w:rFonts w:ascii="Calibri" w:hAnsi="Calibri" w:cs="Calibri"/>
                <w:b w:val="0"/>
                <w:sz w:val="20"/>
              </w:rPr>
              <w:t>128</w:t>
            </w:r>
          </w:p>
        </w:tc>
        <w:tc>
          <w:tcPr>
            <w:tcW w:type="dxa" w:w="2448"/>
            <w:vAlign w:val="top"/>
          </w:tcPr>
          <w:p>
            <w:pPr>
              <w:spacing w:after="20" w:before="20"/>
            </w:pPr>
            <w:r>
              <w:rPr>
                <w:rFonts w:ascii="Calibri" w:hAnsi="Calibri" w:cs="Calibri"/>
                <w:b w:val="0"/>
                <w:sz w:val="20"/>
              </w:rPr>
              <w:t>135</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Status: held; Indication: Essential (primary) hypertension; Held reason: Serum sodium was 128 mmol/L on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Home-health and primary care medication-supply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3 C1 Presentation and demographics 1"/>
                <w:tag w:val="VAL-803-c1-Presentation and demographics-1"/>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2"/>
                <w:tag w:val="VAL-803-c1-Presentation and demographics-2"/>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3"/>
                <w:tag w:val="VAL-803-c1-Presentation and demographics-3"/>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4"/>
                <w:tag w:val="VAL-803-c1-Presentation and demographics-4"/>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1"/>
                <w:tag w:val="VAL-803-c1-Fit between presentation and diagnosis-1"/>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2"/>
                <w:tag w:val="VAL-803-c1-Fit between presentation and diagnosis-2"/>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3"/>
                <w:tag w:val="VAL-803-c1-Fit between presentation and diagnosis-3"/>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4"/>
                <w:tag w:val="VAL-803-c1-Fit between presentation and diagnosis-4"/>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3 C1 Vital signs 1"/>
                <w:tag w:val="VAL-803-c1-Vital signs-1"/>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2"/>
                <w:tag w:val="VAL-803-c1-Vital signs-2"/>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3"/>
                <w:tag w:val="VAL-803-c1-Vital signs-3"/>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4"/>
                <w:tag w:val="VAL-803-c1-Vital signs-4"/>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3 C1 Laboratory findings 1"/>
                <w:tag w:val="VAL-803-c1-Laboratory findings-1"/>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2"/>
                <w:tag w:val="VAL-803-c1-Laboratory findings-2"/>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3"/>
                <w:tag w:val="VAL-803-c1-Laboratory findings-3"/>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4"/>
                <w:tag w:val="VAL-803-c1-Laboratory findings-4"/>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3 C1 Medication regimen 1"/>
                <w:tag w:val="VAL-803-c1-Medication regimen-1"/>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2"/>
                <w:tag w:val="VAL-803-c1-Medication regimen-2"/>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3"/>
                <w:tag w:val="VAL-803-c1-Medication regimen-3"/>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4"/>
                <w:tag w:val="VAL-803-c1-Medication regimen-4"/>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3 C1 Hospital course 1"/>
                <w:tag w:val="VAL-803-c1-Hospital course-1"/>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2"/>
                <w:tag w:val="VAL-803-c1-Hospital course-2"/>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3"/>
                <w:tag w:val="VAL-803-c1-Hospital course-3"/>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4"/>
                <w:tag w:val="VAL-803-c1-Hospital course-4"/>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3 C1 Chart consistency 1"/>
                <w:tag w:val="VAL-803-c1-Chart consistency-1"/>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2"/>
                <w:tag w:val="VAL-803-c1-Chart consistency-2"/>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3"/>
                <w:tag w:val="VAL-803-c1-Chart consistency-3"/>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4"/>
                <w:tag w:val="VAL-803-c1-Chart consistency-4"/>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3 C1 Discharge context and follow-up 1"/>
                <w:tag w:val="VAL-803-c1-Discharge context and follow-up-1"/>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2"/>
                <w:tag w:val="VAL-803-c1-Discharge context and follow-up-2"/>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3"/>
                <w:tag w:val="VAL-803-c1-Discharge context and follow-up-3"/>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4"/>
                <w:tag w:val="VAL-803-c1-Discharge context and follow-up-4"/>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3 c1-overall Pass"/>
                <w:tag w:val="VAL-803-c1-overall-Pass"/>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1-overall Fail"/>
                <w:tag w:val="VAL-803-c1-overall-Fail"/>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3-c1-comment"/>
              <w:id w:val="1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3 c2 Pass"/>
                <w:tag w:val="VAL-803-c2-Pass"/>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2 Fail"/>
                <w:tag w:val="VAL-803-c2-Fail"/>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3-c2-comment"/>
              <w:id w:val="1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stop</w:t>
            </w:r>
          </w:p>
        </w:tc>
        <w:tc>
          <w:tcPr>
            <w:tcW w:type="dxa" w:w="2592"/>
            <w:vAlign w:val="top"/>
          </w:tcPr>
          <w:p>
            <w:pPr>
              <w:spacing w:after="20" w:before="20"/>
            </w:pPr>
            <w:r>
              <w:rPr>
                <w:rFonts w:ascii="Calibri" w:hAnsi="Calibri" w:cs="Calibri"/>
                <w:b w:val="0"/>
                <w:sz w:val="20"/>
              </w:rPr>
              <w:t>hydrochlorothiazide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hydrochlorothiazide 25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Holding through an outpatient sodium check is acceptable. The sodium course is synthetic.</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3 c3 Pass"/>
                <w:tag w:val="VAL-803-c3-Pass"/>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3 Fail"/>
                <w:tag w:val="VAL-803-c3-Fail"/>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3 c4 No"/>
                <w:tag w:val="VAL-803-c4-No"/>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4 Yes"/>
                <w:tag w:val="VAL-803-c4-Ye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3 c5-issue No"/>
                <w:tag w:val="VAL-803-c5-issue-No"/>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issue Yes"/>
                <w:tag w:val="VAL-803-c5-issue-Yes"/>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3 c5-leak No"/>
                <w:tag w:val="VAL-803-c5-leak-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leak Yes"/>
                <w:tag w:val="VAL-803-c5-leak-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3-c5-comment"/>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Easy"/>
                <w:tag w:val="VAL-803-c6-Easy"/>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3 c6 Moderate"/>
                <w:tag w:val="VAL-803-c6-Moderate"/>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Hard"/>
                <w:tag w:val="VAL-803-c6-Hard"/>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3 c6 Inappropriate or outlier"/>
                <w:tag w:val="VAL-803-c6-Inappropriate or outlier"/>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3 overall Accept"/>
                <w:tag w:val="VAL-803-overall-Accept"/>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3 overall Revise"/>
                <w:tag w:val="VAL-803-overall-Revise"/>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3 overall Exclude"/>
                <w:tag w:val="VAL-803-overall-Exclud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3-overall-comment"/>
              <w:id w:val="1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3-reviewer"/>
          <w:id w:val="17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3-date"/>
          <w:id w:val="1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Several issues – delirium diagnosis is unclear (delirium due to known physiologic condition), cause is not revealed during the hospital course. Medication list is fine but no changes that need to be made at discharge. Her creatinine changes so this might be considered clinically relevant or why the patient receives only 7 days of lisinopril.</w:t>
            </w:r>
          </w:p>
        </w:tc>
      </w:tr>
    </w:tbl>
    <w:p>
      <w:pPr>
        <w:spacing w:after="40"/>
      </w:pPr>
    </w:p>
    <w:p>
      <w:pPr>
        <w:spacing w:after="120"/>
      </w:pPr>
      <w:r>
        <w:rPr>
          <w:rFonts w:ascii="Calibri" w:hAnsi="Calibri" w:cs="Calibri"/>
          <w:b w:val="0"/>
          <w:sz w:val="22"/>
        </w:rPr>
        <w:t>C2 question: Does the clinical case actually contain the intended medication-reconciliation or transition-of-care problem described above, and does it match the intended category?</w:t>
      </w:r>
    </w:p>
    <w:p>
      <w:pPr>
        <w:spacing w:after="120"/>
      </w:pPr>
      <w:r>
        <w:rPr>
          <w:rFonts w:ascii="Calibri" w:hAnsi="Calibri" w:cs="Calibri"/>
          <w:b w:val="0"/>
          <w:sz w:val="22"/>
        </w:rPr>
        <w:t>C2: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C3 question: Could an internal-medicine resident identify and resolve the intended problem using only the clinical information provided in the patient-facing case?</w:t>
      </w:r>
    </w:p>
    <w:p>
      <w:pPr>
        <w:spacing w:after="120"/>
      </w:pPr>
      <w:r>
        <w:rPr>
          <w:rFonts w:ascii="Calibri" w:hAnsi="Calibri" w:cs="Calibri"/>
          <w:b w:val="0"/>
          <w:sz w:val="22"/>
        </w:rPr>
        <w:t>C3: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Apart from the intended assessment problem, does the case contain another clinically meaningful medication-reconciliation or transition-of-care problem that a reasonable resident could interpret as an alternative target?</w:t>
      </w:r>
    </w:p>
    <w:p>
      <w:pPr>
        <w:spacing w:after="120"/>
      </w:pPr>
      <w:r>
        <w:rPr>
          <w:rFonts w:ascii="Calibri" w:hAnsi="Calibri" w:cs="Calibri"/>
          <w:b w:val="0"/>
          <w:sz w:val="22"/>
        </w:rPr>
        <w:t>C4: NOT COMPLETED IN ROUND 1</w:t>
      </w:r>
    </w:p>
    <w:p>
      <w:pPr>
        <w:spacing w:after="120"/>
      </w:pPr>
      <w:r>
        <w:rPr>
          <w:rFonts w:ascii="Calibri" w:hAnsi="Calibri" w:cs="Calibri"/>
          <w:b w:val="0"/>
          <w:sz w:val="22"/>
        </w:rPr>
        <w:t>C4 issue: NOT COMPLETED IN ROUND 1</w:t>
      </w:r>
    </w:p>
    <w:p>
      <w:pPr>
        <w:spacing w:after="120"/>
      </w:pPr>
      <w:r>
        <w:rPr>
          <w:rFonts w:ascii="Calibri" w:hAnsi="Calibri" w:cs="Calibri"/>
          <w:b w:val="0"/>
          <w:sz w:val="22"/>
        </w:rPr>
        <w:t>C4 location: NOT COMPLETED IN ROUND 1</w:t>
      </w:r>
    </w:p>
    <w:p>
      <w:pPr>
        <w:spacing w:after="120"/>
      </w:pPr>
      <w:r>
        <w:rPr>
          <w:rFonts w:ascii="Calibri" w:hAnsi="Calibri" w:cs="Calibri"/>
          <w:b w:val="0"/>
          <w:sz w:val="22"/>
        </w:rPr>
        <w:t>C4 clinical meaning: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Reviewer: NOT COMPLETED IN ROUND 1. Date: NOT COMPLETED IN ROUND 1.</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overall Fail. Fit and hospital course are 1. The cause is not revealed. The medication list was called acceptable and no discharge change was requested, then the reviewer asked why lisinopril was supplied for 7 days and what the creatinine did. C2 through the overall recommendation were not completed.</w:t>
            </w:r>
          </w:p>
        </w:tc>
        <w:tc>
          <w:tcPr>
            <w:tcW w:type="dxa" w:w="1368"/>
            <w:vAlign w:val="top"/>
          </w:tcPr>
          <w:p>
            <w:pPr>
              <w:spacing w:after="20" w:before="20"/>
            </w:pPr>
            <w:r>
              <w:rPr>
                <w:rFonts w:ascii="Calibri" w:hAnsi="Calibri" w:cs="Calibri"/>
                <w:b w:val="0"/>
                <w:sz w:val="16"/>
              </w:rPr>
              <w:t>Added a synthetic sodium course and an inpatient hold of hydrochlorothiazide so the delirium has a visible precipitant. Removed the sentence that said every medicine is continued and none is stopped. Kept the 30-day lisinopril supply on the hidden reference.</w:t>
            </w:r>
          </w:p>
        </w:tc>
        <w:tc>
          <w:tcPr>
            <w:tcW w:type="dxa" w:w="1224"/>
            <w:vAlign w:val="top"/>
          </w:tcPr>
          <w:p>
            <w:pPr>
              <w:spacing w:after="20" w:before="20"/>
            </w:pPr>
            <w:r>
              <w:rPr>
                <w:rFonts w:ascii="Calibri" w:hAnsi="Calibri" w:cs="Calibri"/>
                <w:b w:val="0"/>
                <w:sz w:val="16"/>
              </w:rPr>
              <w:t>presentation; admission note; hospital course; laboratories; inpatient medications; reference discharge plan</w:t>
            </w:r>
          </w:p>
        </w:tc>
        <w:tc>
          <w:tcPr>
            <w:tcW w:type="dxa" w:w="1368"/>
            <w:vAlign w:val="top"/>
          </w:tcPr>
          <w:p>
            <w:pPr>
              <w:spacing w:after="20" w:before="20"/>
            </w:pPr>
            <w:r>
              <w:rPr>
                <w:rFonts w:ascii="Calibri" w:hAnsi="Calibri" w:cs="Calibri"/>
                <w:b w:val="0"/>
                <w:sz w:val="16"/>
              </w:rPr>
              <w:t>No sodium values. Hydrochlorothiazide is active. The version 2 course says the four medicines are continued and no discharge medicine is stopped. The reviewed readable case gave lisinopril 7 days.</w:t>
            </w:r>
          </w:p>
        </w:tc>
        <w:tc>
          <w:tcPr>
            <w:tcW w:type="dxa" w:w="1368"/>
            <w:vAlign w:val="top"/>
          </w:tcPr>
          <w:p>
            <w:pPr>
              <w:spacing w:after="20" w:before="20"/>
            </w:pPr>
            <w:r>
              <w:rPr>
                <w:rFonts w:ascii="Calibri" w:hAnsi="Calibri" w:cs="Calibri"/>
                <w:b w:val="0"/>
                <w:sz w:val="16"/>
              </w:rPr>
              <w:t>Sodium is 128 mmol/L on admission and 135 mmol/L at discharge. Hydrochlorothiazide is a home medicine and is held on the inpatient list while the sodium is 128 mmol/L. Confusion clears as the sodium rises. Creatinine is 1.0 mg/dL then 1.2 mg/dL. The reference stops hydrochlorothiazide. A hold pending an outpatient sodium check is an acceptable alternative. Lisinopril duration is 30 days. The resident chart does not state either discharge action.</w:t>
            </w:r>
          </w:p>
        </w:tc>
        <w:tc>
          <w:tcPr>
            <w:tcW w:type="dxa" w:w="1656"/>
            <w:vAlign w:val="top"/>
          </w:tcPr>
          <w:p>
            <w:pPr>
              <w:spacing w:after="20" w:before="20"/>
            </w:pPr>
            <w:r>
              <w:rPr>
                <w:rFonts w:ascii="Calibri" w:hAnsi="Calibri" w:cs="Calibri"/>
                <w:b w:val="0"/>
                <w:sz w:val="16"/>
              </w:rPr>
              <w:t>Hydrochlorothiazide 25 mg daily is already on the clean medication list. Thiazides can cause hyponatremia, and hyponatremia is a recognized delirium precipitant. The sodium values are not in the clean laboratories. They are a synthetic course chosen so the resident can see a mechanism and a treatment response. Sodium 128 mmol/L is low enough to explain confusion and is a value at which holding the offending thiazide is ordinary. Sodium 135 mmol/L is a recovery into the normal range, paired with the recorded statement that cognition returned. The version 2 sentence that listed the discharge actions is removed because it is the answer. The 7-day supply is the injected discrepancy. The preserved reference uses 30 days. Later Round 1 items stay incomplete.</w:t>
            </w:r>
          </w:p>
        </w:tc>
        <w:tc>
          <w:tcPr>
            <w:tcW w:type="dxa" w:w="1296"/>
            <w:vAlign w:val="top"/>
          </w:tcPr>
          <w:p>
            <w:pPr>
              <w:spacing w:after="20" w:before="20"/>
            </w:pPr>
            <w:r>
              <w:rPr>
                <w:rFonts w:ascii="Calibri" w:hAnsi="Calibri" w:cs="Calibri"/>
                <w:b w:val="0"/>
                <w:sz w:val="16"/>
              </w:rPr>
              <w:t>[E1] [E2] [E7] [E8]</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[E2] Inouye SK, Westendorp RGJ, Saczynski JS. Delirium in elderly people. Lancet. 2014;383:911-922. doi:10.1016/S0140-6736(13)60688-1. Supports treating a precipitant of delirium, including metabolic precipitants. It does not establish which precipitant this synthetic patient had.</w:t>
      </w:r>
    </w:p>
    <w:p>
      <w:pPr>
        <w:spacing w:after="120"/>
      </w:pPr>
      <w:r>
        <w:rPr>
          <w:rFonts w:ascii="Calibri" w:hAnsi="Calibri" w:cs="Calibri"/>
          <w:b w:val="0"/>
          <w:sz w:val="22"/>
        </w:rPr>
        <w:t>[E7] Clean pre-injection VAL-803. Hydrochlorothiazide 25 mg daily is on the list. Creatinine 1.0 mg/dL then 1.2 mg/dL. Potassium 4.4 mmol/L then 4.2 mmol/L. No sodium is stored. Evaluator lisinopril duration is 30 days. The reviewed readable case gave lisinopril 7 days.</w:t>
      </w:r>
    </w:p>
    <w:p>
      <w:pPr>
        <w:spacing w:after="120"/>
      </w:pPr>
      <w:r>
        <w:rPr>
          <w:rFonts w:ascii="Calibri" w:hAnsi="Calibri" w:cs="Calibri"/>
          <w:b w:val="0"/>
          <w:sz w:val="22"/>
        </w:rPr>
        <w:t>[E8] Liamis G, Milionis H, Elisaf M. A review of drug-induced hyponatremia. Am J Kidney Dis. 2008;52:144-153. doi:10.1053/j.ajkd.2008.03.004. Thiazides are a common cause of hyponatremia. Hydrochlorothiazide labeling, DailyMed setid 9f0beacd-4c41-432d-b7d6-e779ae4c1b99. The citations support plausibility of the synthetic sodium course. They do not show that those sodium values were recovered from a source chart.</w:t>
      </w:r>
    </w:p>
    <w:p>
      <w:pPr>
        <w:keepNext/>
        <w:pageBreakBefore/>
      </w:pPr>
      <w:r>
        <w:rPr>
          <w:rFonts w:ascii="Calibri" w:hAnsi="Calibri" w:cs="Calibri"/>
          <w:b/>
          <w:color w:val="1F3A5F"/>
          <w:sz w:val="32"/>
        </w:rPr>
        <w:t>CASE VAL-805</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Female is admitted with acute systolic heart failure. Dyspnea, edema, and orthopnea have been present for one week. Home medicines are oral furosemide 40 mg once daily, atorvastatin, and metoprolol succinate 25 mg once daily. The inpatient furosemide order is also 40 mg oral once daily. Weight is 81 kg on admission and 78 kg at discharge. Dry weight is 73 kg.</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acute systolic heart failure. Symptoms are dyspnea, edema, and orthopnea for one week. Home and inpatient furosemide are both recorded as 40 mg oral once daily. No echocardiogram is recorded.</w:t>
      </w:r>
    </w:p>
    <w:p>
      <w:pPr>
        <w:pStyle w:val="Heading2"/>
      </w:pPr>
      <w:r>
        <w:rPr>
          <w:rFonts w:ascii="Calibri" w:hAnsi="Calibri"/>
          <w:color w:val="1F3A5F"/>
        </w:rPr>
        <w:t>Hospital course</w:t>
      </w:r>
    </w:p>
    <w:p>
      <w:pPr>
        <w:spacing w:after="120"/>
      </w:pPr>
      <w:r>
        <w:rPr>
          <w:rFonts w:ascii="Calibri" w:hAnsi="Calibri" w:cs="Calibri"/>
          <w:b w:val="0"/>
          <w:sz w:val="22"/>
        </w:rPr>
        <w:t>Dyspnea, edema, and orthopnea were present for one week. The chest radiograph shows pulmonary edema without pneumonia. The recorded inpatient furosemide order is 40 mg oral once daily. Weight is 81 kg on admission and 78 kg at discharge. Dry weight is 73 kg. One intake-and-output day is stored, hospital day 3, with intake 1418 mL, output 2463 mL, and net -1045 mL. Creatinine is 1.7 mg/dL then 0.9 mg/dL. Potassium is 4.7 mmol/L then 4.3 mmol/L. B-type natriuretic peptide is 1120 pg/mL then 369 pg/mL. Blood pressure is 109/82 mmHg then 110/84 mmHg. Oxygen saturation is 92 percent then 98 percent. No echocardiogram and no ejection fraction are recorded. Metoprolol succinate 25 mg daily was administered.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109/82</w:t>
            </w:r>
          </w:p>
        </w:tc>
        <w:tc>
          <w:tcPr>
            <w:tcW w:type="dxa" w:w="1440"/>
            <w:vAlign w:val="top"/>
          </w:tcPr>
          <w:p>
            <w:pPr>
              <w:spacing w:after="20" w:before="20"/>
            </w:pPr>
            <w:r>
              <w:rPr>
                <w:rFonts w:ascii="Calibri" w:hAnsi="Calibri" w:cs="Calibri"/>
                <w:b w:val="0"/>
                <w:sz w:val="20"/>
              </w:rPr>
              <w:t>93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92.00 %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110/84</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1.7</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4.3</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1120.0</w:t>
            </w:r>
          </w:p>
        </w:tc>
        <w:tc>
          <w:tcPr>
            <w:tcW w:type="dxa" w:w="2448"/>
            <w:vAlign w:val="top"/>
          </w:tcPr>
          <w:p>
            <w:pPr>
              <w:spacing w:after="20" w:before="20"/>
            </w:pPr>
            <w:r>
              <w:rPr>
                <w:rFonts w:ascii="Calibri" w:hAnsi="Calibri" w:cs="Calibri"/>
                <w:b w:val="0"/>
                <w:sz w:val="20"/>
              </w:rPr>
              <w:t>369.0</w:t>
            </w:r>
          </w:p>
        </w:tc>
        <w:tc>
          <w:tcPr>
            <w:tcW w:type="dxa" w:w="1152"/>
            <w:vAlign w:val="top"/>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t>73.000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1418</w:t>
            </w:r>
          </w:p>
        </w:tc>
        <w:tc>
          <w:tcPr>
            <w:tcW w:type="dxa" w:w="2448"/>
            <w:vAlign w:val="top"/>
          </w:tcPr>
          <w:p>
            <w:pPr>
              <w:spacing w:after="20" w:before="20"/>
            </w:pPr>
            <w:r>
              <w:rPr>
                <w:rFonts w:ascii="Calibri" w:hAnsi="Calibri" w:cs="Calibri"/>
                <w:b w:val="0"/>
                <w:sz w:val="20"/>
              </w:rPr>
              <w:t>2463</w:t>
            </w:r>
          </w:p>
        </w:tc>
        <w:tc>
          <w:tcPr>
            <w:tcW w:type="dxa" w:w="2448"/>
            <w:vAlign w:val="top"/>
          </w:tcPr>
          <w:p>
            <w:pPr>
              <w:spacing w:after="20" w:before="20"/>
            </w:pPr>
            <w:r>
              <w:rPr>
                <w:rFonts w:ascii="Calibri" w:hAnsi="Calibri" w:cs="Calibri"/>
                <w:b w:val="0"/>
                <w:sz w:val="20"/>
              </w:rPr>
              <w:t>-1045</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edema without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Pulmonary edema is present on the admission radiograph.</w:t>
            </w:r>
          </w:p>
        </w:tc>
        <w:tc>
          <w:tcPr>
            <w:tcW w:type="dxa" w:w="3264"/>
            <w:vAlign w:val="top"/>
          </w:tcPr>
          <w:p>
            <w:pPr>
              <w:spacing w:after="20" w:before="20"/>
            </w:pPr>
            <w:r>
              <w:rPr>
                <w:rFonts w:ascii="Calibri" w:hAnsi="Calibri" w:cs="Calibri"/>
                <w:b w:val="0"/>
                <w:sz w:val="20"/>
              </w:rPr>
              <w:t>No echocardiogram is recorded in this chart.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Heart-failure clinic after diuresis</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5 C1 Presentation and demographics 1"/>
                <w:tag w:val="VAL-805-c1-Presentation and demographics-1"/>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2"/>
                <w:tag w:val="VAL-805-c1-Presentation and demographics-2"/>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3"/>
                <w:tag w:val="VAL-805-c1-Presentation and demographics-3"/>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4"/>
                <w:tag w:val="VAL-805-c1-Presentation and demographics-4"/>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1"/>
                <w:tag w:val="VAL-805-c1-Fit between presentation and diagnosis-1"/>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2"/>
                <w:tag w:val="VAL-805-c1-Fit between presentation and diagnosis-2"/>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3"/>
                <w:tag w:val="VAL-805-c1-Fit between presentation and diagnosis-3"/>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4"/>
                <w:tag w:val="VAL-805-c1-Fit between presentation and diagnosis-4"/>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5 C1 Vital signs 1"/>
                <w:tag w:val="VAL-805-c1-Vital signs-1"/>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2"/>
                <w:tag w:val="VAL-805-c1-Vital signs-2"/>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3"/>
                <w:tag w:val="VAL-805-c1-Vital signs-3"/>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4"/>
                <w:tag w:val="VAL-805-c1-Vital signs-4"/>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5 C1 Laboratory findings 1"/>
                <w:tag w:val="VAL-805-c1-Laboratory findings-1"/>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2"/>
                <w:tag w:val="VAL-805-c1-Laboratory findings-2"/>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3"/>
                <w:tag w:val="VAL-805-c1-Laboratory findings-3"/>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4"/>
                <w:tag w:val="VAL-805-c1-Laboratory findings-4"/>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5 C1 Medication regimen 1"/>
                <w:tag w:val="VAL-805-c1-Medication regimen-1"/>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2"/>
                <w:tag w:val="VAL-805-c1-Medication regimen-2"/>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3"/>
                <w:tag w:val="VAL-805-c1-Medication regimen-3"/>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4"/>
                <w:tag w:val="VAL-805-c1-Medication regimen-4"/>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5 C1 Hospital course 1"/>
                <w:tag w:val="VAL-805-c1-Hospital course-1"/>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2"/>
                <w:tag w:val="VAL-805-c1-Hospital course-2"/>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3"/>
                <w:tag w:val="VAL-805-c1-Hospital course-3"/>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4"/>
                <w:tag w:val="VAL-805-c1-Hospital course-4"/>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5 C1 Chart consistency 1"/>
                <w:tag w:val="VAL-805-c1-Chart consistency-1"/>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2"/>
                <w:tag w:val="VAL-805-c1-Chart consistency-2"/>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3"/>
                <w:tag w:val="VAL-805-c1-Chart consistency-3"/>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4"/>
                <w:tag w:val="VAL-805-c1-Chart consistency-4"/>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5 C1 Discharge context and follow-up 1"/>
                <w:tag w:val="VAL-805-c1-Discharge context and follow-up-1"/>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2"/>
                <w:tag w:val="VAL-805-c1-Discharge context and follow-up-2"/>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3"/>
                <w:tag w:val="VAL-805-c1-Discharge context and follow-up-3"/>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4"/>
                <w:tag w:val="VAL-805-c1-Discharge context and follow-up-4"/>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5 c1-overall Pass"/>
                <w:tag w:val="VAL-805-c1-overall-Pass"/>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1-overall Fail"/>
                <w:tag w:val="VAL-805-c1-overall-Fail"/>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5-c1-comment"/>
              <w:id w:val="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5 c2 Pass"/>
                <w:tag w:val="VAL-805-c2-Pass"/>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2 Fail"/>
                <w:tag w:val="VAL-805-c2-Fail"/>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5-c2-comment"/>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change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furosemide 40 MG Oral Tablet</w:t>
            </w:r>
          </w:p>
        </w:tc>
        <w:tc>
          <w:tcPr>
            <w:tcW w:type="dxa" w:w="2016"/>
            <w:vAlign w:val="top"/>
          </w:tcPr>
          <w:p>
            <w:pPr>
              <w:spacing w:after="20" w:before="20"/>
            </w:pPr>
            <w:r>
              <w:rPr>
                <w:rFonts w:ascii="Calibri" w:hAnsi="Calibri" w:cs="Calibri"/>
                <w:b w:val="0"/>
                <w:sz w:val="20"/>
              </w:rPr>
              <w:t>continue</w:t>
            </w:r>
          </w:p>
        </w:tc>
        <w:tc>
          <w:tcPr>
            <w:tcW w:type="dxa" w:w="4608"/>
            <w:vAlign w:val="top"/>
          </w:tcPr>
          <w:p>
            <w:pPr>
              <w:spacing w:after="20" w:before="20"/>
            </w:pPr>
            <w:r>
              <w:rPr>
                <w:rFonts w:ascii="Calibri" w:hAnsi="Calibri" w:cs="Calibri"/>
                <w:b w:val="0"/>
                <w:sz w:val="20"/>
              </w:rPr>
              <w:t>Continuing 40 mg oral once daily is acceptable. Natriuretic peptide fell from 1120 to 369 pg/mL and oxygen saturation rose from 92 to 98 percent.</w:t>
            </w:r>
          </w:p>
        </w:tc>
      </w:tr>
      <w:tr>
        <w:trPr>
          <w:cantSplit/>
        </w:trPr>
        <w:tc>
          <w:tcPr>
            <w:tcW w:type="dxa" w:w="3168"/>
            <w:vAlign w:val="top"/>
          </w:tcPr>
          <w:p>
            <w:pPr>
              <w:spacing w:after="20" w:before="20"/>
            </w:pPr>
            <w:r>
              <w:rPr>
                <w:rFonts w:ascii="Calibri" w:hAnsi="Calibri" w:cs="Calibri"/>
                <w:b w:val="0"/>
                <w:sz w:val="20"/>
              </w:rPr>
              <w:t>Additional systolic heart-failure therapy</w:t>
            </w:r>
          </w:p>
        </w:tc>
        <w:tc>
          <w:tcPr>
            <w:tcW w:type="dxa" w:w="2016"/>
            <w:vAlign w:val="top"/>
          </w:tcPr>
          <w:p>
            <w:pPr>
              <w:spacing w:after="20" w:before="20"/>
            </w:pPr>
            <w:r>
              <w:rPr>
                <w:rFonts w:ascii="Calibri" w:hAnsi="Calibri" w:cs="Calibri"/>
                <w:b w:val="0"/>
                <w:sz w:val="20"/>
              </w:rPr>
              <w:t>start</w:t>
            </w:r>
          </w:p>
        </w:tc>
        <w:tc>
          <w:tcPr>
            <w:tcW w:type="dxa" w:w="4608"/>
            <w:vAlign w:val="top"/>
          </w:tcPr>
          <w:p>
            <w:pPr>
              <w:spacing w:after="20" w:before="20"/>
            </w:pPr>
            <w:r>
              <w:rPr>
                <w:rFonts w:ascii="Calibri" w:hAnsi="Calibri" w:cs="Calibri"/>
                <w:b w:val="0"/>
                <w:sz w:val="20"/>
              </w:rPr>
              <w:t>An ACE inhibitor, ARNI, SGLT2 inhibitor, or mineralocorticoid antagonist is acceptable and not required. No ejection fraction is recorded. Discharge blood pressure is 110/84 mmHg, creatinine is 0.9 mg/dL, and potassium is 4.3 mmol/L. Admission creatinine was 1.7 mg/dL.</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Discharge weight is 78 kg and dry weight is 73 kg. Inpatient furosemide is 40 mg oral once daily. Creatinine is 0.9 mg/dL, potassium is 4.3 mmol/L, and blood pressure is 110/84 mmHg. No ejection fraction is recorded. Which diuretic change, if any, is required, and which additional heart-failure medicines are only acceptable?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5-adjudication"/>
              <w:id w:val="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5 c3 Pass"/>
                <w:tag w:val="VAL-805-c3-Pass"/>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3 Fail"/>
                <w:tag w:val="VAL-805-c3-Fail"/>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5 c4 No"/>
                <w:tag w:val="VAL-805-c4-No"/>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4 Yes"/>
                <w:tag w:val="VAL-805-c4-Yes"/>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5 c5-issue No"/>
                <w:tag w:val="VAL-805-c5-issue-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issue Yes"/>
                <w:tag w:val="VAL-805-c5-issue-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5 c5-leak No"/>
                <w:tag w:val="VAL-805-c5-leak-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leak Yes"/>
                <w:tag w:val="VAL-805-c5-leak-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5-c5-comment"/>
              <w:id w:val="2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Easy"/>
                <w:tag w:val="VAL-805-c6-Easy"/>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5 c6 Moderate"/>
                <w:tag w:val="VAL-805-c6-Moderat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Hard"/>
                <w:tag w:val="VAL-805-c6-Hard"/>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5 c6 Inappropriate or outlier"/>
                <w:tag w:val="VAL-805-c6-Inappropriate or outlier"/>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5 overall Accept"/>
                <w:tag w:val="VAL-805-overall-Accept"/>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5 overall Revise"/>
                <w:tag w:val="VAL-805-overall-Revis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5 overall Exclude"/>
                <w:tag w:val="VAL-805-overall-Exclud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5-overall-comment"/>
              <w:id w:val="2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5-reviewer"/>
          <w:id w:val="2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5-date"/>
          <w:id w:val="2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 — source selected more than one score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Clinical presentation was mostly clear and understandable. The vitals and lab trends make sense. The weight should be closer to dry weight at the time of discharge. The medications during hospitalization would not be the same as the home regimen - the lasix would be given IV and increased. Additionally, it would be more realistic to have several days of input and output data, as well as data on what medications the patient received during the hospitalization. It would be helpful to have either notes from cardiology or echocardiogram data and require the trainee to add additional medications to the patient’s regimen or adjust their dose of lasix.</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The discharge weight not being close to the patient’s dry weight is confusing and suggests that the patient is not in fact ready for discharge</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Pass</w:t>
      </w:r>
    </w:p>
    <w:p>
      <w:pPr>
        <w:spacing w:after="120"/>
      </w:pPr>
      <w:r>
        <w:rPr>
          <w:rFonts w:ascii="Calibri" w:hAnsi="Calibri" w:cs="Calibri"/>
          <w:b w:val="0"/>
          <w:sz w:val="22"/>
        </w:rPr>
        <w:t>C4 issue: NOT COMPLETED IN ROUND 1</w:t>
      </w:r>
    </w:p>
    <w:p>
      <w:pPr>
        <w:spacing w:after="120"/>
      </w:pPr>
      <w:r>
        <w:rPr>
          <w:rFonts w:ascii="Calibri" w:hAnsi="Calibri" w:cs="Calibri"/>
          <w:b w:val="0"/>
          <w:sz w:val="22"/>
        </w:rPr>
        <w:t>C4 location: NOT COMPLETED IN ROUND 1</w:t>
      </w:r>
    </w:p>
    <w:p>
      <w:pPr>
        <w:spacing w:after="120"/>
      </w:pPr>
      <w:r>
        <w:rPr>
          <w:rFonts w:ascii="Calibri" w:hAnsi="Calibri" w:cs="Calibri"/>
          <w:b w:val="0"/>
          <w:sz w:val="22"/>
        </w:rPr>
        <w:t>C4 clinical meaning: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Moderate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We need to add further details to the hospital course so there is a greater understanding of what diuresis the patient was receiving during the hospitalization (should not be the same as the patient’s home regimen). The trainee should have to make decisions on additional medications that should be added to the patient’s regimen – i.e. other GDMT such as ACE/ARB, SGLT2i, MRA</w:t>
            </w:r>
          </w:p>
        </w:tc>
      </w:tr>
    </w:tbl>
    <w:p>
      <w:pPr>
        <w:spacing w:after="40"/>
      </w:pPr>
    </w:p>
    <w:p>
      <w:pPr>
        <w:spacing w:after="120"/>
      </w:pPr>
      <w:r>
        <w:rPr>
          <w:rFonts w:ascii="Calibri" w:hAnsi="Calibri" w:cs="Calibri"/>
          <w:b w:val="0"/>
          <w:sz w:val="22"/>
        </w:rPr>
        <w:t>Reviewer: KO. Date: 10/5/2026.</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hospital course is 2. Medication regimen is both 2 and 3. The discharge weight is not close to the dry weight. Inpatient furosemide would be intravenous and increased. More intake-and-output days and an echocardiogram or cardiology recommendation were requested. Overall Revise: the resident should decide about additional heart-failure medicines.</w:t>
            </w:r>
          </w:p>
        </w:tc>
        <w:tc>
          <w:tcPr>
            <w:tcW w:type="dxa" w:w="1368"/>
            <w:vAlign w:val="top"/>
          </w:tcPr>
          <w:p>
            <w:pPr>
              <w:spacing w:after="20" w:before="20"/>
            </w:pPr>
            <w:r>
              <w:rPr>
                <w:rFonts w:ascii="Calibri" w:hAnsi="Calibri" w:cs="Calibri"/>
                <w:b w:val="0"/>
                <w:sz w:val="16"/>
              </w:rPr>
              <w:t>Kept the source weights, the single intake-and-output day, the oral 40 mg inpatient order, and the source laboratories. Did not add an intravenous dose, extra fluid days, or an ejection fraction. The hidden reference intensifies furosemide to 40 mg oral twice daily. Continuing once daily is an acceptable alternative. The codebook question uses only facts that are in the chart.</w:t>
            </w:r>
          </w:p>
        </w:tc>
        <w:tc>
          <w:tcPr>
            <w:tcW w:type="dxa" w:w="1224"/>
            <w:vAlign w:val="top"/>
          </w:tcPr>
          <w:p>
            <w:pPr>
              <w:spacing w:after="20" w:before="20"/>
            </w:pPr>
            <w:r>
              <w:rPr>
                <w:rFonts w:ascii="Calibri" w:hAnsi="Calibri" w:cs="Calibri"/>
                <w:b w:val="0"/>
                <w:sz w:val="16"/>
              </w:rPr>
              <w:t>hospital course; consultations; reference discharge plan; acceptable alternatives</w:t>
            </w:r>
          </w:p>
        </w:tc>
        <w:tc>
          <w:tcPr>
            <w:tcW w:type="dxa" w:w="1368"/>
            <w:vAlign w:val="top"/>
          </w:tcPr>
          <w:p>
            <w:pPr>
              <w:spacing w:after="20" w:before="20"/>
            </w:pPr>
            <w:r>
              <w:rPr>
                <w:rFonts w:ascii="Calibri" w:hAnsi="Calibri" w:cs="Calibri"/>
                <w:b w:val="0"/>
                <w:sz w:val="16"/>
              </w:rPr>
              <w:t>Version 2 states oral 40 mg once daily and weights 81 kg, 78 kg, and dry weight 73 kg, and the reference continues that dose. Version 1 replaces the weights with 86 kg, 83 kg, and 80 kg, changes inpatient furosemide to 40 mg intravenous twice daily, and cites an ejection fraction of 30 percent that is not stored.</w:t>
            </w:r>
          </w:p>
        </w:tc>
        <w:tc>
          <w:tcPr>
            <w:tcW w:type="dxa" w:w="1368"/>
            <w:vAlign w:val="top"/>
          </w:tcPr>
          <w:p>
            <w:pPr>
              <w:spacing w:after="20" w:before="20"/>
            </w:pPr>
            <w:r>
              <w:rPr>
                <w:rFonts w:ascii="Calibri" w:hAnsi="Calibri" w:cs="Calibri"/>
                <w:b w:val="0"/>
                <w:sz w:val="16"/>
              </w:rPr>
              <w:t>Admission weight 81 kg, discharge weight 78 kg, dry weight 73 kg. Hospital day 3 intake 1418 mL, output 2463 mL, net -1045 mL. Inpatient furosemide remains 40 mg oral once daily. Creatinine 1.7 then 0.9 mg/dL. Potassium 4.7 then 4.3 mmol/L. Natriuretic peptide 1120 then 369 pg/mL. Blood pressure 109/82 then 110/84 mmHg. No ejection fraction. Reference frequency is twice daily. Continue once daily is acceptable. An additional drug class is acceptable and not required.</w:t>
            </w:r>
          </w:p>
        </w:tc>
        <w:tc>
          <w:tcPr>
            <w:tcW w:type="dxa" w:w="1656"/>
            <w:vAlign w:val="top"/>
          </w:tcPr>
          <w:p>
            <w:pPr>
              <w:spacing w:after="20" w:before="20"/>
            </w:pPr>
            <w:r>
              <w:rPr>
                <w:rFonts w:ascii="Calibri" w:hAnsi="Calibri" w:cs="Calibri"/>
                <w:b w:val="0"/>
                <w:sz w:val="16"/>
              </w:rPr>
              <w:t>The recorded weights do not show a return to dry weight, so a reference that simply continues the same oral dose treats an unfinished diuresis as complete. That is clinically inconsistent. Intravenous 40 mg twice daily and the 86-to-80 kg series are not in the clean chart, and the project furosemide regimen is oral 40 mg once daily and excludes the injection product. Those version 1 numbers were not kept. Furosemide labeling allows a 20 to 80 mg dose to be repeated. Twice-daily oral 40 mg is an intensification inside that labeled range. It is one defensible discharge response to a weight that is still 5 kg above dry weight. Continuing the current dose is also defensible because natriuretic peptide, oxygen saturation, and creatinine improved, so it is an acceptable alternative rather than a hidden contradiction. No ejection fraction was added. The diagnosis already says systolic heart failure. Guideline-directed classes remain optional at a discharge pressure of 110/84 mmHg after an admission creatinine of 1.7 mg/dL. The resident sees the evidence and not the chosen dose.</w:t>
            </w:r>
          </w:p>
        </w:tc>
        <w:tc>
          <w:tcPr>
            <w:tcW w:type="dxa" w:w="1296"/>
            <w:vAlign w:val="top"/>
          </w:tcPr>
          <w:p>
            <w:pPr>
              <w:spacing w:after="20" w:before="20"/>
            </w:pPr>
            <w:r>
              <w:rPr>
                <w:rFonts w:ascii="Calibri" w:hAnsi="Calibri" w:cs="Calibri"/>
                <w:b w:val="0"/>
                <w:sz w:val="16"/>
              </w:rPr>
              <w:t>[E1] [E9] [E10] [E11] [E12]</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[E9] Clean pre-injection VAL-805. Furosemide 40 mg oral once daily at home and in the hospital. Weights 81 kg, 78 kg, dry weight 73 kg. Hospital day 3 intake 1418 mL, output 2463 mL, net -1045 mL. Creatinine 1.7 then 0.9 mg/dL. Potassium 4.7 then 4.3 mmol/L. Natriuretic peptide 1120 then 369 pg/mL. Blood pressure 109/82 then 110/84 mmHg. No ejection fraction.</w:t>
      </w:r>
    </w:p>
    <w:p>
      <w:pPr>
        <w:spacing w:after="120"/>
      </w:pPr>
      <w:r>
        <w:rPr>
          <w:rFonts w:ascii="Calibri" w:hAnsi="Calibri" w:cs="Calibri"/>
          <w:b w:val="0"/>
          <w:sz w:val="22"/>
        </w:rPr>
        <w:t>[E10] Heidenreich PA, et al. 2022 AHA/ACC/HFSA Guideline for the Management of Heart Failure. Circulation. 2022;145:e895-e1032. doi:10.1161/CIR.0000000000001063. Supports using congestion, kidney function, potassium, and blood pressure when judging diuretic and other heart-failure therapy. It was not used to invent a weight or an ejection fraction.</w:t>
      </w:r>
    </w:p>
    <w:p>
      <w:pPr>
        <w:spacing w:after="120"/>
      </w:pPr>
      <w:r>
        <w:rPr>
          <w:rFonts w:ascii="Calibri" w:hAnsi="Calibri" w:cs="Calibri"/>
          <w:b w:val="0"/>
          <w:sz w:val="22"/>
        </w:rPr>
        <w:t>[E11] Repository regimen FUROSEMIDE_40_DAILY in data/bootstrap/medication_regimens.json. Oral 40 mg once daily. The entry excludes the injection product. Furosemide tablet labeling, DailyMed setid 571a52ed-5258-46d5-a0d2-9a984cf73895: the usual initial dose is 20 to 80 mg, and the same dose may be repeated 6 to 8 hours later. Supports the charted oral dose and a twice-daily reference frequency. It does not supply an intravenous order.</w:t>
      </w:r>
    </w:p>
    <w:p>
      <w:pPr>
        <w:spacing w:after="120"/>
      </w:pPr>
      <w:r>
        <w:rPr>
          <w:rFonts w:ascii="Calibri" w:hAnsi="Calibri" w:cs="Calibri"/>
          <w:b w:val="0"/>
          <w:sz w:val="22"/>
        </w:rPr>
        <w:t>[E12] Mullens W, et al. The use of diuretics in heart failure with congestion. Eur J Heart Fail. 2019;21:137-155. doi:10.1002/ejhf.1369. Supports judging decongestion with weight and urine output. It was not used to replace the recorded weights.</w:t>
      </w:r>
    </w:p>
    <w:p>
      <w:pPr>
        <w:keepNext/>
        <w:pageBreakBefore/>
      </w:pPr>
      <w:r>
        <w:rPr>
          <w:rFonts w:ascii="Calibri" w:hAnsi="Calibri" w:cs="Calibri"/>
          <w:b/>
          <w:color w:val="1F3A5F"/>
          <w:sz w:val="32"/>
        </w:rPr>
        <w:t>CASE VAL-809</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82-year-old Male is admitted with infective endocarditis. The recorded symptom is fatigue for one week. Temperature is 36.80°C on admission and at discharge. Home medicines are lisinopril and atorvastatin. Ceftriaxone 2000 mg intravenously once daily was started during the admission. A PICC is in place.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w:t>
      </w:r>
    </w:p>
    <w:p>
      <w:pPr>
        <w:pStyle w:val="Heading3"/>
      </w:pPr>
      <w:r>
        <w:rPr>
          <w:rFonts w:ascii="Calibri" w:hAnsi="Calibri"/>
          <w:color w:val="1F3A5F"/>
        </w:rPr>
        <w:t>Admission note</w:t>
      </w:r>
    </w:p>
    <w:p>
      <w:pPr>
        <w:spacing w:after="120"/>
      </w:pPr>
      <w:r>
        <w:rPr>
          <w:rFonts w:ascii="Calibri" w:hAnsi="Calibri" w:cs="Calibri"/>
          <w:b w:val="0"/>
          <w:sz w:val="22"/>
        </w:rPr>
        <w:t>A 82-year-old Male is admitted with infective endocarditis. The recorded symptom is fatigue for one week. Temperature is 36.80°C on admission and at discharge. Home medicines are lisinopril and atorvastatin. Ceftriaxone 2000 mg intravenously once daily was started during the admission. A PICC is in place. Transthoracic echocardiogram shows a mobile echodensity consistent with a vegetation and preserved ventricular function. Admission blood culture grew gram-positive cocci. A later culture showed no growth. Creatinine is 1.3 mg/dL on admission and 0.8 mg/dL at discharge. No creatinine from before this admission is recorded.</w:t>
      </w:r>
    </w:p>
    <w:p>
      <w:pPr>
        <w:pStyle w:val="Heading2"/>
      </w:pPr>
      <w:r>
        <w:rPr>
          <w:rFonts w:ascii="Calibri" w:hAnsi="Calibri"/>
          <w:color w:val="1F3A5F"/>
        </w:rPr>
        <w:t>Hospital course</w:t>
      </w:r>
    </w:p>
    <w:p>
      <w:pPr>
        <w:spacing w:after="120"/>
      </w:pPr>
      <w:r>
        <w:rPr>
          <w:rFonts w:ascii="Calibri" w:hAnsi="Calibri" w:cs="Calibri"/>
          <w:b w:val="0"/>
          <w:sz w:val="22"/>
        </w:rPr>
        <w:t>Ceftriaxone 2000 mg intravenously once daily was given during the admission. The echocardiogram shows a vegetation with preserved ventricular function. Blood culture grew gram-positive cocci, and a later culture showed no growth. A PICC is in place for parenteral therapy. Creatinine is 1.3 mg/dL then 0.8 mg/dL. Lisinopril is on the inpatient medication list. No creatinine from before this admission is recorded. Temperature is 36.80°C on admission and at discharge.</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127/86</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139/85</w:t>
            </w:r>
          </w:p>
        </w:tc>
        <w:tc>
          <w:tcPr>
            <w:tcW w:type="dxa" w:w="1440"/>
            <w:vAlign w:val="top"/>
          </w:tcPr>
          <w:p>
            <w:pPr>
              <w:spacing w:after="20" w:before="20"/>
            </w:pPr>
            <w:r>
              <w:rPr>
                <w:rFonts w:ascii="Calibri" w:hAnsi="Calibri" w:cs="Calibri"/>
                <w:b w:val="0"/>
                <w:sz w:val="20"/>
              </w:rPr>
              <w:t>80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13.1</w:t>
            </w:r>
          </w:p>
        </w:tc>
        <w:tc>
          <w:tcPr>
            <w:tcW w:type="dxa" w:w="2448"/>
            <w:vAlign w:val="top"/>
          </w:tcPr>
          <w:p>
            <w:pPr>
              <w:spacing w:after="20" w:before="20"/>
            </w:pPr>
            <w:r>
              <w:rPr>
                <w:rFonts w:ascii="Calibri" w:hAnsi="Calibri" w:cs="Calibri"/>
                <w:b w:val="0"/>
                <w:sz w:val="20"/>
              </w:rPr>
              <w:t>12.9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Blood culture grew gram-positive cocci. A later culture showed no growth. Echocardiogram shows a vegetation.</w:t>
            </w:r>
          </w:p>
        </w:tc>
        <w:tc>
          <w:tcPr>
            <w:tcW w:type="dxa" w:w="3264"/>
            <w:vAlign w:val="top"/>
          </w:tcPr>
          <w:p>
            <w:pPr>
              <w:spacing w:after="20" w:before="20"/>
            </w:pPr>
            <w:r>
              <w:rPr>
                <w:rFonts w:ascii="Calibri" w:hAnsi="Calibri" w:cs="Calibri"/>
                <w:b w:val="0"/>
                <w:sz w:val="20"/>
              </w:rPr>
              <w:t>Ceftriaxone was administered intravenously during the admission. Weekly blood count and creatinine monitoring are recorded. Infectious-disease follow-up is scheduled.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with parenteral-therapy laboratory monitoring</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9 C1 Presentation and demographics 1"/>
                <w:tag w:val="VAL-809-c1-Presentation and demographic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2"/>
                <w:tag w:val="VAL-809-c1-Presentation and demographic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3"/>
                <w:tag w:val="VAL-809-c1-Presentation and demographic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4"/>
                <w:tag w:val="VAL-809-c1-Presentation and demographic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1"/>
                <w:tag w:val="VAL-809-c1-Fit between presentation and diagnosi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2"/>
                <w:tag w:val="VAL-809-c1-Fit between presentation and diagnosi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3"/>
                <w:tag w:val="VAL-809-c1-Fit between presentation and diagnosi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4"/>
                <w:tag w:val="VAL-809-c1-Fit between presentation and diagnosi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9 C1 Vital signs 1"/>
                <w:tag w:val="VAL-809-c1-Vital signs-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2"/>
                <w:tag w:val="VAL-809-c1-Vital signs-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3"/>
                <w:tag w:val="VAL-809-c1-Vital signs-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4"/>
                <w:tag w:val="VAL-809-c1-Vital signs-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9 C1 Laboratory findings 1"/>
                <w:tag w:val="VAL-809-c1-Laboratory findings-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2"/>
                <w:tag w:val="VAL-809-c1-Laboratory findings-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3"/>
                <w:tag w:val="VAL-809-c1-Laboratory findings-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4"/>
                <w:tag w:val="VAL-809-c1-Laboratory findings-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9 C1 Medication regimen 1"/>
                <w:tag w:val="VAL-809-c1-Medication regimen-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2"/>
                <w:tag w:val="VAL-809-c1-Medication regimen-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3"/>
                <w:tag w:val="VAL-809-c1-Medication regimen-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4"/>
                <w:tag w:val="VAL-809-c1-Medication regimen-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9 C1 Hospital course 1"/>
                <w:tag w:val="VAL-809-c1-Hospital course-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2"/>
                <w:tag w:val="VAL-809-c1-Hospital course-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3"/>
                <w:tag w:val="VAL-809-c1-Hospital course-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4"/>
                <w:tag w:val="VAL-809-c1-Hospital course-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9 C1 Chart consistency 1"/>
                <w:tag w:val="VAL-809-c1-Chart consistency-1"/>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2"/>
                <w:tag w:val="VAL-809-c1-Chart consistency-2"/>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3"/>
                <w:tag w:val="VAL-809-c1-Chart consistency-3"/>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4"/>
                <w:tag w:val="VAL-809-c1-Chart consistency-4"/>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9 C1 Discharge context and follow-up 1"/>
                <w:tag w:val="VAL-809-c1-Discharge context and follow-up-1"/>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2"/>
                <w:tag w:val="VAL-809-c1-Discharge context and follow-up-2"/>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3"/>
                <w:tag w:val="VAL-809-c1-Discharge context and follow-up-3"/>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4"/>
                <w:tag w:val="VAL-809-c1-Discharge context and follow-up-4"/>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9 c1-overall Pass"/>
                <w:tag w:val="VAL-809-c1-overall-Pass"/>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1-overall Fail"/>
                <w:tag w:val="VAL-809-c1-overall-Fail"/>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9-c1-comment"/>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9 c2 Pass"/>
                <w:tag w:val="VAL-809-c2-Pass"/>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2 Fail"/>
                <w:tag w:val="VAL-809-c2-Fail"/>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9-c2-comment"/>
              <w:id w:val="2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A hold is acceptable because the admission creatinine is 1.3 mg/dL and no baseline is stored.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9 c3 Pass"/>
                <w:tag w:val="VAL-809-c3-Pass"/>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3 Fail"/>
                <w:tag w:val="VAL-809-c3-Fail"/>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9 c4 No"/>
                <w:tag w:val="VAL-809-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4 Yes"/>
                <w:tag w:val="VAL-809-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9 c5-issue No"/>
                <w:tag w:val="VAL-809-c5-issue-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issue Yes"/>
                <w:tag w:val="VAL-809-c5-issue-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9 c5-leak No"/>
                <w:tag w:val="VAL-809-c5-leak-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leak Yes"/>
                <w:tag w:val="VAL-809-c5-leak-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9-c5-comment"/>
              <w:id w:val="2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Easy"/>
                <w:tag w:val="VAL-809-c6-Easy"/>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9 c6 Moderate"/>
                <w:tag w:val="VAL-809-c6-Moderat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Hard"/>
                <w:tag w:val="VAL-809-c6-Hard"/>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9 c6 Inappropriate or outlier"/>
                <w:tag w:val="VAL-809-c6-Inappropriate or outlier"/>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9 overall Accept"/>
                <w:tag w:val="VAL-809-overall-Accept"/>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9 overall Revise"/>
                <w:tag w:val="VAL-809-overall-Revis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9 overall Exclude"/>
                <w:tag w:val="VAL-809-overall-Exclud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9-overall-comment"/>
              <w:id w:val="2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9-reviewer"/>
          <w:id w:val="2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9-date"/>
          <w:id w:val="2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Presentation – requires more details, should present with fevers, have a history of mechanical valve or poor dentition that would predispose to endocarditis</w:t>
              <w:br/>
              <w:t>Labs/meds – AKI was unexplained and lisinopril was continued despite AKI</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Lisinopril was continued despite the patient having an AKI</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Lisinopril - AKI</w:t>
      </w:r>
    </w:p>
    <w:p>
      <w:pPr>
        <w:spacing w:after="120"/>
      </w:pPr>
      <w:r>
        <w:rPr>
          <w:rFonts w:ascii="Calibri" w:hAnsi="Calibri" w:cs="Calibri"/>
          <w:b w:val="0"/>
          <w:sz w:val="22"/>
        </w:rPr>
        <w:t>C4 location: Medications</w:t>
      </w:r>
    </w:p>
    <w:p>
      <w:pPr>
        <w:spacing w:after="120"/>
      </w:pPr>
      <w:r>
        <w:rPr>
          <w:rFonts w:ascii="Calibri" w:hAnsi="Calibri" w:cs="Calibri"/>
          <w:b w:val="0"/>
          <w:sz w:val="22"/>
        </w:rPr>
        <w:t>C4 clinical meaning: Should not be continued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Error in the case as described above</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Revise clinical scenario to add more details. Would have fevers/chills/predisposition to endocarditis. Lisinopril should be held if the patient has an AKI. Patient of this age would be very likely to have more than 2 home medications, would like to have more detail and complexity overall to this case.</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presentation and hospital course are 2. The case should include fever and a predisposition such as a mechanical valve or poor dentition. C2 and C4 Fail: lisinopril was continued despite acute kidney injury and should not be continued if acute kidney injury is present. Overall Revise. The home list is short.</w:t>
            </w:r>
          </w:p>
        </w:tc>
        <w:tc>
          <w:tcPr>
            <w:tcW w:type="dxa" w:w="1368"/>
            <w:vAlign w:val="top"/>
          </w:tcPr>
          <w:p>
            <w:pPr>
              <w:spacing w:after="20" w:before="20"/>
            </w:pPr>
            <w:r>
              <w:rPr>
                <w:rFonts w:ascii="Calibri" w:hAnsi="Calibri" w:cs="Calibri"/>
                <w:b w:val="0"/>
                <w:sz w:val="16"/>
              </w:rPr>
              <w:t>Wrote the recorded fatigue, temperature, cultures, vegetation, ceftriaxone start, and creatinine pair into the course. Removed the instruction to complete the antibiotic course. Did not add fever, a valve, dental work, or a new organism. Lisinopril remains active on the inpatient list. The reference continues it, and a hold is an acceptable alternative.</w:t>
            </w:r>
          </w:p>
        </w:tc>
        <w:tc>
          <w:tcPr>
            <w:tcW w:type="dxa" w:w="1224"/>
            <w:vAlign w:val="top"/>
          </w:tcPr>
          <w:p>
            <w:pPr>
              <w:spacing w:after="20" w:before="20"/>
            </w:pPr>
            <w:r>
              <w:rPr>
                <w:rFonts w:ascii="Calibri" w:hAnsi="Calibri" w:cs="Calibri"/>
                <w:b w:val="0"/>
                <w:sz w:val="16"/>
              </w:rPr>
              <w:t>admission note; hospital course; consultations; reference discharge plan</w:t>
            </w:r>
          </w:p>
        </w:tc>
        <w:tc>
          <w:tcPr>
            <w:tcW w:type="dxa" w:w="1368"/>
            <w:vAlign w:val="top"/>
          </w:tcPr>
          <w:p>
            <w:pPr>
              <w:spacing w:after="20" w:before="20"/>
            </w:pPr>
            <w:r>
              <w:rPr>
                <w:rFonts w:ascii="Calibri" w:hAnsi="Calibri" w:cs="Calibri"/>
                <w:b w:val="0"/>
                <w:sz w:val="16"/>
              </w:rPr>
              <w:t>Version 2 consult says to complete the planned parenteral course. Version 1 replaces the admission temperature of 36.80°C with 38.6°C, changes the organism to viridans group streptococcus, adds a dental extraction and a murmur, holds lisinopril, and says four weeks of ceftriaxone is the planned course.</w:t>
            </w:r>
          </w:p>
        </w:tc>
        <w:tc>
          <w:tcPr>
            <w:tcW w:type="dxa" w:w="1368"/>
            <w:vAlign w:val="top"/>
          </w:tcPr>
          <w:p>
            <w:pPr>
              <w:spacing w:after="20" w:before="20"/>
            </w:pPr>
            <w:r>
              <w:rPr>
                <w:rFonts w:ascii="Calibri" w:hAnsi="Calibri" w:cs="Calibri"/>
                <w:b w:val="0"/>
                <w:sz w:val="16"/>
              </w:rPr>
              <w:t>Temperature remains 36.80°C. The organism remains gram-positive cocci. A later culture shows no growth. The echocardiogram shows a vegetation. Ceftriaxone 2 g IV daily was started. A PICC is present. Creatinine is 1.3 mg/dL then 0.8 mg/dL. The consult lists those findings and the follow-up. It does not give the discharge order.</w:t>
            </w:r>
          </w:p>
        </w:tc>
        <w:tc>
          <w:tcPr>
            <w:tcW w:type="dxa" w:w="1656"/>
            <w:vAlign w:val="top"/>
          </w:tcPr>
          <w:p>
            <w:pPr>
              <w:spacing w:after="20" w:before="20"/>
            </w:pPr>
            <w:r>
              <w:rPr>
                <w:rFonts w:ascii="Calibri" w:hAnsi="Calibri" w:cs="Calibri"/>
                <w:b w:val="0"/>
                <w:sz w:val="16"/>
              </w:rPr>
              <w:t>The recorded temperature is 36.80°C. Replacing it with a fever erases a source vital sign. A mechanical valve is not in the chart. A dental extraction and a viridans label are not in the culture or the archetype, and they would imply an oral source the microbiology does not establish. The existing bacteremia, vegetation, inpatient antibiotic, culture clearance, and PICC are enough for the resident to decide the outpatient antimicrobial plan. The creatinine fall is visible and the baseline is not. Continuing lisinopril matches the recorded order at a discharge creatinine of 0.8 mg/dL. Holding it is acceptable because the admission value was higher. Neither action is written into the resident chart. No extra home medicine was added.</w:t>
            </w:r>
          </w:p>
        </w:tc>
        <w:tc>
          <w:tcPr>
            <w:tcW w:type="dxa" w:w="1296"/>
            <w:vAlign w:val="top"/>
          </w:tcPr>
          <w:p>
            <w:pPr>
              <w:spacing w:after="20" w:before="20"/>
            </w:pPr>
            <w:r>
              <w:rPr>
                <w:rFonts w:ascii="Calibri" w:hAnsi="Calibri" w:cs="Calibri"/>
                <w:b w:val="0"/>
                <w:sz w:val="16"/>
              </w:rPr>
              <w:t>[E1] [E6] [E13] [E14] [E15]</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[E6] KDIGO Clinical Practice Guideline for Acute Kidney Injury. Kidney Int Suppl. 2012;2:1-138. Supports reviewing ACE-inhibitor exposure when kidney function may have worsened. It does not create a baseline creatinine.</w:t>
      </w:r>
    </w:p>
    <w:p>
      <w:pPr>
        <w:spacing w:after="120"/>
      </w:pPr>
      <w:r>
        <w:rPr>
          <w:rFonts w:ascii="Calibri" w:hAnsi="Calibri" w:cs="Calibri"/>
          <w:b w:val="0"/>
          <w:sz w:val="22"/>
        </w:rPr>
        <w:t>[E13] Clean pre-injection VAL-809. Temperature 36.80°C on admission and at discharge. Symptom: fatigue. Gram-positive cocci, later no growth. Vegetation with preserved ventricular function. Creatinine 1.3 then 0.8 mg/dL. Ceftriaxone 2 g IV daily. PICC present. No valve or dental history.</w:t>
      </w:r>
    </w:p>
    <w:p>
      <w:pPr>
        <w:spacing w:after="120"/>
      </w:pPr>
      <w:r>
        <w:rPr>
          <w:rFonts w:ascii="Calibri" w:hAnsi="Calibri" w:cs="Calibri"/>
          <w:b w:val="0"/>
          <w:sz w:val="22"/>
        </w:rPr>
        <w:t>[E14] Baddour LM, et al. Infective Endocarditis in Adults. Circulation. 2015;132:1435-1486. doi:10.1161/CIR.0000000000000296. Supports using bacteremia, echocardiography, and antimicrobial therapy in the representation. It was not used to add a valve, a dental procedure, a fever, or a species the culture does not name.</w:t>
      </w:r>
    </w:p>
    <w:p>
      <w:pPr>
        <w:spacing w:after="120"/>
      </w:pPr>
      <w:r>
        <w:rPr>
          <w:rFonts w:ascii="Calibri" w:hAnsi="Calibri" w:cs="Calibri"/>
          <w:b w:val="0"/>
          <w:sz w:val="22"/>
        </w:rPr>
        <w:t>[E15] Repository regimen CEFTRIAXONE_ENDOCARDITIS_OPAT. Ceftriaxone 2000 mg intravenous once daily. Supports the dose already charted.</w:t>
      </w:r>
    </w:p>
    <w:p>
      <w:pPr>
        <w:keepNext/>
        <w:pageBreakBefore/>
      </w:pPr>
      <w:r>
        <w:rPr>
          <w:rFonts w:ascii="Calibri" w:hAnsi="Calibri" w:cs="Calibri"/>
          <w:b/>
          <w:color w:val="1F3A5F"/>
          <w:sz w:val="32"/>
        </w:rPr>
        <w:t>CASE VAL-813</w:t>
      </w:r>
    </w:p>
    <w:p>
      <w:pPr>
        <w:spacing w:after="120"/>
      </w:pPr>
      <w:r>
        <w:rPr>
          <w:rFonts w:ascii="Calibri" w:hAnsi="Calibri" w:cs="Calibri"/>
          <w:b w:val="0"/>
          <w:sz w:val="22"/>
        </w:rPr>
        <w:t>Round 2 revised case</w:t>
      </w:r>
    </w:p>
    <w:p>
      <w:pPr>
        <w:pStyle w:val="Heading2"/>
      </w:pPr>
      <w:r>
        <w:rPr>
          <w:rFonts w:ascii="Calibri" w:hAnsi="Calibri"/>
          <w:color w:val="1F3A5F"/>
        </w:rPr>
        <w:t>RESIDENT-FACING CHART</w:t>
      </w:r>
    </w:p>
    <w:p>
      <w:pPr>
        <w:spacing w:after="120"/>
      </w:pPr>
      <w:r>
        <w:rPr>
          <w:rFonts w:ascii="Calibri" w:hAnsi="Calibri" w:cs="Calibri"/>
          <w:b w:val="0"/>
          <w:sz w:val="22"/>
        </w:rPr>
        <w:t>This section is the same information the resident would see.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64-year-old Female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64-year-old Female with a kidney transplant is admitted with diarrhea for several days. Home medicines are tacrolimus 1 mg every 12 hours, amlodipine 5 mg daily, and atorvastatin 40 mg daily. She was not taking valganciclovir before admission. The admission viral-load review detected CMV viral burden.</w:t>
      </w:r>
    </w:p>
    <w:p>
      <w:pPr>
        <w:pStyle w:val="Heading3"/>
      </w:pPr>
      <w:r>
        <w:rPr>
          <w:rFonts w:ascii="Calibri" w:hAnsi="Calibri"/>
          <w:color w:val="1F3A5F"/>
        </w:rPr>
        <w:t>Admission note</w:t>
      </w:r>
    </w:p>
    <w:p>
      <w:pPr>
        <w:spacing w:after="120"/>
      </w:pPr>
      <w:r>
        <w:rPr>
          <w:rFonts w:ascii="Calibri" w:hAnsi="Calibri" w:cs="Calibri"/>
          <w:b w:val="0"/>
          <w:sz w:val="22"/>
        </w:rPr>
        <w:t>A 64-year-old Female with a kidney transplant is admitted with diarrhea for several days. Home medicines are tacrolimus 1 mg every 12 hours, amlodipine 5 mg daily, and atorvastatin 40 mg daily. She was not taking valganciclovir before admission. The admission viral-load review detected CMV viral burden.</w:t>
      </w:r>
    </w:p>
    <w:p>
      <w:pPr>
        <w:pStyle w:val="Heading2"/>
      </w:pPr>
      <w:r>
        <w:rPr>
          <w:rFonts w:ascii="Calibri" w:hAnsi="Calibri"/>
          <w:color w:val="1F3A5F"/>
        </w:rPr>
        <w:t>Hospital course</w:t>
      </w:r>
    </w:p>
    <w:p>
      <w:pPr>
        <w:spacing w:after="120"/>
      </w:pPr>
      <w:r>
        <w:rPr>
          <w:rFonts w:ascii="Calibri" w:hAnsi="Calibri" w:cs="Calibri"/>
          <w:b w:val="0"/>
          <w:sz w:val="22"/>
        </w:rPr>
        <w:t>The admission viral-load review detected CMV viral burden. Valganciclovir 900 mg orally twice daily, given as 450 mg tablets, was started after that result. A later review showed a lower viral burden. Diarrhea improved. Tacrolimus 1 mg every 12 hours was administered during the hospitalization. Creatinine is 1.2 mg/dL then 1.0 mg/dL. Potassium is 4.7 mmol/L then 3.9 mmol/L. No cause for the potassium change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147/80</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134/80</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3.9</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66.000</w:t>
            </w:r>
          </w:p>
        </w:tc>
        <w:tc>
          <w:tcPr>
            <w:tcW w:type="dxa" w:w="3312"/>
            <w:vAlign w:val="top"/>
          </w:tcPr>
          <w:p>
            <w:pPr>
              <w:spacing w:after="20" w:before="20"/>
            </w:pPr>
            <w:r>
              <w:rPr>
                <w:rFonts w:ascii="Calibri" w:hAnsi="Calibri" w:cs="Calibri"/>
                <w:b w:val="0"/>
                <w:sz w:val="20"/>
              </w:rPr>
              <w:t>63.000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5</w:t>
            </w:r>
          </w:p>
        </w:tc>
        <w:tc>
          <w:tcPr>
            <w:tcW w:type="dxa" w:w="2448"/>
            <w:vAlign w:val="top"/>
          </w:tcPr>
          <w:p>
            <w:pPr>
              <w:spacing w:after="20" w:before="20"/>
            </w:pPr>
            <w:r>
              <w:rPr>
                <w:rFonts w:ascii="Calibri" w:hAnsi="Calibri" w:cs="Calibri"/>
                <w:b w:val="0"/>
                <w:sz w:val="20"/>
              </w:rPr>
              <w:t>1655</w:t>
            </w:r>
          </w:p>
        </w:tc>
        <w:tc>
          <w:tcPr>
            <w:tcW w:type="dxa" w:w="2448"/>
            <w:vAlign w:val="top"/>
          </w:tcPr>
          <w:p>
            <w:pPr>
              <w:spacing w:after="20" w:before="20"/>
            </w:pPr>
            <w:r>
              <w:rPr>
                <w:rFonts w:ascii="Calibri" w:hAnsi="Calibri" w:cs="Calibri"/>
                <w:b w:val="0"/>
                <w:sz w:val="20"/>
              </w:rPr>
              <w:t>1812</w:t>
            </w:r>
          </w:p>
        </w:tc>
        <w:tc>
          <w:tcPr>
            <w:tcW w:type="dxa" w:w="2448"/>
            <w:vAlign w:val="top"/>
          </w:tcPr>
          <w:p>
            <w:pPr>
              <w:spacing w:after="20" w:before="20"/>
            </w:pPr>
            <w:r>
              <w:rPr>
                <w:rFonts w:ascii="Calibri" w:hAnsi="Calibri" w:cs="Calibri"/>
                <w:b w:val="0"/>
                <w:sz w:val="20"/>
              </w:rPr>
              <w:t>-157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Started after the admission viral-load result.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Tacrolimus 1 mg every 12 hours is recorded. No other immunosuppressant is on the medication list.</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The admission viral-load review detected CMV viral burden. Valganciclovir was started after that result.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clinic follow-up after antiviral conversion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3 C1 Presentation and demographics 1"/>
                <w:tag w:val="VAL-813-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2"/>
                <w:tag w:val="VAL-813-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3"/>
                <w:tag w:val="VAL-813-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4"/>
                <w:tag w:val="VAL-813-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1"/>
                <w:tag w:val="VAL-813-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2"/>
                <w:tag w:val="VAL-813-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3"/>
                <w:tag w:val="VAL-813-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4"/>
                <w:tag w:val="VAL-813-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3 C1 Vital signs 1"/>
                <w:tag w:val="VAL-813-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2"/>
                <w:tag w:val="VAL-813-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3"/>
                <w:tag w:val="VAL-813-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4"/>
                <w:tag w:val="VAL-813-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3 C1 Laboratory findings 1"/>
                <w:tag w:val="VAL-813-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2"/>
                <w:tag w:val="VAL-813-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3"/>
                <w:tag w:val="VAL-813-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4"/>
                <w:tag w:val="VAL-813-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3 C1 Medication regimen 1"/>
                <w:tag w:val="VAL-813-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2"/>
                <w:tag w:val="VAL-813-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3"/>
                <w:tag w:val="VAL-813-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4"/>
                <w:tag w:val="VAL-813-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3 C1 Hospital course 1"/>
                <w:tag w:val="VAL-813-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2"/>
                <w:tag w:val="VAL-813-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3"/>
                <w:tag w:val="VAL-813-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4"/>
                <w:tag w:val="VAL-813-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3 C1 Chart consistency 1"/>
                <w:tag w:val="VAL-813-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2"/>
                <w:tag w:val="VAL-813-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3"/>
                <w:tag w:val="VAL-813-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4"/>
                <w:tag w:val="VAL-813-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3 C1 Discharge context and follow-up 1"/>
                <w:tag w:val="VAL-813-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2"/>
                <w:tag w:val="VAL-813-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3"/>
                <w:tag w:val="VAL-813-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4"/>
                <w:tag w:val="VAL-813-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3 c1-overall Pass"/>
                <w:tag w:val="VAL-813-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1-overall Fail"/>
                <w:tag w:val="VAL-813-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3-c1-comment"/>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3 c2 Pass"/>
                <w:tag w:val="VAL-813-c2-Pass"/>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2 Fail"/>
                <w:tag w:val="VAL-813-c2-Fail"/>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3-c2-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BX Rating tacrolimus 1 MG Oral Capsule</w:t>
            </w:r>
          </w:p>
        </w:tc>
        <w:tc>
          <w:tcPr>
            <w:tcW w:type="dxa" w:w="2016"/>
            <w:vAlign w:val="top"/>
          </w:tcPr>
          <w:p>
            <w:pPr>
              <w:spacing w:after="20" w:before="20"/>
            </w:pPr>
            <w:r>
              <w:rPr>
                <w:rFonts w:ascii="Calibri" w:hAnsi="Calibri" w:cs="Calibri"/>
                <w:b w:val="0"/>
                <w:sz w:val="20"/>
              </w:rPr>
              <w:t>modify</w:t>
            </w:r>
          </w:p>
        </w:tc>
        <w:tc>
          <w:tcPr>
            <w:tcW w:type="dxa" w:w="4608"/>
            <w:vAlign w:val="top"/>
          </w:tcPr>
          <w:p>
            <w:pPr>
              <w:spacing w:after="20" w:before="20"/>
            </w:pPr>
            <w:r>
              <w:rPr>
                <w:rFonts w:ascii="Calibri" w:hAnsi="Calibri" w:cs="Calibri"/>
                <w:b w:val="0"/>
                <w:sz w:val="20"/>
              </w:rPr>
              <w:t>A temporary reduction is acceptable. No trough and no requested change are recorded.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Valganciclovir 900 mg twice daily was started after the admission viral-load result. Creatinine is 1.2 mg/dL then 1.0 mg/dL. Tacrolimus is 1 mg every 12 hours. Is the antiviral dose appropriate, and should tacrolimus be continued or temporarily reduced?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3-adjudication"/>
              <w:id w:val="3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3 c3 Pass"/>
                <w:tag w:val="VAL-813-c3-Pass"/>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3 Fail"/>
                <w:tag w:val="VAL-813-c3-Fail"/>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3 c4 No"/>
                <w:tag w:val="VAL-813-c4-No"/>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4 Yes"/>
                <w:tag w:val="VAL-813-c4-Yes"/>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3 c5-issue No"/>
                <w:tag w:val="VAL-813-c5-issue-No"/>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issue Yes"/>
                <w:tag w:val="VAL-813-c5-issue-Yes"/>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3 c5-leak No"/>
                <w:tag w:val="VAL-813-c5-leak-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leak Yes"/>
                <w:tag w:val="VAL-813-c5-leak-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3-c5-comment"/>
              <w:id w:val="3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Easy"/>
                <w:tag w:val="VAL-813-c6-Easy"/>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3 c6 Moderate"/>
                <w:tag w:val="VAL-813-c6-Moderat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Hard"/>
                <w:tag w:val="VAL-813-c6-Hard"/>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3 c6 Inappropriate or outlier"/>
                <w:tag w:val="VAL-813-c6-Inappropriate or outlier"/>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3 overall Accept"/>
                <w:tag w:val="VAL-813-overall-Accept"/>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3 overall Revise"/>
                <w:tag w:val="VAL-813-overall-Revis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3 overall Exclude"/>
                <w:tag w:val="VAL-813-overall-Exclud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3-overall-comment"/>
              <w:id w:val="3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3-reviewer"/>
          <w:id w:val="3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3-date"/>
          <w:id w:val="3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Patient is admitted for new diagnosis of CMV colitis, but was already on treatment for this (valganciclovir) prior to admission, which does not make sense. This medication would be started after diagnosis during the hospitalization. The medications are much too simplified for a post transplant patient. The labs are incomplete and the patient has a change in potassium without obvious cause or indication.</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Since the patient was on valganciclovir on admission, it would make you think that you need to change to an alternative regimen to appropriately treat the CMV</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As above, it isn’t clear why the patient was already on valganciclovir</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Valganciclovir</w:t>
      </w:r>
    </w:p>
    <w:p>
      <w:pPr>
        <w:spacing w:after="120"/>
      </w:pPr>
      <w:r>
        <w:rPr>
          <w:rFonts w:ascii="Calibri" w:hAnsi="Calibri" w:cs="Calibri"/>
          <w:b w:val="0"/>
          <w:sz w:val="22"/>
        </w:rPr>
        <w:t>C4 location: Admission medications</w:t>
      </w:r>
    </w:p>
    <w:p>
      <w:pPr>
        <w:spacing w:after="120"/>
      </w:pPr>
      <w:r>
        <w:rPr>
          <w:rFonts w:ascii="Calibri" w:hAnsi="Calibri" w:cs="Calibri"/>
          <w:b w:val="0"/>
          <w:sz w:val="22"/>
        </w:rPr>
        <w:t>C4 clinical meaning: Should not be an admission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This is an error in the case that would be confusing</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Reviewer: KO. Date: 10/5/2026.</w:t>
      </w:r>
    </w:p>
    <w:p>
      <w:pPr>
        <w:keepNext/>
        <w:pageBreakBefore/>
      </w:pPr>
      <w:r>
        <w:rPr>
          <w:rFonts w:ascii="Calibri" w:hAnsi="Calibri" w:cs="Calibri"/>
          <w:b/>
          <w:color w:val="1F3A5F"/>
          <w:sz w:val="28"/>
        </w:rPr>
        <w:t>CLINICAL REVISION RECORD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399"/>
        <w:gridCol w:w="1399"/>
        <w:gridCol w:w="1399"/>
        <w:gridCol w:w="1399"/>
        <w:gridCol w:w="1399"/>
        <w:gridCol w:w="1399"/>
        <w:gridCol w:w="1399"/>
      </w:tblGrid>
      <w:tr>
        <w:trPr>
          <w:cantSplit/>
          <w:tblHeader/>
        </w:trPr>
        <w:tc>
          <w:tcPr>
            <w:tcW w:type="dxa" w:w="1512"/>
            <w:shd w:val="clear" w:color="auto" w:fill="D9E2F3"/>
          </w:tcPr>
          <w:p>
            <w:pPr>
              <w:spacing w:after="20" w:before="20"/>
            </w:pPr>
            <w:r>
              <w:rPr>
                <w:rFonts w:ascii="Calibri" w:hAnsi="Calibri" w:cs="Calibri"/>
                <w:b/>
                <w:sz w:val="16"/>
              </w:rPr>
              <w:t>Round 1 comment</w:t>
            </w:r>
          </w:p>
        </w:tc>
        <w:tc>
          <w:tcPr>
            <w:tcW w:type="dxa" w:w="1368"/>
            <w:shd w:val="clear" w:color="auto" w:fill="D9E2F3"/>
          </w:tcPr>
          <w:p>
            <w:pPr>
              <w:spacing w:after="20" w:before="20"/>
            </w:pPr>
            <w:r>
              <w:rPr>
                <w:rFonts w:ascii="Calibri" w:hAnsi="Calibri" w:cs="Calibri"/>
                <w:b/>
                <w:sz w:val="16"/>
              </w:rPr>
              <w:t>Revision</w:t>
            </w:r>
          </w:p>
        </w:tc>
        <w:tc>
          <w:tcPr>
            <w:tcW w:type="dxa" w:w="1224"/>
            <w:shd w:val="clear" w:color="auto" w:fill="D9E2F3"/>
          </w:tcPr>
          <w:p>
            <w:pPr>
              <w:spacing w:after="20" w:before="20"/>
            </w:pPr>
            <w:r>
              <w:rPr>
                <w:rFonts w:ascii="Calibri" w:hAnsi="Calibri" w:cs="Calibri"/>
                <w:b/>
                <w:sz w:val="16"/>
              </w:rPr>
              <w:t>Location</w:t>
            </w:r>
          </w:p>
        </w:tc>
        <w:tc>
          <w:tcPr>
            <w:tcW w:type="dxa" w:w="1368"/>
            <w:shd w:val="clear" w:color="auto" w:fill="D9E2F3"/>
          </w:tcPr>
          <w:p>
            <w:pPr>
              <w:spacing w:after="20" w:before="20"/>
            </w:pPr>
            <w:r>
              <w:rPr>
                <w:rFonts w:ascii="Calibri" w:hAnsi="Calibri" w:cs="Calibri"/>
                <w:b/>
                <w:sz w:val="16"/>
              </w:rPr>
              <w:t>Old</w:t>
            </w:r>
          </w:p>
        </w:tc>
        <w:tc>
          <w:tcPr>
            <w:tcW w:type="dxa" w:w="1368"/>
            <w:shd w:val="clear" w:color="auto" w:fill="D9E2F3"/>
          </w:tcPr>
          <w:p>
            <w:pPr>
              <w:spacing w:after="20" w:before="20"/>
            </w:pPr>
            <w:r>
              <w:rPr>
                <w:rFonts w:ascii="Calibri" w:hAnsi="Calibri" w:cs="Calibri"/>
                <w:b/>
                <w:sz w:val="16"/>
              </w:rPr>
              <w:t>New</w:t>
            </w:r>
          </w:p>
        </w:tc>
        <w:tc>
          <w:tcPr>
            <w:tcW w:type="dxa" w:w="1656"/>
            <w:shd w:val="clear" w:color="auto" w:fill="D9E2F3"/>
          </w:tcPr>
          <w:p>
            <w:pPr>
              <w:spacing w:after="20" w:before="20"/>
            </w:pPr>
            <w:r>
              <w:rPr>
                <w:rFonts w:ascii="Calibri" w:hAnsi="Calibri" w:cs="Calibri"/>
                <w:b/>
                <w:sz w:val="16"/>
              </w:rPr>
              <w:t>Clinical reasoning</w:t>
            </w:r>
          </w:p>
        </w:tc>
        <w:tc>
          <w:tcPr>
            <w:tcW w:type="dxa" w:w="1296"/>
            <w:shd w:val="clear" w:color="auto" w:fill="D9E2F3"/>
          </w:tcPr>
          <w:p>
            <w:pPr>
              <w:spacing w:after="20" w:before="20"/>
            </w:pPr>
            <w:r>
              <w:rPr>
                <w:rFonts w:ascii="Calibri" w:hAnsi="Calibri" w:cs="Calibri"/>
                <w:b/>
                <w:sz w:val="16"/>
              </w:rPr>
              <w:t>Evidence</w:t>
            </w:r>
          </w:p>
        </w:tc>
      </w:tr>
      <w:tr>
        <w:trPr>
          <w:cantSplit/>
        </w:trPr>
        <w:tc>
          <w:tcPr>
            <w:tcW w:type="dxa" w:w="1512"/>
            <w:vAlign w:val="top"/>
          </w:tcPr>
          <w:p>
            <w:pPr>
              <w:spacing w:after="20" w:before="20"/>
            </w:pPr>
            <w:r>
              <w:rPr>
                <w:rFonts w:ascii="Calibri" w:hAnsi="Calibri" w:cs="Calibri"/>
                <w:b w:val="0"/>
                <w:sz w:val="16"/>
              </w:rPr>
              <w:t>C1 medication regimen is 1. A new CMV diagnosis with valganciclovir already present on admission does not make sense. The drug should start after diagnosis and should not be an admission medicine. The regimen is too simple. Potassium changes without a cause. C4: valganciclovir should not be an admission medication. Overall Exclude, with a blank comment.</w:t>
            </w:r>
          </w:p>
        </w:tc>
        <w:tc>
          <w:tcPr>
            <w:tcW w:type="dxa" w:w="1368"/>
            <w:vAlign w:val="top"/>
          </w:tcPr>
          <w:p>
            <w:pPr>
              <w:spacing w:after="20" w:before="20"/>
            </w:pPr>
            <w:r>
              <w:rPr>
                <w:rFonts w:ascii="Calibri" w:hAnsi="Calibri" w:cs="Calibri"/>
                <w:b w:val="0"/>
                <w:sz w:val="16"/>
              </w:rPr>
              <w:t>Removed home valganciclovir and started 900 mg twice daily after the admission viral-load result. Did not add mycophenolate. Removed the codebook question about mycophenolate. Stated the potassium pair without inventing a cause.</w:t>
            </w:r>
          </w:p>
        </w:tc>
        <w:tc>
          <w:tcPr>
            <w:tcW w:type="dxa" w:w="1224"/>
            <w:vAlign w:val="top"/>
          </w:tcPr>
          <w:p>
            <w:pPr>
              <w:spacing w:after="20" w:before="20"/>
            </w:pPr>
            <w:r>
              <w:rPr>
                <w:rFonts w:ascii="Calibri" w:hAnsi="Calibri" w:cs="Calibri"/>
                <w:b w:val="0"/>
                <w:sz w:val="16"/>
              </w:rPr>
              <w:t>home medications; inpatient medications; admission note; hospital course; reference discharge plan</w:t>
            </w:r>
          </w:p>
        </w:tc>
        <w:tc>
          <w:tcPr>
            <w:tcW w:type="dxa" w:w="1368"/>
            <w:vAlign w:val="top"/>
          </w:tcPr>
          <w:p>
            <w:pPr>
              <w:spacing w:after="20" w:before="20"/>
            </w:pPr>
            <w:r>
              <w:rPr>
                <w:rFonts w:ascii="Calibri" w:hAnsi="Calibri" w:cs="Calibri"/>
                <w:b w:val="0"/>
                <w:sz w:val="16"/>
              </w:rPr>
              <w:t>The clean chart lists valganciclovir as a home medicine. Version 1 adds mycophenolate 1000 mg twice daily, which is not on the source list, and the codebook asks the reviewer to judge it.</w:t>
            </w:r>
          </w:p>
        </w:tc>
        <w:tc>
          <w:tcPr>
            <w:tcW w:type="dxa" w:w="1368"/>
            <w:vAlign w:val="top"/>
          </w:tcPr>
          <w:p>
            <w:pPr>
              <w:spacing w:after="20" w:before="20"/>
            </w:pPr>
            <w:r>
              <w:rPr>
                <w:rFonts w:ascii="Calibri" w:hAnsi="Calibri" w:cs="Calibri"/>
                <w:b w:val="0"/>
                <w:sz w:val="16"/>
              </w:rPr>
              <w:t>Home medicines are tacrolimus 1 mg every 12 hours, amlodipine 5 mg daily, and atorvastatin 40 mg daily. Valganciclovir 900 mg twice daily starts after the recorded viral-load detection. The reference action is start. A temporary tacrolimus reduction is an acceptable alternative. Mycophenolate is absent, and the adjudication question does not mention it.</w:t>
            </w:r>
          </w:p>
        </w:tc>
        <w:tc>
          <w:tcPr>
            <w:tcW w:type="dxa" w:w="1656"/>
            <w:vAlign w:val="top"/>
          </w:tcPr>
          <w:p>
            <w:pPr>
              <w:spacing w:after="20" w:before="20"/>
            </w:pPr>
            <w:r>
              <w:rPr>
                <w:rFonts w:ascii="Calibri" w:hAnsi="Calibri" w:cs="Calibri"/>
                <w:b w:val="0"/>
                <w:sz w:val="16"/>
              </w:rPr>
              <w:t>The admission diagnosis is CMV disease, and the procedure text says the admission viral-load review detected CMV viral burden and supported antiviral treatment. A pre-admission valganciclovir row contradicts that sequence. Mycophenolate is not in the clean chart. Adding it because labeling recommends it for kidney transplantation would invent a home medicine and would force the reviewer to score a drug the resident cannot see. The dose remains 900 mg twice daily because that is the project regimen when creatinine is 1.2 mg/dL then 1.0 mg/dL. The 450 mg tablet is the product strength. RxNorm was not used to choose the dose. The resident chart describes the inpatient start. It does not say to discharge on that dose.</w:t>
            </w:r>
          </w:p>
        </w:tc>
        <w:tc>
          <w:tcPr>
            <w:tcW w:type="dxa" w:w="1296"/>
            <w:vAlign w:val="top"/>
          </w:tcPr>
          <w:p>
            <w:pPr>
              <w:spacing w:after="20" w:before="20"/>
            </w:pPr>
            <w:r>
              <w:rPr>
                <w:rFonts w:ascii="Calibri" w:hAnsi="Calibri" w:cs="Calibri"/>
                <w:b w:val="0"/>
                <w:sz w:val="16"/>
              </w:rPr>
              <w:t>[E1] [E16] [E17] [E18] [E20]</w:t>
            </w:r>
          </w:p>
        </w:tc>
      </w:tr>
    </w:tbl>
    <w:p>
      <w:pPr>
        <w:spacing w:after="40"/>
      </w:pPr>
    </w:p>
    <w:p>
      <w:pPr>
        <w:pStyle w:val="Heading3"/>
      </w:pPr>
      <w:r>
        <w:rPr>
          <w:rFonts w:ascii="Calibri" w:hAnsi="Calibri"/>
          <w:color w:val="1F3A5F"/>
        </w:rPr>
        <w:t>Evidence</w:t>
      </w:r>
    </w:p>
    <w:p>
      <w:pPr>
        <w:spacing w:after="120"/>
      </w:pPr>
      <w:r>
        <w:rPr>
          <w:rFonts w:ascii="Calibri" w:hAnsi="Calibri" w:cs="Calibri"/>
          <w:b w:val="0"/>
          <w:sz w:val="22"/>
        </w:rPr>
        <w:t>[E1] KO Casebook Validation.docx, reviewer KO, 10/5/2026. Supports the comment text, the double selections, and the items left blank. It does not by itself prove a medication change.</w:t>
      </w:r>
    </w:p>
    <w:p>
      <w:pPr>
        <w:spacing w:after="120"/>
      </w:pPr>
      <w:r>
        <w:rPr>
          <w:rFonts w:ascii="Calibri" w:hAnsi="Calibri" w:cs="Calibri"/>
          <w:b w:val="0"/>
          <w:sz w:val="22"/>
        </w:rPr>
        <w:t>[E16] Clean pre-injection VAL-813. Procedure text: admission viral burden detected and supported antiviral treatment; later burden lower. Creatinine 1.2 then 1.0 mg/dL. Potassium 4.7 then 3.9 mmol/L. Home list includes tacrolimus, amlodipine, atorvastatin, and valganciclovir. No mycophenolate row.</w:t>
      </w:r>
    </w:p>
    <w:p>
      <w:pPr>
        <w:spacing w:after="120"/>
      </w:pPr>
      <w:r>
        <w:rPr>
          <w:rFonts w:ascii="Calibri" w:hAnsi="Calibri" w:cs="Calibri"/>
          <w:b w:val="0"/>
          <w:sz w:val="22"/>
        </w:rPr>
        <w:t>[E17] Repository regimen VALGANCICLOVIR_CMV_TREATMENT. 900 mg oral twice daily, given as 450 mg tablets, when creatinine is in the range these profiles keep. DailyMed setid 89a934f0-85a3-44c1-82e5-d09d1738e08d. The dose was not taken from RxNorm.</w:t>
      </w:r>
    </w:p>
    <w:p>
      <w:pPr>
        <w:spacing w:after="120"/>
      </w:pPr>
      <w:r>
        <w:rPr>
          <w:rFonts w:ascii="Calibri" w:hAnsi="Calibri" w:cs="Calibri"/>
          <w:b w:val="0"/>
          <w:sz w:val="22"/>
        </w:rPr>
        <w:t>[E18] Kotton CN, et al. The Third International Consensus Guidelines on the Management of Cytomegalovirus in Solid-organ Transplantation. Transplantation. 2018;102:900-931. doi:10.1097/TP.0000000000002191. Supports starting treatment after laboratory evidence of CMV and considering the intensity of immunosuppression. It was not used to invent a viral-load number or a mycophenolate row.</w:t>
      </w:r>
    </w:p>
    <w:p>
      <w:pPr>
        <w:spacing w:after="120"/>
      </w:pPr>
      <w:r>
        <w:rPr>
          <w:rFonts w:ascii="Calibri" w:hAnsi="Calibri" w:cs="Calibri"/>
          <w:b w:val="0"/>
          <w:sz w:val="22"/>
        </w:rPr>
        <w:t>[E20] CELLCEPT labeling, DailyMed setid 37241e87-4af4-4dc3-a1aa-ea6f20d8dc40, recommends 1 g orally twice daily for adult kidney transplantation. The source case has no mycophenolate row, so the labeled dose was not added.</w:t>
      </w: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Cycle 2  |  Set 1 revised cases, version 3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