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15="http://schemas.microsoft.com/office/word/2012/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5 w14 wp14">
  <w:body>
    <w:p>
      <w:pPr>
        <w:pStyle w:val="Title"/>
      </w:pPr>
      <w:r>
        <w:rPr>
          <w:rFonts w:ascii="Calibri" w:hAnsi="Calibri"/>
          <w:color w:val="1F3A5F"/>
        </w:rPr>
        <w:t>CliniProof Resident-Seed-Guided Case Validation</w:t>
      </w:r>
    </w:p>
    <w:p>
      <w:pPr>
        <w:spacing w:after="120"/>
      </w:pPr>
      <w:r>
        <w:rPr>
          <w:rFonts w:ascii="Calibri" w:hAnsi="Calibri" w:cs="Calibri"/>
          <w:b w:val="0"/>
          <w:sz w:val="22"/>
        </w:rPr>
        <w:t>Case set: CLINIPROOF_SEEDCASES_V3</w:t>
      </w:r>
    </w:p>
    <w:p>
      <w:pPr>
        <w:spacing w:after="120"/>
      </w:pPr>
      <w:r>
        <w:rPr>
          <w:rFonts w:ascii="Calibri" w:hAnsi="Calibri" w:cs="Calibri"/>
          <w:b w:val="0"/>
          <w:sz w:val="22"/>
        </w:rPr>
        <w:t>Cases: VAL-801–VAL-824</w:t>
      </w:r>
    </w:p>
    <w:p>
      <w:pPr>
        <w:spacing w:after="120"/>
      </w:pPr>
      <w:r>
        <w:rPr>
          <w:rFonts w:ascii="Calibri" w:hAnsi="Calibri" w:cs="Calibri"/>
          <w:b w:val="0"/>
          <w:sz w:val="22"/>
        </w:rPr>
        <w:t>Number of cases: 24</w:t>
      </w:r>
    </w:p>
    <w:p>
      <w:pPr>
        <w:spacing w:after="120"/>
      </w:pPr>
      <w:r>
        <w:rPr>
          <w:rFonts w:ascii="Calibri" w:hAnsi="Calibri" w:cs="Calibri"/>
          <w:b w:val="0"/>
          <w:sz w:val="22"/>
        </w:rPr>
        <w:t>Purpose: Clinical validation of synthetic medication-reconciliation and transition-of-care assessment cases.</w:t>
      </w:r>
    </w:p>
    <w:p>
      <w:pPr>
        <w:spacing w:after="120"/>
      </w:pPr>
      <w:r>
        <w:rPr>
          <w:rFonts w:ascii="Calibri" w:hAnsi="Calibri" w:cs="Calibri"/>
          <w:b w:val="0"/>
          <w:sz w:val="22"/>
        </w:rPr>
        <w:t xml:space="preserve">Reviewer code: </w:t>
      </w:r>
      <w:sdt>
        <w:sdtPr>
          <w:rPr>
            <w:rFonts w:ascii="Calibri" w:hAnsi="Calibri" w:cs="Calibri"/>
            <w:sz w:val="22"/>
            <w:szCs w:val="22"/>
            <w:u w:val="single"/>
          </w:rPr>
          <w:alias w:val="Reviewer code"/>
          <w:tag w:val="reviewer-code"/>
          <w:id w:val="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Review date: </w:t>
      </w:r>
      <w:sdt>
        <w:sdtPr>
          <w:rPr>
            <w:rFonts w:ascii="Calibri" w:hAnsi="Calibri" w:cs="Calibri"/>
            <w:sz w:val="22"/>
            <w:szCs w:val="22"/>
            <w:u w:val="single"/>
          </w:rPr>
          <w:alias w:val="Review date"/>
          <w:tag w:val="review-date"/>
          <w:id w:val="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Please select one response per item unless otherwise indicated.</w:t>
      </w:r>
    </w:p>
    <w:p>
      <w:pPr>
        <w:spacing w:after="120"/>
      </w:pPr>
      <w:r>
        <w:rPr>
          <w:rFonts w:ascii="Calibri" w:hAnsi="Calibri" w:cs="Calibri"/>
          <w:b w:val="0"/>
          <w:sz w:val="22"/>
        </w:rPr>
        <w:t>These are clinician-validation documents. They contain case-specific validation references that will not be shown to residents during the later assessment study.</w:t>
      </w:r>
    </w:p>
    <w:p>
      <w:pPr>
        <w:pStyle w:val="Heading1"/>
      </w:pPr>
      <w:r>
        <w:rPr>
          <w:rFonts w:ascii="Calibri" w:hAnsi="Calibri"/>
          <w:color w:val="1F3A5F"/>
        </w:rPr>
        <w:t>This case set</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6048"/>
            <w:shd w:val="clear" w:color="auto" w:fill="D9E2F3"/>
          </w:tcPr>
          <w:p>
            <w:pPr>
              <w:spacing w:after="20" w:before="20"/>
            </w:pPr>
            <w:r>
              <w:rPr>
                <w:rFonts w:ascii="Calibri" w:hAnsi="Calibri" w:cs="Calibri"/>
                <w:b/>
                <w:sz w:val="20"/>
              </w:rPr>
              <w:t>Count</w:t>
            </w:r>
          </w:p>
        </w:tc>
        <w:tc>
          <w:tcPr>
            <w:tcW w:type="dxa" w:w="3744"/>
            <w:shd w:val="clear" w:color="auto" w:fill="D9E2F3"/>
          </w:tcPr>
          <w:p>
            <w:pPr>
              <w:spacing w:after="20" w:before="20"/>
            </w:pPr>
            <w:r>
              <w:rPr>
                <w:rFonts w:ascii="Calibri" w:hAnsi="Calibri" w:cs="Calibri"/>
                <w:b/>
                <w:sz w:val="20"/>
              </w:rPr>
              <w:t>Number</w:t>
            </w:r>
          </w:p>
        </w:tc>
      </w:tr>
      <w:tr>
        <w:trPr>
          <w:cantSplit/>
        </w:trPr>
        <w:tc>
          <w:tcPr>
            <w:tcW w:type="dxa" w:w="6048"/>
          </w:tcPr>
          <w:p>
            <w:pPr>
              <w:spacing w:after="20" w:before="20"/>
            </w:pPr>
            <w:r>
              <w:rPr>
                <w:rFonts w:ascii="Calibri" w:hAnsi="Calibri" w:cs="Calibri"/>
                <w:b w:val="0"/>
                <w:sz w:val="20"/>
              </w:rPr>
              <w:t>Cases</w:t>
            </w:r>
          </w:p>
        </w:tc>
        <w:tc>
          <w:tcPr>
            <w:tcW w:type="dxa" w:w="3744"/>
          </w:tcPr>
          <w:p>
            <w:pPr>
              <w:spacing w:after="20" w:before="20"/>
            </w:pPr>
            <w:r>
              <w:rPr>
                <w:rFonts w:ascii="Calibri" w:hAnsi="Calibri" w:cs="Calibri"/>
                <w:b w:val="0"/>
                <w:sz w:val="20"/>
              </w:rPr>
              <w:t>24</w:t>
            </w:r>
          </w:p>
        </w:tc>
      </w:tr>
      <w:tr>
        <w:trPr>
          <w:cantSplit/>
        </w:trPr>
        <w:tc>
          <w:tcPr>
            <w:tcW w:type="dxa" w:w="6048"/>
          </w:tcPr>
          <w:p>
            <w:pPr>
              <w:spacing w:after="20" w:before="20"/>
            </w:pPr>
            <w:r>
              <w:rPr>
                <w:rFonts w:ascii="Calibri" w:hAnsi="Calibri" w:cs="Calibri"/>
                <w:b w:val="0"/>
                <w:sz w:val="20"/>
              </w:rPr>
              <w:t>Clean controls</w:t>
            </w:r>
          </w:p>
        </w:tc>
        <w:tc>
          <w:tcPr>
            <w:tcW w:type="dxa" w:w="3744"/>
          </w:tcPr>
          <w:p>
            <w:pPr>
              <w:spacing w:after="20" w:before="20"/>
            </w:pPr>
            <w:r>
              <w:rPr>
                <w:rFonts w:ascii="Calibri" w:hAnsi="Calibri" w:cs="Calibri"/>
                <w:b w:val="0"/>
                <w:sz w:val="20"/>
              </w:rPr>
              <w:t>4</w:t>
            </w:r>
          </w:p>
        </w:tc>
      </w:tr>
      <w:tr>
        <w:trPr>
          <w:cantSplit/>
        </w:trPr>
        <w:tc>
          <w:tcPr>
            <w:tcW w:type="dxa" w:w="6048"/>
          </w:tcPr>
          <w:p>
            <w:pPr>
              <w:spacing w:after="20" w:before="20"/>
            </w:pPr>
            <w:r>
              <w:rPr>
                <w:rFonts w:ascii="Calibri" w:hAnsi="Calibri" w:cs="Calibri"/>
                <w:b w:val="0"/>
                <w:sz w:val="20"/>
              </w:rPr>
              <w:t>Error-bearing cases</w:t>
            </w:r>
          </w:p>
        </w:tc>
        <w:tc>
          <w:tcPr>
            <w:tcW w:type="dxa" w:w="3744"/>
          </w:tcPr>
          <w:p>
            <w:pPr>
              <w:spacing w:after="20" w:before="20"/>
            </w:pPr>
            <w:r>
              <w:rPr>
                <w:rFonts w:ascii="Calibri" w:hAnsi="Calibri" w:cs="Calibri"/>
                <w:b w:val="0"/>
                <w:sz w:val="20"/>
              </w:rPr>
              <w:t>20</w:t>
            </w:r>
          </w:p>
        </w:tc>
      </w:tr>
      <w:tr>
        <w:trPr>
          <w:cantSplit/>
        </w:trPr>
        <w:tc>
          <w:tcPr>
            <w:tcW w:type="dxa" w:w="6048"/>
          </w:tcPr>
          <w:p>
            <w:pPr>
              <w:spacing w:after="20" w:before="20"/>
            </w:pPr>
            <w:r>
              <w:rPr>
                <w:rFonts w:ascii="Calibri" w:hAnsi="Calibri" w:cs="Calibri"/>
                <w:b w:val="0"/>
                <w:sz w:val="20"/>
              </w:rPr>
              <w:t>Family 1</w:t>
            </w:r>
          </w:p>
        </w:tc>
        <w:tc>
          <w:tcPr>
            <w:tcW w:type="dxa" w:w="3744"/>
          </w:tcPr>
          <w:p>
            <w:pPr>
              <w:spacing w:after="20" w:before="20"/>
            </w:pPr>
            <w:r>
              <w:rPr>
                <w:rFonts w:ascii="Calibri" w:hAnsi="Calibri" w:cs="Calibri"/>
                <w:b w:val="0"/>
                <w:sz w:val="20"/>
              </w:rPr>
              <w:t>7</w:t>
            </w:r>
          </w:p>
        </w:tc>
      </w:tr>
      <w:tr>
        <w:trPr>
          <w:cantSplit/>
        </w:trPr>
        <w:tc>
          <w:tcPr>
            <w:tcW w:type="dxa" w:w="6048"/>
          </w:tcPr>
          <w:p>
            <w:pPr>
              <w:spacing w:after="20" w:before="20"/>
            </w:pPr>
            <w:r>
              <w:rPr>
                <w:rFonts w:ascii="Calibri" w:hAnsi="Calibri" w:cs="Calibri"/>
                <w:b w:val="0"/>
                <w:sz w:val="20"/>
              </w:rPr>
              <w:t>Family 2</w:t>
            </w:r>
          </w:p>
        </w:tc>
        <w:tc>
          <w:tcPr>
            <w:tcW w:type="dxa" w:w="3744"/>
          </w:tcPr>
          <w:p>
            <w:pPr>
              <w:spacing w:after="20" w:before="20"/>
            </w:pPr>
            <w:r>
              <w:rPr>
                <w:rFonts w:ascii="Calibri" w:hAnsi="Calibri" w:cs="Calibri"/>
                <w:b w:val="0"/>
                <w:sz w:val="20"/>
              </w:rPr>
              <w:t>13</w:t>
            </w:r>
          </w:p>
        </w:tc>
      </w:tr>
    </w:tbl>
    <w:p>
      <w:pPr>
        <w:spacing w:after="40"/>
      </w:pPr>
    </w:p>
    <w:p>
      <w:pPr>
        <w:spacing w:after="120"/>
      </w:pPr>
      <w:r>
        <w:rPr>
          <w:rFonts w:ascii="Calibri" w:hAnsi="Calibri" w:cs="Calibri"/>
          <w:b w:val="0"/>
          <w:sz w:val="22"/>
        </w:rPr>
        <w:t>The counts above describe the set. They do not say which case is which. Read each clinical chart before you read that case's validation reference.</w:t>
      </w:r>
    </w:p>
    <w:p>
      <w:pPr>
        <w:pStyle w:val="Heading1"/>
      </w:pPr>
      <w:r>
        <w:rPr>
          <w:rFonts w:ascii="Calibri" w:hAnsi="Calibri"/>
          <w:color w:val="1F3A5F"/>
        </w:rPr>
        <w:t>What you are validating</w:t>
      </w:r>
    </w:p>
    <w:p>
      <w:pPr>
        <w:spacing w:after="120"/>
      </w:pPr>
      <w:r>
        <w:rPr>
          <w:rFonts w:ascii="Calibri" w:hAnsi="Calibri" w:cs="Calibri"/>
          <w:b w:val="0"/>
          <w:sz w:val="22"/>
        </w:rPr>
        <w:t>Each case is a synthetic inpatient clinical chart intended for medication-reconciliation and transition-of-care assessment. Some cases are clean controls. Some cases are error-bearing cases.</w:t>
      </w:r>
    </w:p>
    <w:p>
      <w:pPr>
        <w:pStyle w:val="Heading2"/>
      </w:pPr>
      <w:r>
        <w:rPr>
          <w:rFonts w:ascii="Calibri" w:hAnsi="Calibri"/>
          <w:color w:val="1F3A5F"/>
        </w:rPr>
        <w:t>Clean control</w:t>
      </w:r>
    </w:p>
    <w:p>
      <w:pPr>
        <w:spacing w:after="120"/>
      </w:pPr>
      <w:r>
        <w:rPr>
          <w:rFonts w:ascii="Calibri" w:hAnsi="Calibri" w:cs="Calibri"/>
          <w:b w:val="0"/>
          <w:sz w:val="22"/>
        </w:rPr>
        <w:t>A clean-control case contains no deliberately introduced medication-reconciliation or transition-of-care discrepancy. Still look actively for unintended clinical problems.</w:t>
      </w:r>
    </w:p>
    <w:p>
      <w:pPr>
        <w:pStyle w:val="Heading2"/>
      </w:pPr>
      <w:r>
        <w:rPr>
          <w:rFonts w:ascii="Calibri" w:hAnsi="Calibri"/>
          <w:color w:val="1F3A5F"/>
        </w:rPr>
        <w:t>Error-bearing case</w:t>
      </w:r>
    </w:p>
    <w:p>
      <w:pPr>
        <w:spacing w:after="120"/>
      </w:pPr>
      <w:r>
        <w:rPr>
          <w:rFonts w:ascii="Calibri" w:hAnsi="Calibri" w:cs="Calibri"/>
          <w:b w:val="0"/>
          <w:sz w:val="22"/>
        </w:rPr>
        <w:t>An error-bearing case begins as a clean clinical case. After that clean case passes the implemented checks, exactly one pre-specified eligible assessment discrepancy is introduced.</w:t>
      </w:r>
    </w:p>
    <w:p>
      <w:pPr>
        <w:spacing w:after="120"/>
      </w:pPr>
      <w:r>
        <w:rPr>
          <w:rFonts w:ascii="Calibri" w:hAnsi="Calibri" w:cs="Calibri"/>
          <w:b w:val="0"/>
          <w:sz w:val="22"/>
        </w:rPr>
        <w:t>Clean clinical case, then automated checks. A clean control stops there, with no planted discrepancy. An error-bearing case then receives one pre-specified discrepancy, followed by post-injection checks.</w:t>
      </w:r>
    </w:p>
    <w:p>
      <w:pPr>
        <w:spacing w:after="120"/>
      </w:pPr>
      <w:r>
        <w:rPr>
          <w:rFonts w:ascii="Calibri" w:hAnsi="Calibri" w:cs="Calibri"/>
          <w:b w:val="0"/>
          <w:sz w:val="22"/>
        </w:rPr>
        <w:t>You are being asked whether that intended design actually works clinically.</w:t>
      </w:r>
    </w:p>
    <w:p>
      <w:pPr>
        <w:pStyle w:val="Heading2"/>
      </w:pPr>
      <w:r>
        <w:rPr>
          <w:rFonts w:ascii="Calibri" w:hAnsi="Calibri"/>
          <w:color w:val="1F3A5F"/>
        </w:rPr>
        <w:t>Family 1 — medication-regimen discrepancies</w:t>
      </w:r>
    </w:p>
    <w:p>
      <w:pPr>
        <w:spacing w:after="120"/>
      </w:pPr>
      <w:r>
        <w:rPr>
          <w:rFonts w:ascii="Calibri" w:hAnsi="Calibri" w:cs="Calibri"/>
          <w:b w:val="0"/>
          <w:sz w:val="22"/>
        </w:rPr>
        <w:t>Problems involving the medication regimen itself. Implemented categories:</w:t>
      </w:r>
    </w:p>
    <w:p>
      <w:pPr>
        <w:spacing w:after="120"/>
      </w:pPr>
      <w:r>
        <w:rPr>
          <w:rFonts w:ascii="Calibri" w:hAnsi="Calibri" w:cs="Calibri"/>
          <w:b w:val="0"/>
          <w:sz w:val="22"/>
        </w:rPr>
        <w:t>• Medication inappropriately added or continued</w:t>
      </w:r>
    </w:p>
    <w:p>
      <w:pPr>
        <w:spacing w:after="120"/>
      </w:pPr>
      <w:r>
        <w:rPr>
          <w:rFonts w:ascii="Calibri" w:hAnsi="Calibri" w:cs="Calibri"/>
          <w:b w:val="0"/>
          <w:sz w:val="22"/>
        </w:rPr>
        <w:t>• Unexplained dose discrepancy</w:t>
      </w:r>
    </w:p>
    <w:p>
      <w:pPr>
        <w:spacing w:after="120"/>
      </w:pPr>
      <w:r>
        <w:rPr>
          <w:rFonts w:ascii="Calibri" w:hAnsi="Calibri" w:cs="Calibri"/>
          <w:b w:val="0"/>
          <w:sz w:val="22"/>
        </w:rPr>
        <w:t>• Unexplained frequency discrepancy</w:t>
      </w:r>
    </w:p>
    <w:p>
      <w:pPr>
        <w:spacing w:after="120"/>
      </w:pPr>
      <w:r>
        <w:rPr>
          <w:rFonts w:ascii="Calibri" w:hAnsi="Calibri" w:cs="Calibri"/>
          <w:b w:val="0"/>
          <w:sz w:val="22"/>
        </w:rPr>
        <w:t>• Medication omitted at discharge</w:t>
      </w:r>
    </w:p>
    <w:p>
      <w:pPr>
        <w:spacing w:after="120"/>
      </w:pPr>
      <w:r>
        <w:rPr>
          <w:rFonts w:ascii="Calibri" w:hAnsi="Calibri" w:cs="Calibri"/>
          <w:b w:val="0"/>
          <w:sz w:val="22"/>
        </w:rPr>
        <w:t>• Unexplained route discrepancy</w:t>
      </w:r>
    </w:p>
    <w:p>
      <w:pPr>
        <w:spacing w:after="120"/>
      </w:pPr>
      <w:r>
        <w:rPr>
          <w:rFonts w:ascii="Calibri" w:hAnsi="Calibri" w:cs="Calibri"/>
          <w:b w:val="0"/>
          <w:sz w:val="22"/>
        </w:rPr>
        <w:t>• Unexplained therapeutic substitution</w:t>
      </w:r>
    </w:p>
    <w:p>
      <w:pPr>
        <w:pStyle w:val="Heading2"/>
      </w:pPr>
      <w:r>
        <w:rPr>
          <w:rFonts w:ascii="Calibri" w:hAnsi="Calibri"/>
          <w:color w:val="1F3A5F"/>
        </w:rPr>
        <w:t>Family 2 — transition-of-care gaps</w:t>
      </w:r>
    </w:p>
    <w:p>
      <w:pPr>
        <w:spacing w:after="120"/>
      </w:pPr>
      <w:r>
        <w:rPr>
          <w:rFonts w:ascii="Calibri" w:hAnsi="Calibri" w:cs="Calibri"/>
          <w:b w:val="0"/>
          <w:sz w:val="22"/>
        </w:rPr>
        <w:t>Problems involving the plan surrounding medication transitions. Implemented categories:</w:t>
      </w:r>
    </w:p>
    <w:p>
      <w:pPr>
        <w:spacing w:after="120"/>
      </w:pPr>
      <w:r>
        <w:rPr>
          <w:rFonts w:ascii="Calibri" w:hAnsi="Calibri" w:cs="Calibri"/>
          <w:b w:val="0"/>
          <w:sz w:val="22"/>
        </w:rPr>
        <w:t>• Held medication without a restart plan</w:t>
      </w:r>
    </w:p>
    <w:p>
      <w:pPr>
        <w:spacing w:after="120"/>
      </w:pPr>
      <w:r>
        <w:rPr>
          <w:rFonts w:ascii="Calibri" w:hAnsi="Calibri" w:cs="Calibri"/>
          <w:b w:val="0"/>
          <w:sz w:val="22"/>
        </w:rPr>
        <w:t>• Hospital-only medication continued after discharge</w:t>
      </w:r>
    </w:p>
    <w:p>
      <w:pPr>
        <w:spacing w:after="120"/>
      </w:pPr>
      <w:r>
        <w:rPr>
          <w:rFonts w:ascii="Calibri" w:hAnsi="Calibri" w:cs="Calibri"/>
          <w:b w:val="0"/>
          <w:sz w:val="22"/>
        </w:rPr>
        <w:t>• Temporary inpatient substitution not addressed at discharge</w:t>
      </w:r>
    </w:p>
    <w:p>
      <w:pPr>
        <w:spacing w:after="120"/>
      </w:pPr>
      <w:r>
        <w:rPr>
          <w:rFonts w:ascii="Calibri" w:hAnsi="Calibri" w:cs="Calibri"/>
          <w:b w:val="0"/>
          <w:sz w:val="22"/>
        </w:rPr>
        <w:t>• Insufficient medication supply</w:t>
      </w:r>
    </w:p>
    <w:p>
      <w:pPr>
        <w:spacing w:after="120"/>
      </w:pPr>
      <w:r>
        <w:rPr>
          <w:rFonts w:ascii="Calibri" w:hAnsi="Calibri" w:cs="Calibri"/>
          <w:b w:val="0"/>
          <w:sz w:val="22"/>
        </w:rPr>
        <w:t>• Required outpatient monitoring not arranged</w:t>
      </w:r>
    </w:p>
    <w:p>
      <w:pPr>
        <w:spacing w:after="120"/>
      </w:pPr>
      <w:r>
        <w:rPr>
          <w:rFonts w:ascii="Calibri" w:hAnsi="Calibri" w:cs="Calibri"/>
          <w:b w:val="0"/>
          <w:sz w:val="22"/>
        </w:rPr>
        <w:t>• Follow-up missing for an unresolved treatment decision</w:t>
      </w:r>
    </w:p>
    <w:p>
      <w:pPr>
        <w:spacing w:after="120"/>
      </w:pPr>
      <w:r>
        <w:rPr>
          <w:rFonts w:ascii="Calibri" w:hAnsi="Calibri" w:cs="Calibri"/>
          <w:b w:val="0"/>
          <w:sz w:val="22"/>
        </w:rPr>
        <w:t>A category that is defined but not implemented is not listed here and is not used in these case sets.</w:t>
      </w:r>
    </w:p>
    <w:p>
      <w:pPr>
        <w:pStyle w:val="Heading1"/>
      </w:pPr>
      <w:r>
        <w:rPr>
          <w:rFonts w:ascii="Calibri" w:hAnsi="Calibri"/>
          <w:color w:val="1F3A5F"/>
        </w:rPr>
        <w:t>How to review each case</w:t>
      </w:r>
    </w:p>
    <w:p>
      <w:pPr>
        <w:spacing w:after="120"/>
      </w:pPr>
      <w:r>
        <w:rPr>
          <w:rFonts w:ascii="Calibri" w:hAnsi="Calibri" w:cs="Calibri"/>
          <w:b w:val="0"/>
          <w:sz w:val="22"/>
        </w:rPr>
        <w:t>Step 1. Read the clinical case first.</w:t>
      </w:r>
    </w:p>
    <w:p>
      <w:pPr>
        <w:spacing w:after="120"/>
      </w:pPr>
      <w:r>
        <w:rPr>
          <w:rFonts w:ascii="Calibri" w:hAnsi="Calibri" w:cs="Calibri"/>
          <w:b w:val="0"/>
          <w:sz w:val="22"/>
        </w:rPr>
        <w:t>Step 2. Complete C1 — Clinical plausibility before using the case-specific validation reference.</w:t>
      </w:r>
    </w:p>
    <w:p>
      <w:pPr>
        <w:spacing w:after="120"/>
      </w:pPr>
      <w:r>
        <w:rPr>
          <w:rFonts w:ascii="Calibri" w:hAnsi="Calibri" w:cs="Calibri"/>
          <w:b w:val="0"/>
          <w:sz w:val="22"/>
        </w:rPr>
        <w:t>Step 3. Read the Validation Reference immediately following C1.</w:t>
      </w:r>
    </w:p>
    <w:p>
      <w:pPr>
        <w:spacing w:after="120"/>
      </w:pPr>
      <w:r>
        <w:rPr>
          <w:rFonts w:ascii="Calibri" w:hAnsi="Calibri" w:cs="Calibri"/>
          <w:b w:val="0"/>
          <w:sz w:val="22"/>
        </w:rPr>
        <w:t>Step 4. Complete C2 through C5.</w:t>
      </w:r>
    </w:p>
    <w:p>
      <w:pPr>
        <w:spacing w:after="120"/>
      </w:pPr>
      <w:r>
        <w:rPr>
          <w:rFonts w:ascii="Calibri" w:hAnsi="Calibri" w:cs="Calibri"/>
          <w:b w:val="0"/>
          <w:sz w:val="22"/>
        </w:rPr>
        <w:t>Step 5. Select Accept, Revise, or Exclude.</w:t>
      </w:r>
    </w:p>
    <w:p>
      <w:pPr>
        <w:spacing w:after="120"/>
      </w:pPr>
      <w:r>
        <w:rPr>
          <w:rFonts w:ascii="Calibri" w:hAnsi="Calibri" w:cs="Calibri"/>
          <w:b w:val="0"/>
          <w:sz w:val="22"/>
        </w:rPr>
        <w:t>Step 6. Add comments where required or useful.</w:t>
      </w:r>
    </w:p>
    <w:p>
      <w:pPr>
        <w:spacing w:after="120"/>
      </w:pPr>
      <w:r>
        <w:rPr>
          <w:rFonts w:ascii="Calibri" w:hAnsi="Calibri" w:cs="Calibri"/>
          <w:b w:val="0"/>
          <w:sz w:val="22"/>
        </w:rPr>
        <w:t>C1 should reflect your impression of the patient-facing case. Do not use the validation reference to decide C1.</w:t>
      </w:r>
    </w:p>
    <w:p>
      <w:pPr>
        <w:pStyle w:val="Heading1"/>
      </w:pPr>
      <w:r>
        <w:rPr>
          <w:rFonts w:ascii="Calibri" w:hAnsi="Calibri"/>
          <w:color w:val="1F3A5F"/>
        </w:rPr>
        <w:t>Saving your completed review</w:t>
      </w:r>
    </w:p>
    <w:p>
      <w:pPr>
        <w:spacing w:after="120"/>
      </w:pPr>
      <w:r>
        <w:rPr>
          <w:rFonts w:ascii="Calibri" w:hAnsi="Calibri" w:cs="Calibri"/>
          <w:b w:val="0"/>
          <w:sz w:val="22"/>
        </w:rPr>
        <w:t>Please save a separate copy of this document before entering your ratings. Do not overwrite the original review file.</w:t>
      </w:r>
    </w:p>
    <w:p>
      <w:pPr>
        <w:spacing w:after="120"/>
      </w:pPr>
      <w:r>
        <w:rPr>
          <w:rFonts w:ascii="Calibri" w:hAnsi="Calibri" w:cs="Calibri"/>
          <w:b w:val="0"/>
          <w:sz w:val="22"/>
        </w:rPr>
        <w:t>Filename: CliniProof_SeedGuided_Validation_[ReviewerCode]_[YYYY-MM-DD].docx</w:t>
      </w:r>
    </w:p>
    <w:p>
      <w:pPr>
        <w:spacing w:after="120"/>
      </w:pPr>
      <w:r>
        <w:rPr>
          <w:rFonts w:ascii="Calibri" w:hAnsi="Calibri" w:cs="Calibri"/>
          <w:b w:val="0"/>
          <w:sz w:val="22"/>
        </w:rPr>
        <w:t>Use the reviewer code assigned by the study team. Do not put a full name in the filename.</w:t>
      </w:r>
    </w:p>
    <w:p>
      <w:pPr>
        <w:pStyle w:val="Heading1"/>
      </w:pPr>
      <w:r>
        <w:rPr>
          <w:rFonts w:ascii="Calibri" w:hAnsi="Calibri"/>
          <w:color w:val="1F3A5F"/>
        </w:rPr>
        <w:t>Returning your completed validation</w:t>
      </w:r>
    </w:p>
    <w:p>
      <w:pPr>
        <w:spacing w:after="120"/>
      </w:pPr>
      <w:r>
        <w:rPr>
          <w:rFonts w:ascii="Calibri" w:hAnsi="Calibri" w:cs="Calibri"/>
          <w:b w:val="0"/>
          <w:sz w:val="22"/>
        </w:rPr>
        <w:t>Return the completed Word document to the study investigator using the agreed study communication channel.</w:t>
      </w:r>
    </w:p>
    <w:p>
      <w:pPr>
        <w:spacing w:after="120"/>
      </w:pPr>
      <w:r>
        <w:rPr>
          <w:rFonts w:ascii="Calibri" w:hAnsi="Calibri" w:cs="Calibri"/>
          <w:b w:val="0"/>
          <w:sz w:val="22"/>
        </w:rPr>
        <w:t>Reviewers do not need to edit GitHub, open a pull request, or upload their completed validation to the public repository.</w:t>
      </w:r>
    </w:p>
    <w:p>
      <w:pPr>
        <w:spacing w:after="120"/>
      </w:pPr>
      <w:r>
        <w:rPr>
          <w:rFonts w:ascii="Calibri" w:hAnsi="Calibri" w:cs="Calibri"/>
          <w:b w:val="0"/>
          <w:sz w:val="22"/>
        </w:rPr>
        <w:t>Cases in this document:</w:t>
      </w:r>
    </w:p>
    <w:p>
      <w:pPr>
        <w:spacing w:after="120"/>
      </w:pPr>
      <w:r>
        <w:rPr>
          <w:rFonts w:ascii="Calibri" w:hAnsi="Calibri" w:cs="Calibri"/>
          <w:b w:val="0"/>
          <w:sz w:val="22"/>
        </w:rPr>
        <w:t>VAL-801, VAL-802, VAL-803, VAL-804, VAL-805, VAL-806, VAL-807, VAL-808, VAL-809, VAL-810, VAL-811, VAL-812, VAL-813, VAL-814, VAL-815, VAL-816, VAL-817, VAL-818, VAL-819, VAL-820, VAL-821, VAL-822, VAL-823, VAL-824</w:t>
      </w:r>
    </w:p>
    <w:p>
      <w:pPr>
        <w:sectPr>
          <w:footerReference w:type="default" r:id="rId9"/>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VAL-801</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75</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81.000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general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Delirium due to known physiological condition</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75-year-old Male with Delirium due to known physiological condition</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Confusion, Fatigue in the setting of Delirium due to known physiological condition</w:t>
      </w:r>
    </w:p>
    <w:p>
      <w:pPr>
        <w:pStyle w:val="ListBullet"/>
        <w:spacing w:after="40" w:before="0"/>
      </w:pPr>
      <w:r>
        <w:rPr>
          <w:rFonts w:ascii="Calibri" w:hAnsi="Calibri" w:cs="Calibri"/>
          <w:b/>
          <w:sz w:val="22"/>
        </w:rPr>
        <w:t xml:space="preserve">Symptoms: </w:t>
      </w:r>
      <w:r>
        <w:rPr>
          <w:rFonts w:ascii="Calibri" w:hAnsi="Calibri" w:cs="Calibri"/>
          <w:b w:val="0"/>
          <w:sz w:val="22"/>
        </w:rPr>
        <w:t>Confusion, Fatigue</w:t>
      </w:r>
    </w:p>
    <w:p>
      <w:pPr>
        <w:pStyle w:val="ListBullet"/>
        <w:spacing w:after="40" w:before="0"/>
      </w:pPr>
      <w:r>
        <w:rPr>
          <w:rFonts w:ascii="Calibri" w:hAnsi="Calibri" w:cs="Calibri"/>
          <w:b/>
          <w:sz w:val="22"/>
        </w:rPr>
        <w:t xml:space="preserve">Symptom duration: </w:t>
      </w:r>
      <w:r>
        <w:rPr>
          <w:rFonts w:ascii="Calibri" w:hAnsi="Calibri" w:cs="Calibri"/>
          <w:b w:val="0"/>
          <w:sz w:val="22"/>
        </w:rPr>
        <w:t>several days</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 75-year-old Male is admitted with Delirium due to known physiological condition. Presenting symptoms include Confusion, Fatigue, present for several days and improving after treatment. Home medications include lisinopril 10 MG Oral Tablet, atorvastatin 40 MG Oral Tablet, metformin hydrochloride 500 MG Oral Tablet. ibuprofen 400 MG Oral Tablet was stopped during this admission. Admitted for delirium with an initially incomplete medication history. The patient could not supply a reliable medication history at admission. A collateral home-medication list arrived later and was verified. Ibuprofen had already been stopped and was recorded separately from names that were still uncertain. A collateral medication list was obtained after admission and verified. Medications that had been stopped were recorded separately from names that remained uncertain.</w:t>
      </w:r>
    </w:p>
    <w:p>
      <w:pPr>
        <w:pStyle w:val="Heading3"/>
      </w:pPr>
      <w:r>
        <w:rPr>
          <w:rFonts w:ascii="Calibri" w:hAnsi="Calibri"/>
          <w:color w:val="1F3A5F"/>
        </w:rPr>
        <w:t>Admission note</w:t>
      </w:r>
    </w:p>
    <w:p>
      <w:pPr>
        <w:spacing w:after="120"/>
      </w:pPr>
      <w:r>
        <w:rPr>
          <w:rFonts w:ascii="Calibri" w:hAnsi="Calibri" w:cs="Calibri"/>
          <w:b w:val="0"/>
          <w:sz w:val="22"/>
        </w:rPr>
        <w:t>Admission note for a 75-year-old Male with Delirium due to known physiological condition. Symptoms: Confusion, Fatigue for several days (improving after treatment). Medications continued from home: lisinopril 10 MG Oral Tablet, atorvastatin 40 MG Oral Tablet, metformin hydrochloride 500 MG Oral Tablet. ibuprofen 400 MG Oral Tablet was stopped during this admission. Admitted for delirium with an initially incomplete medication history. The patient could not supply a reliable medication history at admission. A collateral home-medication list arrived later and was verified. Ibuprofen had already been stopped and was recorded separately from names that were still uncertain. A collateral medication list was obtained after admission and verified. Medications that had been stopped were recorded separately from names that remained uncertain.</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Essential (primary) hypertension, Type 2 diabetes mellitus without complications,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Delirium due to known physiological condition</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Delirium due to known physiological condition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A collateral medication list was obtained after admission and verified. Medications that had been stopped were recorded separately from names that remained uncertain.</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Yes</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136/78</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85</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20</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163.0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1.1</w:t>
            </w:r>
          </w:p>
        </w:tc>
        <w:tc>
          <w:tcPr>
            <w:tcW w:type="dxa" w:w="2160"/>
          </w:tcPr>
          <w:p>
            <w:pPr>
              <w:spacing w:after="20" w:before="20"/>
            </w:pPr>
            <w:r>
              <w:rPr>
                <w:rFonts w:ascii="Calibri" w:hAnsi="Calibri" w:cs="Calibri"/>
                <w:b w:val="0"/>
                <w:sz w:val="20"/>
              </w:rPr>
              <w:t>mg/dL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81.000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121/71</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65</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20</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103.0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1.0</w:t>
            </w:r>
          </w:p>
        </w:tc>
        <w:tc>
          <w:tcPr>
            <w:tcW w:type="dxa" w:w="2160"/>
          </w:tcPr>
          <w:p>
            <w:pPr>
              <w:spacing w:after="20" w:before="20"/>
            </w:pPr>
            <w:r>
              <w:rPr>
                <w:rFonts w:ascii="Calibri" w:hAnsi="Calibri" w:cs="Calibri"/>
                <w:b w:val="0"/>
                <w:sz w:val="20"/>
              </w:rPr>
              <w:t>mg/dL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ibuprofen 400 MG Oral Tablet</w:t>
            </w:r>
          </w:p>
        </w:tc>
        <w:tc>
          <w:tcPr>
            <w:tcW w:type="dxa" w:w="1224"/>
          </w:tcPr>
          <w:p>
            <w:pPr>
              <w:spacing w:after="20" w:before="20"/>
            </w:pPr>
            <w:r>
              <w:rPr>
                <w:rFonts w:ascii="Calibri" w:hAnsi="Calibri" w:cs="Calibri"/>
                <w:b w:val="0"/>
                <w:sz w:val="20"/>
              </w:rPr>
              <w:t>400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8 hours as needed</w:t>
            </w:r>
          </w:p>
        </w:tc>
        <w:tc>
          <w:tcPr>
            <w:tcW w:type="dxa" w:w="2520"/>
          </w:tcPr>
          <w:p>
            <w:pPr>
              <w:spacing w:after="20" w:before="20"/>
            </w:pPr>
            <w:r>
              <w:rPr>
                <w:rFonts w:ascii="Calibri" w:hAnsi="Calibri" w:cs="Calibri"/>
                <w:b w:val="0"/>
                <w:sz w:val="20"/>
              </w:rPr>
              <w:t>Status: held; Indication: symptomatic analgesia; not a treatment for the admission diagnosis; Held reason: Stopped during this admission.</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ibuprofen 400 MG Oral Tablet</w:t>
            </w:r>
          </w:p>
        </w:tc>
        <w:tc>
          <w:tcPr>
            <w:tcW w:type="dxa" w:w="1224"/>
          </w:tcPr>
          <w:p>
            <w:pPr>
              <w:spacing w:after="20" w:before="20"/>
            </w:pPr>
            <w:r>
              <w:rPr>
                <w:rFonts w:ascii="Calibri" w:hAnsi="Calibri" w:cs="Calibri"/>
                <w:b w:val="0"/>
                <w:sz w:val="20"/>
              </w:rPr>
              <w:t>400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8 hours as needed</w:t>
            </w:r>
          </w:p>
        </w:tc>
        <w:tc>
          <w:tcPr>
            <w:tcW w:type="dxa" w:w="2520"/>
          </w:tcPr>
          <w:p>
            <w:pPr>
              <w:spacing w:after="20" w:before="20"/>
            </w:pPr>
            <w:r>
              <w:rPr>
                <w:rFonts w:ascii="Calibri" w:hAnsi="Calibri" w:cs="Calibri"/>
                <w:b w:val="0"/>
                <w:sz w:val="20"/>
              </w:rPr>
              <w:t>Status: held; Indication: symptomatic analgesia; not a treatment for the admission diagnosis; Held reason: Stopped during this admission.</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caregiver and pharmacy</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No</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3"/>
      </w:pPr>
      <w:r>
        <w:rPr>
          <w:rFonts w:ascii="Calibri" w:hAnsi="Calibri"/>
          <w:color w:val="1F3A5F"/>
        </w:rPr>
        <w:t>Reconciliation notes</w:t>
      </w:r>
    </w:p>
    <w:p>
      <w:pPr>
        <w:spacing w:after="120"/>
      </w:pPr>
      <w:r>
        <w:rPr>
          <w:rFonts w:ascii="Calibri" w:hAnsi="Calibri" w:cs="Calibri"/>
          <w:b w:val="0"/>
          <w:sz w:val="22"/>
        </w:rPr>
        <w:t>At admission the patient could not provide a reliable medication history because of delirium. After cognition improved, a collateral list from family and pharmacy fill history was verified. Unknown names were not converted into discharge orders.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Primary care follow-up after collateral medication verification</w:t>
            </w:r>
          </w:p>
        </w:tc>
        <w:tc>
          <w:tcPr>
            <w:tcW w:type="dxa" w:w="3264"/>
          </w:tcPr>
          <w:p>
            <w:pPr>
              <w:spacing w:after="20" w:before="20"/>
            </w:pPr>
            <w:r>
              <w:rPr>
                <w:rFonts w:ascii="Calibri" w:hAnsi="Calibri" w:cs="Calibri"/>
                <w:b w:val="0"/>
                <w:sz w:val="20"/>
              </w:rPr>
              <w:t>7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ibuprofen 400 MG Oral Tablet was stopped during this admission.</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geriatrics</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Delirium improved toward baseline.</w:t>
            </w:r>
          </w:p>
        </w:tc>
        <w:tc>
          <w:tcPr>
            <w:tcW w:type="dxa" w:w="2448"/>
          </w:tcPr>
          <w:p>
            <w:pPr>
              <w:spacing w:after="20" w:before="20"/>
            </w:pPr>
            <w:r>
              <w:rPr>
                <w:rFonts w:ascii="Calibri" w:hAnsi="Calibri" w:cs="Calibri"/>
                <w:b w:val="0"/>
                <w:sz w:val="20"/>
              </w:rPr>
              <w:t>Use the verified collateral medication list at discharge.</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Confusion</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3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4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4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4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5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5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5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5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10"/>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VAL-802</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81</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83.000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general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Delirium due to known physiological condition</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81-year-old Female with Delirium due to known physiological condition</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Confusion in the setting of Delirium due to known physiological condition</w:t>
      </w:r>
    </w:p>
    <w:p>
      <w:pPr>
        <w:pStyle w:val="ListBullet"/>
        <w:spacing w:after="40" w:before="0"/>
      </w:pPr>
      <w:r>
        <w:rPr>
          <w:rFonts w:ascii="Calibri" w:hAnsi="Calibri" w:cs="Calibri"/>
          <w:b/>
          <w:sz w:val="22"/>
        </w:rPr>
        <w:t xml:space="preserve">Symptoms: </w:t>
      </w:r>
      <w:r>
        <w:rPr>
          <w:rFonts w:ascii="Calibri" w:hAnsi="Calibri" w:cs="Calibri"/>
          <w:b w:val="0"/>
          <w:sz w:val="22"/>
        </w:rPr>
        <w:t>Confusion</w:t>
      </w:r>
    </w:p>
    <w:p>
      <w:pPr>
        <w:pStyle w:val="ListBullet"/>
        <w:spacing w:after="40" w:before="0"/>
      </w:pPr>
      <w:r>
        <w:rPr>
          <w:rFonts w:ascii="Calibri" w:hAnsi="Calibri" w:cs="Calibri"/>
          <w:b/>
          <w:sz w:val="22"/>
        </w:rPr>
        <w:t xml:space="preserve">Symptom duration: </w:t>
      </w:r>
      <w:r>
        <w:rPr>
          <w:rFonts w:ascii="Calibri" w:hAnsi="Calibri" w:cs="Calibri"/>
          <w:b w:val="0"/>
          <w:sz w:val="22"/>
        </w:rPr>
        <w:t>two days</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 81-year-old Female is admitted with Delirium due to known physiological condition. Presenting symptoms include Confusion, present for two days and improving after treatment. Home medications include lisinopril 10 MG Oral Tablet, atorvastatin 40 MG Oral Tablet. Admitted for delirium; a verified statin was confirmed from collateral sources. A later collateral list confirmed a continued statin. A collateral medication list was obtained after admission and verified. Medications that had been stopped were recorded separately from names that remained uncertain.</w:t>
      </w:r>
    </w:p>
    <w:p>
      <w:pPr>
        <w:pStyle w:val="Heading3"/>
      </w:pPr>
      <w:r>
        <w:rPr>
          <w:rFonts w:ascii="Calibri" w:hAnsi="Calibri"/>
          <w:color w:val="1F3A5F"/>
        </w:rPr>
        <w:t>Admission note</w:t>
      </w:r>
    </w:p>
    <w:p>
      <w:pPr>
        <w:spacing w:after="120"/>
      </w:pPr>
      <w:r>
        <w:rPr>
          <w:rFonts w:ascii="Calibri" w:hAnsi="Calibri" w:cs="Calibri"/>
          <w:b w:val="0"/>
          <w:sz w:val="22"/>
        </w:rPr>
        <w:t>Admission note for a 81-year-old Female with Delirium due to known physiological condition. Symptoms: Confusion for two days (improving after treatment). Medications continued from home: lisinopril 10 MG Oral Tablet, atorvastatin 40 MG Oral Tablet. Admitted for delirium; a verified statin was confirmed from collateral sources. A later collateral list confirmed a continued statin. A collateral medication list was obtained after admission and verified. Medications that had been stopped were recorded separately from names that remained uncertain.</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Essential (primary) hypertension,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Delirium due to known physiological condition</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Delirium due to known physiological condition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A collateral medication list was obtained after admission and verified. Medications that had been stopped were recorded separately from names that remained uncertain.</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138/69</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75</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15</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1.3</w:t>
            </w:r>
          </w:p>
        </w:tc>
        <w:tc>
          <w:tcPr>
            <w:tcW w:type="dxa" w:w="2160"/>
          </w:tcPr>
          <w:p>
            <w:pPr>
              <w:spacing w:after="20" w:before="20"/>
            </w:pPr>
            <w:r>
              <w:rPr>
                <w:rFonts w:ascii="Calibri" w:hAnsi="Calibri" w:cs="Calibri"/>
                <w:b w:val="0"/>
                <w:sz w:val="20"/>
              </w:rPr>
              <w:t>mg/dL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83.000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124/68</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74</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20</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97.00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1.2</w:t>
            </w:r>
          </w:p>
        </w:tc>
        <w:tc>
          <w:tcPr>
            <w:tcW w:type="dxa" w:w="2160"/>
          </w:tcPr>
          <w:p>
            <w:pPr>
              <w:spacing w:after="20" w:before="20"/>
            </w:pPr>
            <w:r>
              <w:rPr>
                <w:rFonts w:ascii="Calibri" w:hAnsi="Calibri" w:cs="Calibri"/>
                <w:b w:val="0"/>
                <w:sz w:val="20"/>
              </w:rPr>
              <w:t>mg/dL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pharmacy fill history</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No</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3"/>
      </w:pPr>
      <w:r>
        <w:rPr>
          <w:rFonts w:ascii="Calibri" w:hAnsi="Calibri"/>
          <w:color w:val="1F3A5F"/>
        </w:rPr>
        <w:t>Reconciliation notes</w:t>
      </w:r>
    </w:p>
    <w:p>
      <w:pPr>
        <w:spacing w:after="120"/>
      </w:pPr>
      <w:r>
        <w:rPr>
          <w:rFonts w:ascii="Calibri" w:hAnsi="Calibri" w:cs="Calibri"/>
          <w:b w:val="0"/>
          <w:sz w:val="22"/>
        </w:rPr>
        <w:t>A later pharmacy fill history confirmed a continued statin. Incomplete information at admission is recorded as such.</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Primary care medication-list follow-up</w:t>
            </w:r>
          </w:p>
        </w:tc>
        <w:tc>
          <w:tcPr>
            <w:tcW w:type="dxa" w:w="3264"/>
          </w:tcPr>
          <w:p>
            <w:pPr>
              <w:spacing w:after="20" w:before="20"/>
            </w:pPr>
            <w:r>
              <w:rPr>
                <w:rFonts w:ascii="Calibri" w:hAnsi="Calibri" w:cs="Calibri"/>
                <w:b w:val="0"/>
                <w:sz w:val="20"/>
              </w:rPr>
              <w:t>5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Confusion</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9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Error-bearing</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Family 1</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Medication omitted at discharge (f1_omission)</w:t>
            </w:r>
          </w:p>
        </w:tc>
      </w:tr>
      <w:tr>
        <w:trPr>
          <w:cantSplit/>
        </w:trPr>
        <w:tc>
          <w:tcPr>
            <w:tcW w:type="dxa" w:w="3744"/>
          </w:tcPr>
          <w:p>
            <w:pPr>
              <w:spacing w:after="20" w:before="20"/>
            </w:pPr>
            <w:r>
              <w:rPr>
                <w:rFonts w:ascii="Calibri" w:hAnsi="Calibri" w:cs="Calibri"/>
                <w:b w:val="0"/>
                <w:sz w:val="20"/>
              </w:rPr>
              <w:t>Intended assessment target</w:t>
            </w:r>
          </w:p>
        </w:tc>
        <w:tc>
          <w:tcPr>
            <w:tcW w:type="dxa" w:w="6048"/>
          </w:tcPr>
          <w:p>
            <w:pPr>
              <w:spacing w:after="20" w:before="20"/>
            </w:pPr>
            <w:r>
              <w:rPr>
                <w:rFonts w:ascii="Calibri" w:hAnsi="Calibri" w:cs="Calibri"/>
                <w:b w:val="0"/>
                <w:sz w:val="20"/>
              </w:rPr>
              <w:t>A medication indicated at discharge was omitted from the discharge medication list.</w:t>
            </w:r>
          </w:p>
        </w:tc>
      </w:tr>
      <w:tr>
        <w:trPr>
          <w:cantSplit/>
        </w:trPr>
        <w:tc>
          <w:tcPr>
            <w:tcW w:type="dxa" w:w="3744"/>
          </w:tcPr>
          <w:p>
            <w:pPr>
              <w:spacing w:after="20" w:before="20"/>
            </w:pPr>
            <w:r>
              <w:rPr>
                <w:rFonts w:ascii="Calibri" w:hAnsi="Calibri" w:cs="Calibri"/>
                <w:b w:val="0"/>
                <w:sz w:val="20"/>
              </w:rPr>
              <w:t>Medication involved</w:t>
            </w:r>
          </w:p>
        </w:tc>
        <w:tc>
          <w:tcPr>
            <w:tcW w:type="dxa" w:w="6048"/>
          </w:tcPr>
          <w:p>
            <w:pPr>
              <w:spacing w:after="20" w:before="20"/>
            </w:pPr>
            <w:r>
              <w:rPr>
                <w:rFonts w:ascii="Calibri" w:hAnsi="Calibri" w:cs="Calibri"/>
                <w:b w:val="0"/>
                <w:sz w:val="20"/>
              </w:rPr>
              <w:t>atorvastatin 40 MG Oral Tablet</w:t>
            </w:r>
          </w:p>
        </w:tc>
      </w:tr>
      <w:tr>
        <w:trPr>
          <w:cantSplit/>
        </w:trPr>
        <w:tc>
          <w:tcPr>
            <w:tcW w:type="dxa" w:w="3744"/>
          </w:tcPr>
          <w:p>
            <w:pPr>
              <w:spacing w:after="20" w:before="20"/>
            </w:pPr>
            <w:r>
              <w:rPr>
                <w:rFonts w:ascii="Calibri" w:hAnsi="Calibri" w:cs="Calibri"/>
                <w:b w:val="0"/>
                <w:sz w:val="20"/>
              </w:rPr>
              <w:t>Clean expected state</w:t>
            </w:r>
          </w:p>
        </w:tc>
        <w:tc>
          <w:tcPr>
            <w:tcW w:type="dxa" w:w="6048"/>
          </w:tcPr>
          <w:p>
            <w:pPr>
              <w:spacing w:after="20" w:before="20"/>
            </w:pPr>
            <w:r>
              <w:rPr>
                <w:rFonts w:ascii="Calibri" w:hAnsi="Calibri" w:cs="Calibri"/>
                <w:b w:val="0"/>
                <w:sz w:val="20"/>
              </w:rPr>
              <w:t>Changed field: presence</w:t>
              <w:br/>
              <w:t>present</w:t>
              <w:br/>
              <w:t>Original clean state: dose: 40 MG; drug: atorvastatin 40 MG Oral Tablet; frequency: once daily; monitoring: none; quantity or days: none; route: oral; rxcui: 617311; status: discharge</w:t>
            </w:r>
          </w:p>
        </w:tc>
      </w:tr>
      <w:tr>
        <w:trPr>
          <w:cantSplit/>
        </w:trPr>
        <w:tc>
          <w:tcPr>
            <w:tcW w:type="dxa" w:w="3744"/>
          </w:tcPr>
          <w:p>
            <w:pPr>
              <w:spacing w:after="20" w:before="20"/>
            </w:pPr>
            <w:r>
              <w:rPr>
                <w:rFonts w:ascii="Calibri" w:hAnsi="Calibri" w:cs="Calibri"/>
                <w:b w:val="0"/>
                <w:sz w:val="20"/>
              </w:rPr>
              <w:t>What appears in this case</w:t>
            </w:r>
          </w:p>
        </w:tc>
        <w:tc>
          <w:tcPr>
            <w:tcW w:type="dxa" w:w="6048"/>
          </w:tcPr>
          <w:p>
            <w:pPr>
              <w:spacing w:after="20" w:before="20"/>
            </w:pPr>
            <w:r>
              <w:rPr>
                <w:rFonts w:ascii="Calibri" w:hAnsi="Calibri" w:cs="Calibri"/>
                <w:b w:val="0"/>
                <w:sz w:val="20"/>
              </w:rPr>
              <w:t>absent</w:t>
            </w:r>
          </w:p>
        </w:tc>
      </w:tr>
      <w:tr>
        <w:trPr>
          <w:cantSplit/>
        </w:trPr>
        <w:tc>
          <w:tcPr>
            <w:tcW w:type="dxa" w:w="3744"/>
          </w:tcPr>
          <w:p>
            <w:pPr>
              <w:spacing w:after="20" w:before="20"/>
            </w:pPr>
            <w:r>
              <w:rPr>
                <w:rFonts w:ascii="Calibri" w:hAnsi="Calibri" w:cs="Calibri"/>
                <w:b w:val="0"/>
                <w:sz w:val="20"/>
              </w:rPr>
              <w:t>Evidence available in the chart</w:t>
            </w:r>
          </w:p>
        </w:tc>
        <w:tc>
          <w:tcPr>
            <w:tcW w:type="dxa" w:w="6048"/>
          </w:tcPr>
          <w:p>
            <w:pPr>
              <w:spacing w:after="20" w:before="20"/>
            </w:pPr>
            <w:r>
              <w:rPr>
                <w:rFonts w:ascii="Calibri" w:hAnsi="Calibri" w:cs="Calibri"/>
                <w:b w:val="0"/>
                <w:sz w:val="20"/>
              </w:rPr>
              <w:t>Home/inpatient continuation of this medication with no stop rationale.</w:t>
              <w:br/>
              <w:t>Evidence location: Home medications, Medications during hospitalization, Discharge medications</w:t>
              <w:br/>
              <w:t>Detectability location: Discharge medications</w:t>
            </w:r>
          </w:p>
        </w:tc>
      </w:tr>
      <w:tr>
        <w:trPr>
          <w:cantSplit/>
        </w:trPr>
        <w:tc>
          <w:tcPr>
            <w:tcW w:type="dxa" w:w="3744"/>
          </w:tcPr>
          <w:p>
            <w:pPr>
              <w:spacing w:after="20" w:before="20"/>
            </w:pPr>
            <w:r>
              <w:rPr>
                <w:rFonts w:ascii="Calibri" w:hAnsi="Calibri" w:cs="Calibri"/>
                <w:b w:val="0"/>
                <w:sz w:val="20"/>
              </w:rPr>
              <w:t>Expected clinical action</w:t>
            </w:r>
          </w:p>
        </w:tc>
        <w:tc>
          <w:tcPr>
            <w:tcW w:type="dxa" w:w="6048"/>
          </w:tcPr>
          <w:p>
            <w:pPr>
              <w:spacing w:after="20" w:before="20"/>
            </w:pPr>
            <w:r>
              <w:rPr>
                <w:rFonts w:ascii="Calibri" w:hAnsi="Calibri" w:cs="Calibri"/>
                <w:b w:val="0"/>
                <w:sz w:val="20"/>
              </w:rPr>
              <w:t>Restore the omitted continued discharge medication.</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the clinical case actually contain the intended medication-reconciliation or transition-of-care problem described above, and does it match the intended category?</w:t>
      </w:r>
    </w:p>
    <w:p>
      <w:pPr>
        <w:keepLines/>
        <w:spacing w:before="80" w:after="160"/>
      </w:pPr>
      <w:sdt>
        <w:sdtPr>
          <w:rPr>
            <w:rFonts w:ascii="MS Gothic" w:hAnsi="MS Gothic" w:cs="MS Gothic" w:eastAsia="MS Gothic" w:hint="eastAsia"/>
            <w:sz w:val="28"/>
            <w:szCs w:val="28"/>
          </w:rPr>
          <w:alias w:val="C2 result"/>
          <w:tag w:val="c2-result"/>
          <w:id w:val="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9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Could an internal-medicine resident identify and resolve the intended problem using only the clinical information provided in the patient-facing case?</w:t>
      </w:r>
    </w:p>
    <w:p>
      <w:pPr>
        <w:spacing w:after="120"/>
      </w:pPr>
      <w:r>
        <w:rPr>
          <w:rFonts w:ascii="Calibri" w:hAnsi="Calibri" w:cs="Calibri"/>
          <w:b w:val="0"/>
          <w:sz w:val="22"/>
        </w:rPr>
        <w:t>Consider whether the necessary evidence is present, whether key information is missing, whether the target is ambiguous, whether wording gives away the answer, and whether the expected clinical action can reasonably be determined.</w:t>
      </w:r>
    </w:p>
    <w:p>
      <w:pPr>
        <w:keepLines/>
        <w:spacing w:before="80" w:after="160"/>
      </w:pPr>
      <w:sdt>
        <w:sdtPr>
          <w:rPr>
            <w:rFonts w:ascii="MS Gothic" w:hAnsi="MS Gothic" w:cs="MS Gothic" w:eastAsia="MS Gothic" w:hint="eastAsia"/>
            <w:sz w:val="28"/>
            <w:szCs w:val="28"/>
          </w:rPr>
          <w:alias w:val="C3 result"/>
          <w:tag w:val="c3-result"/>
          <w:id w:val="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9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Apart from the intended assessment problem, does the case contain another clinically meaningful medication-reconciliation or transition-of-care problem that a reasonable resident could interpret as an alternative target?</w:t>
      </w:r>
    </w:p>
    <w:p>
      <w:pPr>
        <w:keepLines/>
        <w:spacing w:before="80" w:after="160"/>
      </w:pPr>
      <w:sdt>
        <w:sdtPr>
          <w:rPr>
            <w:rFonts w:ascii="MS Gothic" w:hAnsi="MS Gothic" w:cs="MS Gothic" w:eastAsia="MS Gothic" w:hint="eastAsia"/>
            <w:sz w:val="28"/>
            <w:szCs w:val="28"/>
          </w:rPr>
          <w:alias w:val="C4 result"/>
          <w:tag w:val="c4-result"/>
          <w:id w:val="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1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10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1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10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1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11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11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11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11"/>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VAL-803</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71</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97.000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general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Delirium due to known physiological condition</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71-year-old Male with Delirium due to known physiological condition</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Fatigue, Confusion in the setting of Delirium due to known physiological condition</w:t>
      </w:r>
    </w:p>
    <w:p>
      <w:pPr>
        <w:pStyle w:val="ListBullet"/>
        <w:spacing w:after="40" w:before="0"/>
      </w:pPr>
      <w:r>
        <w:rPr>
          <w:rFonts w:ascii="Calibri" w:hAnsi="Calibri" w:cs="Calibri"/>
          <w:b/>
          <w:sz w:val="22"/>
        </w:rPr>
        <w:t xml:space="preserve">Symptoms: </w:t>
      </w:r>
      <w:r>
        <w:rPr>
          <w:rFonts w:ascii="Calibri" w:hAnsi="Calibri" w:cs="Calibri"/>
          <w:b w:val="0"/>
          <w:sz w:val="22"/>
        </w:rPr>
        <w:t>Fatigue, Confusion</w:t>
      </w:r>
    </w:p>
    <w:p>
      <w:pPr>
        <w:pStyle w:val="ListBullet"/>
        <w:spacing w:after="40" w:before="0"/>
      </w:pPr>
      <w:r>
        <w:rPr>
          <w:rFonts w:ascii="Calibri" w:hAnsi="Calibri" w:cs="Calibri"/>
          <w:b/>
          <w:sz w:val="22"/>
        </w:rPr>
        <w:t xml:space="preserve">Symptom duration: </w:t>
      </w:r>
      <w:r>
        <w:rPr>
          <w:rFonts w:ascii="Calibri" w:hAnsi="Calibri" w:cs="Calibri"/>
          <w:b w:val="0"/>
          <w:sz w:val="22"/>
        </w:rPr>
        <w:t>one week</w:t>
      </w:r>
    </w:p>
    <w:p>
      <w:pPr>
        <w:pStyle w:val="ListBullet"/>
        <w:spacing w:after="40" w:before="0"/>
      </w:pPr>
      <w:r>
        <w:rPr>
          <w:rFonts w:ascii="Calibri" w:hAnsi="Calibri" w:cs="Calibri"/>
          <w:b/>
          <w:sz w:val="22"/>
        </w:rPr>
        <w:t xml:space="preserve">Symptom course: </w:t>
      </w:r>
      <w:r>
        <w:rPr>
          <w:rFonts w:ascii="Calibri" w:hAnsi="Calibri" w:cs="Calibri"/>
          <w:b w:val="0"/>
          <w:sz w:val="22"/>
        </w:rPr>
        <w:t>persistent</w:t>
      </w:r>
    </w:p>
    <w:p>
      <w:pPr>
        <w:pStyle w:val="Heading3"/>
      </w:pPr>
      <w:r>
        <w:rPr>
          <w:rFonts w:ascii="Calibri" w:hAnsi="Calibri"/>
          <w:color w:val="1F3A5F"/>
        </w:rPr>
        <w:t>History of present illness</w:t>
      </w:r>
    </w:p>
    <w:p>
      <w:pPr>
        <w:spacing w:after="120"/>
      </w:pPr>
      <w:r>
        <w:rPr>
          <w:rFonts w:ascii="Calibri" w:hAnsi="Calibri" w:cs="Calibri"/>
          <w:b w:val="0"/>
          <w:sz w:val="22"/>
        </w:rPr>
        <w:t>A 71-year-old Male is admitted with Delirium due to known physiological condition. Presenting symptoms include Fatigue, Confusion, present for one week and persistent. Home medications include hydrochlorothiazide 25 MG Oral Tablet, lisinopril 10 MG Oral Tablet, atorvastatin 40 MG Oral Tablet, metformin hydrochloride 500 MG Oral Tablet. Admitted for delirium with a later-verified home regimen and home-health needs. Discharge planning includes home services. The verified list is the collateral regimen, including a diuretic identified after admission. The patient returned to cognitive baseline. Home services were arranged and the verified medication list was prepared for discharge.</w:t>
      </w:r>
    </w:p>
    <w:p>
      <w:pPr>
        <w:pStyle w:val="Heading3"/>
      </w:pPr>
      <w:r>
        <w:rPr>
          <w:rFonts w:ascii="Calibri" w:hAnsi="Calibri"/>
          <w:color w:val="1F3A5F"/>
        </w:rPr>
        <w:t>Admission note</w:t>
      </w:r>
    </w:p>
    <w:p>
      <w:pPr>
        <w:spacing w:after="120"/>
      </w:pPr>
      <w:r>
        <w:rPr>
          <w:rFonts w:ascii="Calibri" w:hAnsi="Calibri" w:cs="Calibri"/>
          <w:b w:val="0"/>
          <w:sz w:val="22"/>
        </w:rPr>
        <w:t>Admission note for a 71-year-old Male with Delirium due to known physiological condition. Symptoms: Fatigue, Confusion for one week (persistent). Medications continued from home: hydrochlorothiazide 25 MG Oral Tablet, lisinopril 10 MG Oral Tablet, atorvastatin 40 MG Oral Tablet, metformin hydrochloride 500 MG Oral Tablet. Admitted for delirium with a later-verified home regimen and home-health needs. Discharge planning includes home services. The verified list is the collateral regimen, including a diuretic identified after admission. The patient returned to cognitive baseline. Home services were arranged and the verified medication list was prepared for discharge.</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Essential (primary) hypertension, Type 2 diabetes mellitus without complications,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Delirium due to known physiological condition</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Delirium due to known physiological condition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The patient returned to cognitive baseline. Home services were arranged and the verified medication list was prepared for discharge.</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Yes</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119/69</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91</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15</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149.0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4.4</w:t>
            </w:r>
          </w:p>
        </w:tc>
        <w:tc>
          <w:tcPr>
            <w:tcW w:type="dxa" w:w="2160"/>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97.000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123/70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67</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20</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129.0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1.2</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4.2</w:t>
            </w:r>
          </w:p>
        </w:tc>
        <w:tc>
          <w:tcPr>
            <w:tcW w:type="dxa" w:w="2160"/>
          </w:tcPr>
          <w:p>
            <w:pPr>
              <w:spacing w:after="20" w:before="20"/>
            </w:pPr>
            <w:r>
              <w:rPr>
                <w:rFonts w:ascii="Calibri" w:hAnsi="Calibri" w:cs="Calibri"/>
                <w:b w:val="0"/>
                <w:sz w:val="20"/>
              </w:rPr>
              <w:t>mmol/L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hydrochlorothiazide 25 MG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hydrochlorothiazide 25 MG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 Supply: 30 days</w:t>
            </w:r>
          </w:p>
        </w:tc>
      </w:tr>
      <w:tr>
        <w:trPr>
          <w:cantSplit/>
        </w:trPr>
        <w:tc>
          <w:tcPr>
            <w:tcW w:type="dxa" w:w="3384"/>
          </w:tcPr>
          <w:p>
            <w:pPr>
              <w:spacing w:after="20" w:before="20"/>
            </w:pPr>
            <w:r>
              <w:rPr>
                <w:rFonts w:ascii="Calibri" w:hAnsi="Calibri" w:cs="Calibri"/>
                <w:b w:val="0"/>
                <w:sz w:val="20"/>
              </w:rPr>
              <w:t>hydrochlorothiazide 25 MG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 Supply: 30 days</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 Supply: 7 days</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 Supply: 30 days</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caregiver and pharmacy</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No</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3"/>
      </w:pPr>
      <w:r>
        <w:rPr>
          <w:rFonts w:ascii="Calibri" w:hAnsi="Calibri"/>
          <w:color w:val="1F3A5F"/>
        </w:rPr>
        <w:t>Reconciliation notes</w:t>
      </w:r>
    </w:p>
    <w:p>
      <w:pPr>
        <w:spacing w:after="120"/>
      </w:pPr>
      <w:r>
        <w:rPr>
          <w:rFonts w:ascii="Calibri" w:hAnsi="Calibri" w:cs="Calibri"/>
          <w:b w:val="0"/>
          <w:sz w:val="22"/>
        </w:rPr>
        <w:t>After delirium improved, home services were arranged around the verified medication list.</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Home-health and primary care medication-supply follow-up</w:t>
            </w:r>
          </w:p>
        </w:tc>
        <w:tc>
          <w:tcPr>
            <w:tcW w:type="dxa" w:w="3264"/>
          </w:tcPr>
          <w:p>
            <w:pPr>
              <w:spacing w:after="20" w:before="20"/>
            </w:pPr>
            <w:r>
              <w:rPr>
                <w:rFonts w:ascii="Calibri" w:hAnsi="Calibri" w:cs="Calibri"/>
                <w:b w:val="0"/>
                <w:sz w:val="20"/>
              </w:rPr>
              <w:t>14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Fatigue</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1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1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14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Error-bearing</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Family 2</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Insufficient medication supply (f2_insufficient_supply)</w:t>
            </w:r>
          </w:p>
        </w:tc>
      </w:tr>
      <w:tr>
        <w:trPr>
          <w:cantSplit/>
        </w:trPr>
        <w:tc>
          <w:tcPr>
            <w:tcW w:type="dxa" w:w="3744"/>
          </w:tcPr>
          <w:p>
            <w:pPr>
              <w:spacing w:after="20" w:before="20"/>
            </w:pPr>
            <w:r>
              <w:rPr>
                <w:rFonts w:ascii="Calibri" w:hAnsi="Calibri" w:cs="Calibri"/>
                <w:b w:val="0"/>
                <w:sz w:val="20"/>
              </w:rPr>
              <w:t>Intended assessment target</w:t>
            </w:r>
          </w:p>
        </w:tc>
        <w:tc>
          <w:tcPr>
            <w:tcW w:type="dxa" w:w="6048"/>
          </w:tcPr>
          <w:p>
            <w:pPr>
              <w:spacing w:after="20" w:before="20"/>
            </w:pPr>
            <w:r>
              <w:rPr>
                <w:rFonts w:ascii="Calibri" w:hAnsi="Calibri" w:cs="Calibri"/>
                <w:b w:val="0"/>
                <w:sz w:val="20"/>
              </w:rPr>
              <w:t>The prescribed quantity or days' supply is insufficient to cover the patient until the planned follow-up.</w:t>
            </w:r>
          </w:p>
        </w:tc>
      </w:tr>
      <w:tr>
        <w:trPr>
          <w:cantSplit/>
        </w:trPr>
        <w:tc>
          <w:tcPr>
            <w:tcW w:type="dxa" w:w="3744"/>
          </w:tcPr>
          <w:p>
            <w:pPr>
              <w:spacing w:after="20" w:before="20"/>
            </w:pPr>
            <w:r>
              <w:rPr>
                <w:rFonts w:ascii="Calibri" w:hAnsi="Calibri" w:cs="Calibri"/>
                <w:b w:val="0"/>
                <w:sz w:val="20"/>
              </w:rPr>
              <w:t>Medication involved</w:t>
            </w:r>
          </w:p>
        </w:tc>
        <w:tc>
          <w:tcPr>
            <w:tcW w:type="dxa" w:w="6048"/>
          </w:tcPr>
          <w:p>
            <w:pPr>
              <w:spacing w:after="20" w:before="20"/>
            </w:pPr>
            <w:r>
              <w:rPr>
                <w:rFonts w:ascii="Calibri" w:hAnsi="Calibri" w:cs="Calibri"/>
                <w:b w:val="0"/>
                <w:sz w:val="20"/>
              </w:rPr>
              <w:t>lisinopril 10 MG Oral Tablet</w:t>
            </w:r>
          </w:p>
        </w:tc>
      </w:tr>
      <w:tr>
        <w:trPr>
          <w:cantSplit/>
        </w:trPr>
        <w:tc>
          <w:tcPr>
            <w:tcW w:type="dxa" w:w="3744"/>
          </w:tcPr>
          <w:p>
            <w:pPr>
              <w:spacing w:after="20" w:before="20"/>
            </w:pPr>
            <w:r>
              <w:rPr>
                <w:rFonts w:ascii="Calibri" w:hAnsi="Calibri" w:cs="Calibri"/>
                <w:b w:val="0"/>
                <w:sz w:val="20"/>
              </w:rPr>
              <w:t>Clean expected state</w:t>
            </w:r>
          </w:p>
        </w:tc>
        <w:tc>
          <w:tcPr>
            <w:tcW w:type="dxa" w:w="6048"/>
          </w:tcPr>
          <w:p>
            <w:pPr>
              <w:spacing w:after="20" w:before="20"/>
            </w:pPr>
            <w:r>
              <w:rPr>
                <w:rFonts w:ascii="Calibri" w:hAnsi="Calibri" w:cs="Calibri"/>
                <w:b w:val="0"/>
                <w:sz w:val="20"/>
              </w:rPr>
              <w:t>Changed field: quantity_or_days</w:t>
              <w:br/>
              <w:t>30 days</w:t>
            </w:r>
          </w:p>
        </w:tc>
      </w:tr>
      <w:tr>
        <w:trPr>
          <w:cantSplit/>
        </w:trPr>
        <w:tc>
          <w:tcPr>
            <w:tcW w:type="dxa" w:w="3744"/>
          </w:tcPr>
          <w:p>
            <w:pPr>
              <w:spacing w:after="20" w:before="20"/>
            </w:pPr>
            <w:r>
              <w:rPr>
                <w:rFonts w:ascii="Calibri" w:hAnsi="Calibri" w:cs="Calibri"/>
                <w:b w:val="0"/>
                <w:sz w:val="20"/>
              </w:rPr>
              <w:t>What appears in this case</w:t>
            </w:r>
          </w:p>
        </w:tc>
        <w:tc>
          <w:tcPr>
            <w:tcW w:type="dxa" w:w="6048"/>
          </w:tcPr>
          <w:p>
            <w:pPr>
              <w:spacing w:after="20" w:before="20"/>
            </w:pPr>
            <w:r>
              <w:rPr>
                <w:rFonts w:ascii="Calibri" w:hAnsi="Calibri" w:cs="Calibri"/>
                <w:b w:val="0"/>
                <w:sz w:val="20"/>
              </w:rPr>
              <w:t>7 days</w:t>
            </w:r>
          </w:p>
        </w:tc>
      </w:tr>
      <w:tr>
        <w:trPr>
          <w:cantSplit/>
        </w:trPr>
        <w:tc>
          <w:tcPr>
            <w:tcW w:type="dxa" w:w="3744"/>
          </w:tcPr>
          <w:p>
            <w:pPr>
              <w:spacing w:after="20" w:before="20"/>
            </w:pPr>
            <w:r>
              <w:rPr>
                <w:rFonts w:ascii="Calibri" w:hAnsi="Calibri" w:cs="Calibri"/>
                <w:b w:val="0"/>
                <w:sz w:val="20"/>
              </w:rPr>
              <w:t>Evidence available in the chart</w:t>
            </w:r>
          </w:p>
        </w:tc>
        <w:tc>
          <w:tcPr>
            <w:tcW w:type="dxa" w:w="6048"/>
          </w:tcPr>
          <w:p>
            <w:pPr>
              <w:spacing w:after="20" w:before="20"/>
            </w:pPr>
            <w:r>
              <w:rPr>
                <w:rFonts w:ascii="Calibri" w:hAnsi="Calibri" w:cs="Calibri"/>
                <w:b w:val="0"/>
                <w:sz w:val="20"/>
              </w:rPr>
              <w:t>Days' supply must cover the scheduled follow-up or treatment endpoint.</w:t>
              <w:br/>
              <w:t>Evidence location: Follow-up appointments, discharge medications.quantity or days</w:t>
              <w:br/>
              <w:t>Detectability location: discharge medications.quantity or days</w:t>
            </w:r>
          </w:p>
        </w:tc>
      </w:tr>
      <w:tr>
        <w:trPr>
          <w:cantSplit/>
        </w:trPr>
        <w:tc>
          <w:tcPr>
            <w:tcW w:type="dxa" w:w="3744"/>
          </w:tcPr>
          <w:p>
            <w:pPr>
              <w:spacing w:after="20" w:before="20"/>
            </w:pPr>
            <w:r>
              <w:rPr>
                <w:rFonts w:ascii="Calibri" w:hAnsi="Calibri" w:cs="Calibri"/>
                <w:b w:val="0"/>
                <w:sz w:val="20"/>
              </w:rPr>
              <w:t>Expected clinical action</w:t>
            </w:r>
          </w:p>
        </w:tc>
        <w:tc>
          <w:tcPr>
            <w:tcW w:type="dxa" w:w="6048"/>
          </w:tcPr>
          <w:p>
            <w:pPr>
              <w:spacing w:after="20" w:before="20"/>
            </w:pPr>
            <w:r>
              <w:rPr>
                <w:rFonts w:ascii="Calibri" w:hAnsi="Calibri" w:cs="Calibri"/>
                <w:b w:val="0"/>
                <w:sz w:val="20"/>
              </w:rPr>
              <w:t>Increase days' supply so treatment continues through the planned follow-up.</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the clinical case actually contain the intended medication-reconciliation or transition-of-care problem described above, and does it match the intended category?</w:t>
      </w:r>
    </w:p>
    <w:p>
      <w:pPr>
        <w:keepLines/>
        <w:spacing w:before="80" w:after="160"/>
      </w:pPr>
      <w:sdt>
        <w:sdtPr>
          <w:rPr>
            <w:rFonts w:ascii="MS Gothic" w:hAnsi="MS Gothic" w:cs="MS Gothic" w:eastAsia="MS Gothic" w:hint="eastAsia"/>
            <w:sz w:val="28"/>
            <w:szCs w:val="28"/>
          </w:rPr>
          <w:alias w:val="C2 result"/>
          <w:tag w:val="c2-result"/>
          <w:id w:val="1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1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15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Could an internal-medicine resident identify and resolve the intended problem using only the clinical information provided in the patient-facing case?</w:t>
      </w:r>
    </w:p>
    <w:p>
      <w:pPr>
        <w:spacing w:after="120"/>
      </w:pPr>
      <w:r>
        <w:rPr>
          <w:rFonts w:ascii="Calibri" w:hAnsi="Calibri" w:cs="Calibri"/>
          <w:b w:val="0"/>
          <w:sz w:val="22"/>
        </w:rPr>
        <w:t>Consider whether the necessary evidence is present, whether key information is missing, whether the target is ambiguous, whether wording gives away the answer, and whether the expected clinical action can reasonably be determined.</w:t>
      </w:r>
    </w:p>
    <w:p>
      <w:pPr>
        <w:keepLines/>
        <w:spacing w:before="80" w:after="160"/>
      </w:pPr>
      <w:sdt>
        <w:sdtPr>
          <w:rPr>
            <w:rFonts w:ascii="MS Gothic" w:hAnsi="MS Gothic" w:cs="MS Gothic" w:eastAsia="MS Gothic" w:hint="eastAsia"/>
            <w:sz w:val="28"/>
            <w:szCs w:val="28"/>
          </w:rPr>
          <w:alias w:val="C3 result"/>
          <w:tag w:val="c3-result"/>
          <w:id w:val="1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1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15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Apart from the intended assessment problem, does the case contain another clinically meaningful medication-reconciliation or transition-of-care problem that a reasonable resident could interpret as an alternative target?</w:t>
      </w:r>
    </w:p>
    <w:p>
      <w:pPr>
        <w:keepLines/>
        <w:spacing w:before="80" w:after="160"/>
      </w:pPr>
      <w:sdt>
        <w:sdtPr>
          <w:rPr>
            <w:rFonts w:ascii="MS Gothic" w:hAnsi="MS Gothic" w:cs="MS Gothic" w:eastAsia="MS Gothic" w:hint="eastAsia"/>
            <w:sz w:val="28"/>
            <w:szCs w:val="28"/>
          </w:rPr>
          <w:alias w:val="C4 result"/>
          <w:tag w:val="c4-result"/>
          <w:id w:val="1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1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15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1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16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1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16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16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16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12"/>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VAL-804</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70</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89.000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general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Delirium due to known physiological condition</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70-year-old Female with Delirium due to known physiological condition</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Confusion in the setting of Delirium due to known physiological condition</w:t>
      </w:r>
    </w:p>
    <w:p>
      <w:pPr>
        <w:pStyle w:val="ListBullet"/>
        <w:spacing w:after="40" w:before="0"/>
      </w:pPr>
      <w:r>
        <w:rPr>
          <w:rFonts w:ascii="Calibri" w:hAnsi="Calibri" w:cs="Calibri"/>
          <w:b/>
          <w:sz w:val="22"/>
        </w:rPr>
        <w:t xml:space="preserve">Symptoms: </w:t>
      </w:r>
      <w:r>
        <w:rPr>
          <w:rFonts w:ascii="Calibri" w:hAnsi="Calibri" w:cs="Calibri"/>
          <w:b w:val="0"/>
          <w:sz w:val="22"/>
        </w:rPr>
        <w:t>Confusion</w:t>
      </w:r>
    </w:p>
    <w:p>
      <w:pPr>
        <w:pStyle w:val="ListBullet"/>
        <w:spacing w:after="40" w:before="0"/>
      </w:pPr>
      <w:r>
        <w:rPr>
          <w:rFonts w:ascii="Calibri" w:hAnsi="Calibri" w:cs="Calibri"/>
          <w:b/>
          <w:sz w:val="22"/>
        </w:rPr>
        <w:t xml:space="preserve">Symptom duration: </w:t>
      </w:r>
      <w:r>
        <w:rPr>
          <w:rFonts w:ascii="Calibri" w:hAnsi="Calibri" w:cs="Calibri"/>
          <w:b w:val="0"/>
          <w:sz w:val="22"/>
        </w:rPr>
        <w:t>one day</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 70-year-old Female is admitted with Delirium due to known physiological condition. Presenting symptoms include Confusion, present for one day and improving after treatment. Home medications include atorvastatin 40 MG Oral Tablet, metformin hydrochloride 500 MG Oral Tablet. Admitted for resolving delirium; a pending outpatient cognitive-therapy decision was recorded. A cognitive-enhancer start is deferred to outpatient confirmation. That pending decision is documented separately from unknown home medications. A new disease-modifying start was deferred to outpatient confirmation.</w:t>
      </w:r>
    </w:p>
    <w:p>
      <w:pPr>
        <w:pStyle w:val="Heading3"/>
      </w:pPr>
      <w:r>
        <w:rPr>
          <w:rFonts w:ascii="Calibri" w:hAnsi="Calibri"/>
          <w:color w:val="1F3A5F"/>
        </w:rPr>
        <w:t>Admission note</w:t>
      </w:r>
    </w:p>
    <w:p>
      <w:pPr>
        <w:spacing w:after="120"/>
      </w:pPr>
      <w:r>
        <w:rPr>
          <w:rFonts w:ascii="Calibri" w:hAnsi="Calibri" w:cs="Calibri"/>
          <w:b w:val="0"/>
          <w:sz w:val="22"/>
        </w:rPr>
        <w:t>Admission note for a 70-year-old Female with Delirium due to known physiological condition. Symptoms: Confusion for one day (improving after treatment). Medications continued from home: atorvastatin 40 MG Oral Tablet, metformin hydrochloride 500 MG Oral Tablet. Admitted for resolving delirium; a pending outpatient cognitive-therapy decision was recorded. A cognitive-enhancer start is deferred to outpatient confirmation. That pending decision is documented separately from unknown home medications. A new disease-modifying start was deferred to outpatient confirmation.</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Type 2 diabetes mellitus without complications,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Delirium due to known physiological condition</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Delirium due to known physiological condition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A new disease-modifying start was deferred to outpatient confirmation.</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130/79</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75</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20</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94.00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155.0</w:t>
            </w:r>
          </w:p>
        </w:tc>
        <w:tc>
          <w:tcPr>
            <w:tcW w:type="dxa" w:w="2160"/>
          </w:tcPr>
          <w:p>
            <w:pPr>
              <w:spacing w:after="20" w:before="20"/>
            </w:pPr>
            <w:r>
              <w:rPr>
                <w:rFonts w:ascii="Calibri" w:hAnsi="Calibri" w:cs="Calibri"/>
                <w:b w:val="0"/>
                <w:sz w:val="20"/>
              </w:rPr>
              <w:t>mg/dL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89.000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125/67</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18</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108.0</w:t>
            </w:r>
          </w:p>
        </w:tc>
        <w:tc>
          <w:tcPr>
            <w:tcW w:type="dxa" w:w="2160"/>
          </w:tcPr>
          <w:p>
            <w:pPr>
              <w:spacing w:after="20" w:before="20"/>
            </w:pPr>
            <w:r>
              <w:rPr>
                <w:rFonts w:ascii="Calibri" w:hAnsi="Calibri" w:cs="Calibri"/>
                <w:b w:val="0"/>
                <w:sz w:val="20"/>
              </w:rPr>
              <w:t>mg/dL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family collateral</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No</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p>
      <w:pPr>
        <w:spacing w:after="120"/>
      </w:pPr>
      <w:r>
        <w:rPr>
          <w:rFonts w:ascii="Calibri" w:hAnsi="Calibri" w:cs="Calibri"/>
          <w:b w:val="0"/>
          <w:sz w:val="22"/>
        </w:rPr>
        <w:t>No follow-up appointments were specified.</w:t>
      </w: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ListBullet"/>
        <w:spacing w:after="40" w:before="0"/>
      </w:pPr>
      <w:r>
        <w:rPr>
          <w:rFonts w:ascii="Calibri" w:hAnsi="Calibri" w:cs="Calibri"/>
          <w:b/>
          <w:sz w:val="22"/>
        </w:rPr>
        <w:t xml:space="preserve">Category: </w:t>
      </w:r>
      <w:r>
        <w:rPr>
          <w:rFonts w:ascii="Calibri" w:hAnsi="Calibri" w:cs="Calibri"/>
          <w:b w:val="0"/>
          <w:sz w:val="22"/>
        </w:rPr>
        <w:t>followup</w:t>
      </w:r>
    </w:p>
    <w:p>
      <w:pPr>
        <w:spacing w:after="120"/>
      </w:pPr>
      <w:r>
        <w:rPr>
          <w:rFonts w:ascii="Calibri" w:hAnsi="Calibri" w:cs="Calibri"/>
          <w:b w:val="0"/>
          <w:sz w:val="22"/>
        </w:rPr>
        <w:t>Start of a cognitive-enhancer remains a pending therapeutic decision for memory-clinic confirmation and is not an unknown home medication.</w:t>
      </w: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Confusion</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2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2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20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Error-bearing</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Family 2</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Follow-up missing for an unresolved treatment decision (f2_pending_decision_followup_missing)</w:t>
            </w:r>
          </w:p>
        </w:tc>
      </w:tr>
      <w:tr>
        <w:trPr>
          <w:cantSplit/>
        </w:trPr>
        <w:tc>
          <w:tcPr>
            <w:tcW w:type="dxa" w:w="3744"/>
          </w:tcPr>
          <w:p>
            <w:pPr>
              <w:spacing w:after="20" w:before="20"/>
            </w:pPr>
            <w:r>
              <w:rPr>
                <w:rFonts w:ascii="Calibri" w:hAnsi="Calibri" w:cs="Calibri"/>
                <w:b w:val="0"/>
                <w:sz w:val="20"/>
              </w:rPr>
              <w:t>Intended assessment target</w:t>
            </w:r>
          </w:p>
        </w:tc>
        <w:tc>
          <w:tcPr>
            <w:tcW w:type="dxa" w:w="6048"/>
          </w:tcPr>
          <w:p>
            <w:pPr>
              <w:spacing w:after="20" w:before="20"/>
            </w:pPr>
            <w:r>
              <w:rPr>
                <w:rFonts w:ascii="Calibri" w:hAnsi="Calibri" w:cs="Calibri"/>
                <w:b w:val="0"/>
                <w:sz w:val="20"/>
              </w:rPr>
              <w:t>A pending therapeutic decision remains unresolved and no follow-up visit is arranged to resolve it.</w:t>
            </w:r>
          </w:p>
        </w:tc>
      </w:tr>
      <w:tr>
        <w:trPr>
          <w:cantSplit/>
        </w:trPr>
        <w:tc>
          <w:tcPr>
            <w:tcW w:type="dxa" w:w="3744"/>
          </w:tcPr>
          <w:p>
            <w:pPr>
              <w:spacing w:after="20" w:before="20"/>
            </w:pPr>
            <w:r>
              <w:rPr>
                <w:rFonts w:ascii="Calibri" w:hAnsi="Calibri" w:cs="Calibri"/>
                <w:b w:val="0"/>
                <w:sz w:val="20"/>
              </w:rPr>
              <w:t>Medication involved</w:t>
            </w:r>
          </w:p>
        </w:tc>
        <w:tc>
          <w:tcPr>
            <w:tcW w:type="dxa" w:w="6048"/>
          </w:tcPr>
          <w:p>
            <w:pPr>
              <w:spacing w:after="20" w:before="20"/>
            </w:pPr>
            <w:r>
              <w:rPr>
                <w:rFonts w:ascii="Calibri" w:hAnsi="Calibri" w:cs="Calibri"/>
                <w:b w:val="0"/>
                <w:sz w:val="20"/>
              </w:rPr>
              <w:t>Not specified in the investigator record</w:t>
            </w:r>
          </w:p>
        </w:tc>
      </w:tr>
      <w:tr>
        <w:trPr>
          <w:cantSplit/>
        </w:trPr>
        <w:tc>
          <w:tcPr>
            <w:tcW w:type="dxa" w:w="3744"/>
          </w:tcPr>
          <w:p>
            <w:pPr>
              <w:spacing w:after="20" w:before="20"/>
            </w:pPr>
            <w:r>
              <w:rPr>
                <w:rFonts w:ascii="Calibri" w:hAnsi="Calibri" w:cs="Calibri"/>
                <w:b w:val="0"/>
                <w:sz w:val="20"/>
              </w:rPr>
              <w:t>Clean expected state</w:t>
            </w:r>
          </w:p>
        </w:tc>
        <w:tc>
          <w:tcPr>
            <w:tcW w:type="dxa" w:w="6048"/>
          </w:tcPr>
          <w:p>
            <w:pPr>
              <w:spacing w:after="20" w:before="20"/>
            </w:pPr>
            <w:r>
              <w:rPr>
                <w:rFonts w:ascii="Calibri" w:hAnsi="Calibri" w:cs="Calibri"/>
                <w:b w:val="0"/>
                <w:sz w:val="20"/>
              </w:rPr>
              <w:t>Changed field: followup</w:t>
              <w:br/>
              <w:t>item: Reassess pending therapeutic decision; timing: 14 days; with service: neurology</w:t>
            </w:r>
          </w:p>
        </w:tc>
      </w:tr>
      <w:tr>
        <w:trPr>
          <w:cantSplit/>
        </w:trPr>
        <w:tc>
          <w:tcPr>
            <w:tcW w:type="dxa" w:w="3744"/>
          </w:tcPr>
          <w:p>
            <w:pPr>
              <w:spacing w:after="20" w:before="20"/>
            </w:pPr>
            <w:r>
              <w:rPr>
                <w:rFonts w:ascii="Calibri" w:hAnsi="Calibri" w:cs="Calibri"/>
                <w:b w:val="0"/>
                <w:sz w:val="20"/>
              </w:rPr>
              <w:t>What appears in this case</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Evidence available in the chart</w:t>
            </w:r>
          </w:p>
        </w:tc>
        <w:tc>
          <w:tcPr>
            <w:tcW w:type="dxa" w:w="6048"/>
          </w:tcPr>
          <w:p>
            <w:pPr>
              <w:spacing w:after="20" w:before="20"/>
            </w:pPr>
            <w:r>
              <w:rPr>
                <w:rFonts w:ascii="Calibri" w:hAnsi="Calibri" w:cs="Calibri"/>
                <w:b w:val="0"/>
                <w:sz w:val="20"/>
              </w:rPr>
              <w:t>A pending therapeutic decision remains unresolved and requires scheduled follow-up.</w:t>
              <w:br/>
              <w:t>Evidence location: Discharge instructions, Follow-up appointments</w:t>
              <w:br/>
              <w:t>Detectability location: Follow-up appointments</w:t>
            </w:r>
          </w:p>
        </w:tc>
      </w:tr>
      <w:tr>
        <w:trPr>
          <w:cantSplit/>
        </w:trPr>
        <w:tc>
          <w:tcPr>
            <w:tcW w:type="dxa" w:w="3744"/>
          </w:tcPr>
          <w:p>
            <w:pPr>
              <w:spacing w:after="20" w:before="20"/>
            </w:pPr>
            <w:r>
              <w:rPr>
                <w:rFonts w:ascii="Calibri" w:hAnsi="Calibri" w:cs="Calibri"/>
                <w:b w:val="0"/>
                <w:sz w:val="20"/>
              </w:rPr>
              <w:t>Expected clinical action</w:t>
            </w:r>
          </w:p>
        </w:tc>
        <w:tc>
          <w:tcPr>
            <w:tcW w:type="dxa" w:w="6048"/>
          </w:tcPr>
          <w:p>
            <w:pPr>
              <w:spacing w:after="20" w:before="20"/>
            </w:pPr>
            <w:r>
              <w:rPr>
                <w:rFonts w:ascii="Calibri" w:hAnsi="Calibri" w:cs="Calibri"/>
                <w:b w:val="0"/>
                <w:sz w:val="20"/>
              </w:rPr>
              <w:t>Arrange follow-up to resolve the pending therapeutic decision.</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the clinical case actually contain the intended medication-reconciliation or transition-of-care problem described above, and does it match the intended category?</w:t>
      </w:r>
    </w:p>
    <w:p>
      <w:pPr>
        <w:keepLines/>
        <w:spacing w:before="80" w:after="160"/>
      </w:pPr>
      <w:sdt>
        <w:sdtPr>
          <w:rPr>
            <w:rFonts w:ascii="MS Gothic" w:hAnsi="MS Gothic" w:cs="MS Gothic" w:eastAsia="MS Gothic" w:hint="eastAsia"/>
            <w:sz w:val="28"/>
            <w:szCs w:val="28"/>
          </w:rPr>
          <w:alias w:val="C2 result"/>
          <w:tag w:val="c2-result"/>
          <w:id w:val="2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2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20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Could an internal-medicine resident identify and resolve the intended problem using only the clinical information provided in the patient-facing case?</w:t>
      </w:r>
    </w:p>
    <w:p>
      <w:pPr>
        <w:spacing w:after="120"/>
      </w:pPr>
      <w:r>
        <w:rPr>
          <w:rFonts w:ascii="Calibri" w:hAnsi="Calibri" w:cs="Calibri"/>
          <w:b w:val="0"/>
          <w:sz w:val="22"/>
        </w:rPr>
        <w:t>Consider whether the necessary evidence is present, whether key information is missing, whether the target is ambiguous, whether wording gives away the answer, and whether the expected clinical action can reasonably be determined.</w:t>
      </w:r>
    </w:p>
    <w:p>
      <w:pPr>
        <w:keepLines/>
        <w:spacing w:before="80" w:after="160"/>
      </w:pPr>
      <w:sdt>
        <w:sdtPr>
          <w:rPr>
            <w:rFonts w:ascii="MS Gothic" w:hAnsi="MS Gothic" w:cs="MS Gothic" w:eastAsia="MS Gothic" w:hint="eastAsia"/>
            <w:sz w:val="28"/>
            <w:szCs w:val="28"/>
          </w:rPr>
          <w:alias w:val="C3 result"/>
          <w:tag w:val="c3-result"/>
          <w:id w:val="2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2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20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Apart from the intended assessment problem, does the case contain another clinically meaningful medication-reconciliation or transition-of-care problem that a reasonable resident could interpret as an alternative target?</w:t>
      </w:r>
    </w:p>
    <w:p>
      <w:pPr>
        <w:keepLines/>
        <w:spacing w:before="80" w:after="160"/>
      </w:pPr>
      <w:sdt>
        <w:sdtPr>
          <w:rPr>
            <w:rFonts w:ascii="MS Gothic" w:hAnsi="MS Gothic" w:cs="MS Gothic" w:eastAsia="MS Gothic" w:hint="eastAsia"/>
            <w:sz w:val="28"/>
            <w:szCs w:val="28"/>
          </w:rPr>
          <w:alias w:val="C4 result"/>
          <w:tag w:val="c4-result"/>
          <w:id w:val="2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2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21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2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21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2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2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2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22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22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22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13"/>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VAL-805</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68</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81.000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cardiology</w:t>
      </w:r>
    </w:p>
    <w:p>
      <w:pPr>
        <w:pStyle w:val="ListBullet"/>
        <w:spacing w:after="40" w:before="0"/>
      </w:pPr>
      <w:r>
        <w:rPr>
          <w:rFonts w:ascii="Calibri" w:hAnsi="Calibri" w:cs="Calibri"/>
          <w:b/>
          <w:sz w:val="22"/>
        </w:rPr>
        <w:t xml:space="preserve">Admission diagnosis: </w:t>
      </w:r>
      <w:r>
        <w:rPr>
          <w:rFonts w:ascii="Calibri" w:hAnsi="Calibri" w:cs="Calibri"/>
          <w:b w:val="0"/>
          <w:sz w:val="22"/>
        </w:rPr>
        <w:t>Acute systolic (congestive) heart failure</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68-year-old Female with Acute systolic (congestive) heart failure</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Dyspnea, Edema, Orthopnea in the setting of Acute systolic (congestive) heart failure</w:t>
      </w:r>
    </w:p>
    <w:p>
      <w:pPr>
        <w:pStyle w:val="ListBullet"/>
        <w:spacing w:after="40" w:before="0"/>
      </w:pPr>
      <w:r>
        <w:rPr>
          <w:rFonts w:ascii="Calibri" w:hAnsi="Calibri" w:cs="Calibri"/>
          <w:b/>
          <w:sz w:val="22"/>
        </w:rPr>
        <w:t xml:space="preserve">Symptoms: </w:t>
      </w:r>
      <w:r>
        <w:rPr>
          <w:rFonts w:ascii="Calibri" w:hAnsi="Calibri" w:cs="Calibri"/>
          <w:b w:val="0"/>
          <w:sz w:val="22"/>
        </w:rPr>
        <w:t>Dyspnea, Edema, Orthopnea</w:t>
      </w:r>
    </w:p>
    <w:p>
      <w:pPr>
        <w:pStyle w:val="ListBullet"/>
        <w:spacing w:after="40" w:before="0"/>
      </w:pPr>
      <w:r>
        <w:rPr>
          <w:rFonts w:ascii="Calibri" w:hAnsi="Calibri" w:cs="Calibri"/>
          <w:b/>
          <w:sz w:val="22"/>
        </w:rPr>
        <w:t xml:space="preserve">Symptom duration: </w:t>
      </w:r>
      <w:r>
        <w:rPr>
          <w:rFonts w:ascii="Calibri" w:hAnsi="Calibri" w:cs="Calibri"/>
          <w:b w:val="0"/>
          <w:sz w:val="22"/>
        </w:rPr>
        <w:t>one week</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 68-year-old Female is admitted with Acute systolic (congestive) heart failure. Presenting symptoms include Dyspnea, Edema, Orthopnea, present for one week and improving after treatment. Home medications include furosemide 40 MG Oral Tablet, atorvastatin 40 MG Oral Tablet, 24 HR metoprolol succinate 25 MG Extended Release Oral Tablet. Admitted for acute heart-failure decompensation with congestion. Congestion improved with inpatient diuresis. Daily weights and intake/output were used to judge euvolemia before discharge. Congestion was treated with inpatient diuresis. Serial weights and intake/output were used to judge readiness for discharge.</w:t>
      </w:r>
    </w:p>
    <w:p>
      <w:pPr>
        <w:pStyle w:val="Heading3"/>
      </w:pPr>
      <w:r>
        <w:rPr>
          <w:rFonts w:ascii="Calibri" w:hAnsi="Calibri"/>
          <w:color w:val="1F3A5F"/>
        </w:rPr>
        <w:t>Admission note</w:t>
      </w:r>
    </w:p>
    <w:p>
      <w:pPr>
        <w:spacing w:after="120"/>
      </w:pPr>
      <w:r>
        <w:rPr>
          <w:rFonts w:ascii="Calibri" w:hAnsi="Calibri" w:cs="Calibri"/>
          <w:b w:val="0"/>
          <w:sz w:val="22"/>
        </w:rPr>
        <w:t>Admission note for a 68-year-old Female with Acute systolic (congestive) heart failure. Symptoms: Dyspnea, Edema, Orthopnea for one week (improving after treatment). Medications continued from home: furosemide 40 MG Oral Tablet, atorvastatin 40 MG Oral Tablet, 24 HR metoprolol succinate 25 MG Extended Release Oral Tablet. Admitted for acute heart-failure decompensation with congestion. Congestion improved with inpatient diuresis. Daily weights and intake/output were used to judge euvolemia before discharge. Congestion was treated with inpatient diuresis. Serial weights and intake/output were used to judge readiness for discharge.</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Essential (primary) hypertension,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Acute systolic (congestive) heart failure</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Acute systolic (congestive) heart failure</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Congestion was treated with inpatient diuresis. Serial weights and intake/output were used to judge readiness for discharge.</w:t>
      </w:r>
    </w:p>
    <w:p>
      <w:pPr>
        <w:pStyle w:val="Heading3"/>
      </w:pPr>
      <w:r>
        <w:rPr>
          <w:rFonts w:ascii="Calibri" w:hAnsi="Calibri"/>
          <w:color w:val="1F3A5F"/>
        </w:rPr>
        <w:t>Intake and output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Intake (mL)</w:t>
            </w:r>
          </w:p>
        </w:tc>
        <w:tc>
          <w:tcPr>
            <w:tcW w:type="dxa" w:w="2448"/>
            <w:shd w:val="clear" w:color="auto" w:fill="D9E2F3"/>
          </w:tcPr>
          <w:p>
            <w:pPr>
              <w:spacing w:after="20" w:before="20"/>
            </w:pPr>
            <w:r>
              <w:rPr>
                <w:rFonts w:ascii="Calibri" w:hAnsi="Calibri" w:cs="Calibri"/>
                <w:b/>
                <w:sz w:val="20"/>
              </w:rPr>
              <w:t>Output (mL)</w:t>
            </w:r>
          </w:p>
        </w:tc>
        <w:tc>
          <w:tcPr>
            <w:tcW w:type="dxa" w:w="2448"/>
            <w:shd w:val="clear" w:color="auto" w:fill="D9E2F3"/>
          </w:tcPr>
          <w:p>
            <w:pPr>
              <w:spacing w:after="20" w:before="20"/>
            </w:pPr>
            <w:r>
              <w:rPr>
                <w:rFonts w:ascii="Calibri" w:hAnsi="Calibri" w:cs="Calibri"/>
                <w:b/>
                <w:sz w:val="20"/>
              </w:rPr>
              <w:t>Net (mL)</w:t>
            </w:r>
          </w:p>
        </w:tc>
      </w:tr>
      <w:tr>
        <w:trPr>
          <w:cantSplit/>
        </w:trPr>
        <w:tc>
          <w:tcPr>
            <w:tcW w:type="dxa" w:w="2448"/>
          </w:tcPr>
          <w:p>
            <w:pPr>
              <w:spacing w:after="20" w:before="20"/>
            </w:pPr>
            <w:r>
              <w:rPr>
                <w:rFonts w:ascii="Calibri" w:hAnsi="Calibri" w:cs="Calibri"/>
                <w:b w:val="0"/>
                <w:sz w:val="20"/>
              </w:rPr>
              <w:t>hospital day 3</w:t>
            </w:r>
          </w:p>
        </w:tc>
        <w:tc>
          <w:tcPr>
            <w:tcW w:type="dxa" w:w="2448"/>
          </w:tcPr>
          <w:p>
            <w:pPr>
              <w:spacing w:after="20" w:before="20"/>
            </w:pPr>
            <w:r>
              <w:rPr>
                <w:rFonts w:ascii="Calibri" w:hAnsi="Calibri" w:cs="Calibri"/>
                <w:b w:val="0"/>
                <w:sz w:val="20"/>
              </w:rPr>
              <w:t>1418</w:t>
            </w:r>
          </w:p>
        </w:tc>
        <w:tc>
          <w:tcPr>
            <w:tcW w:type="dxa" w:w="2448"/>
          </w:tcPr>
          <w:p>
            <w:pPr>
              <w:spacing w:after="20" w:before="20"/>
            </w:pPr>
            <w:r>
              <w:rPr>
                <w:rFonts w:ascii="Calibri" w:hAnsi="Calibri" w:cs="Calibri"/>
                <w:b w:val="0"/>
                <w:sz w:val="20"/>
              </w:rPr>
              <w:t>2463</w:t>
            </w:r>
          </w:p>
        </w:tc>
        <w:tc>
          <w:tcPr>
            <w:tcW w:type="dxa" w:w="2448"/>
          </w:tcPr>
          <w:p>
            <w:pPr>
              <w:spacing w:after="20" w:before="20"/>
            </w:pPr>
            <w:r>
              <w:rPr>
                <w:rFonts w:ascii="Calibri" w:hAnsi="Calibri" w:cs="Calibri"/>
                <w:b w:val="0"/>
                <w:sz w:val="20"/>
              </w:rPr>
              <w:t>-1045</w:t>
            </w:r>
          </w:p>
        </w:tc>
      </w:tr>
    </w:tbl>
    <w:p>
      <w:pPr>
        <w:spacing w:after="40"/>
      </w:pP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109/82</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93</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24</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92.00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1.7</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4.7</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Natriuretic peptide B [Mass/volume] in Serum or Plasma</w:t>
            </w:r>
          </w:p>
        </w:tc>
        <w:tc>
          <w:tcPr>
            <w:tcW w:type="dxa" w:w="1872"/>
          </w:tcPr>
          <w:p>
            <w:pPr>
              <w:spacing w:after="20" w:before="20"/>
            </w:pPr>
            <w:r>
              <w:rPr>
                <w:rFonts w:ascii="Calibri" w:hAnsi="Calibri" w:cs="Calibri"/>
                <w:b w:val="0"/>
                <w:sz w:val="20"/>
              </w:rPr>
              <w:t>1120.0</w:t>
            </w:r>
          </w:p>
        </w:tc>
        <w:tc>
          <w:tcPr>
            <w:tcW w:type="dxa" w:w="2160"/>
          </w:tcPr>
          <w:p>
            <w:pPr>
              <w:spacing w:after="20" w:before="20"/>
            </w:pPr>
            <w:r>
              <w:rPr>
                <w:rFonts w:ascii="Calibri" w:hAnsi="Calibri" w:cs="Calibri"/>
                <w:b w:val="0"/>
                <w:sz w:val="20"/>
              </w:rPr>
              <w:t>pg/mL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81.000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110/84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69</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19</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4.3</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Natriuretic peptide B [Mass/volume] in Serum or Plasma</w:t>
            </w:r>
          </w:p>
        </w:tc>
        <w:tc>
          <w:tcPr>
            <w:tcW w:type="dxa" w:w="1872"/>
          </w:tcPr>
          <w:p>
            <w:pPr>
              <w:spacing w:after="20" w:before="20"/>
            </w:pPr>
            <w:r>
              <w:rPr>
                <w:rFonts w:ascii="Calibri" w:hAnsi="Calibri" w:cs="Calibri"/>
                <w:b w:val="0"/>
                <w:sz w:val="20"/>
              </w:rPr>
              <w:t>369.0</w:t>
            </w:r>
          </w:p>
        </w:tc>
        <w:tc>
          <w:tcPr>
            <w:tcW w:type="dxa" w:w="2160"/>
          </w:tcPr>
          <w:p>
            <w:pPr>
              <w:spacing w:after="20" w:before="20"/>
            </w:pPr>
            <w:r>
              <w:rPr>
                <w:rFonts w:ascii="Calibri" w:hAnsi="Calibri" w:cs="Calibri"/>
                <w:b w:val="0"/>
                <w:sz w:val="20"/>
              </w:rPr>
              <w:t>pg/mL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896"/>
            <w:shd w:val="clear" w:color="auto" w:fill="D9E2F3"/>
          </w:tcPr>
          <w:p>
            <w:pPr>
              <w:spacing w:after="20" w:before="20"/>
            </w:pPr>
            <w:r>
              <w:rPr>
                <w:rFonts w:ascii="Calibri" w:hAnsi="Calibri" w:cs="Calibri"/>
                <w:b/>
                <w:sz w:val="20"/>
              </w:rPr>
              <w:t>Weight (kg)</w:t>
            </w:r>
          </w:p>
        </w:tc>
        <w:tc>
          <w:tcPr>
            <w:tcW w:type="dxa" w:w="4896"/>
            <w:shd w:val="clear" w:color="auto" w:fill="D9E2F3"/>
          </w:tcPr>
          <w:p>
            <w:pPr>
              <w:spacing w:after="20" w:before="20"/>
            </w:pPr>
            <w:r>
              <w:rPr>
                <w:rFonts w:ascii="Calibri" w:hAnsi="Calibri" w:cs="Calibri"/>
                <w:b/>
                <w:sz w:val="20"/>
              </w:rPr>
              <w:t>Dry weight (kg)</w:t>
            </w:r>
          </w:p>
        </w:tc>
      </w:tr>
      <w:tr>
        <w:trPr>
          <w:cantSplit/>
        </w:trPr>
        <w:tc>
          <w:tcPr>
            <w:tcW w:type="dxa" w:w="4896"/>
          </w:tcPr>
          <w:p>
            <w:pPr>
              <w:spacing w:after="20" w:before="20"/>
            </w:pPr>
            <w:r>
              <w:rPr>
                <w:rFonts w:ascii="Calibri" w:hAnsi="Calibri" w:cs="Calibri"/>
                <w:b w:val="0"/>
                <w:sz w:val="20"/>
              </w:rPr>
              <w:t>78.000</w:t>
            </w:r>
          </w:p>
        </w:tc>
        <w:tc>
          <w:tcPr>
            <w:tcW w:type="dxa" w:w="4896"/>
          </w:tcPr>
          <w:p>
            <w:pPr>
              <w:spacing w:after="20" w:before="20"/>
            </w:pPr>
            <w:r>
              <w:rPr>
                <w:rFonts w:ascii="Calibri" w:hAnsi="Calibri" w:cs="Calibri"/>
                <w:b w:val="0"/>
                <w:sz w:val="20"/>
              </w:rPr>
              <w:t>73.000</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furosemide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furosemide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furosemide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Heart-failure clinic after diuresis</w:t>
            </w:r>
          </w:p>
        </w:tc>
        <w:tc>
          <w:tcPr>
            <w:tcW w:type="dxa" w:w="3264"/>
          </w:tcPr>
          <w:p>
            <w:pPr>
              <w:spacing w:after="20" w:before="20"/>
            </w:pPr>
            <w:r>
              <w:rPr>
                <w:rFonts w:ascii="Calibri" w:hAnsi="Calibri" w:cs="Calibri"/>
                <w:b w:val="0"/>
                <w:sz w:val="20"/>
              </w:rPr>
              <w:t>7 days</w:t>
            </w:r>
          </w:p>
        </w:tc>
        <w:tc>
          <w:tcPr>
            <w:tcW w:type="dxa" w:w="3264"/>
          </w:tcPr>
          <w:p>
            <w:pPr>
              <w:spacing w:after="20" w:before="20"/>
            </w:pPr>
            <w:r>
              <w:rPr>
                <w:rFonts w:ascii="Calibri" w:hAnsi="Calibri" w:cs="Calibri"/>
                <w:b w:val="0"/>
                <w:sz w:val="20"/>
              </w:rPr>
              <w:t>cardiology</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Chest radiograph</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chest</w:t>
            </w:r>
          </w:p>
        </w:tc>
        <w:tc>
          <w:tcPr>
            <w:tcW w:type="dxa" w:w="2448"/>
          </w:tcPr>
          <w:p>
            <w:pPr>
              <w:spacing w:after="20" w:before="20"/>
            </w:pPr>
            <w:r>
              <w:rPr>
                <w:rFonts w:ascii="Calibri" w:hAnsi="Calibri" w:cs="Calibri"/>
                <w:b w:val="0"/>
                <w:sz w:val="20"/>
              </w:rPr>
              <w:t>Pulmonary edema without pneumonia.</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cardiology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Inpatient cardiology recommendations were recorded.</w:t>
            </w:r>
          </w:p>
        </w:tc>
        <w:tc>
          <w:tcPr>
            <w:tcW w:type="dxa" w:w="2448"/>
          </w:tcPr>
          <w:p>
            <w:pPr>
              <w:spacing w:after="20" w:before="20"/>
            </w:pPr>
            <w:r>
              <w:rPr>
                <w:rFonts w:ascii="Calibri" w:hAnsi="Calibri" w:cs="Calibri"/>
                <w:b w:val="0"/>
                <w:sz w:val="20"/>
              </w:rPr>
              <w:t>Continue the intended heart-failure and diuretic plan.</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Dyspnea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2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2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25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2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2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26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2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2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26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2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2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26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2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27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2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2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2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27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27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27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14"/>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VAL-806</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82</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78.000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cardiology</w:t>
      </w:r>
    </w:p>
    <w:p>
      <w:pPr>
        <w:pStyle w:val="ListBullet"/>
        <w:spacing w:after="40" w:before="0"/>
      </w:pPr>
      <w:r>
        <w:rPr>
          <w:rFonts w:ascii="Calibri" w:hAnsi="Calibri" w:cs="Calibri"/>
          <w:b/>
          <w:sz w:val="22"/>
        </w:rPr>
        <w:t xml:space="preserve">Admission diagnosis: </w:t>
      </w:r>
      <w:r>
        <w:rPr>
          <w:rFonts w:ascii="Calibri" w:hAnsi="Calibri" w:cs="Calibri"/>
          <w:b w:val="0"/>
          <w:sz w:val="22"/>
        </w:rPr>
        <w:t>Acute systolic (congestive) heart failure</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82-year-old Female with Acute systolic (congestive) heart failure</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Dyspnea, Edema in the setting of Acute systolic (congestive) heart failure</w:t>
      </w:r>
    </w:p>
    <w:p>
      <w:pPr>
        <w:pStyle w:val="ListBullet"/>
        <w:spacing w:after="40" w:before="0"/>
      </w:pPr>
      <w:r>
        <w:rPr>
          <w:rFonts w:ascii="Calibri" w:hAnsi="Calibri" w:cs="Calibri"/>
          <w:b/>
          <w:sz w:val="22"/>
        </w:rPr>
        <w:t xml:space="preserve">Symptoms: </w:t>
      </w:r>
      <w:r>
        <w:rPr>
          <w:rFonts w:ascii="Calibri" w:hAnsi="Calibri" w:cs="Calibri"/>
          <w:b w:val="0"/>
          <w:sz w:val="22"/>
        </w:rPr>
        <w:t>Dyspnea, Edema</w:t>
      </w:r>
    </w:p>
    <w:p>
      <w:pPr>
        <w:pStyle w:val="ListBullet"/>
        <w:spacing w:after="40" w:before="0"/>
      </w:pPr>
      <w:r>
        <w:rPr>
          <w:rFonts w:ascii="Calibri" w:hAnsi="Calibri" w:cs="Calibri"/>
          <w:b/>
          <w:sz w:val="22"/>
        </w:rPr>
        <w:t xml:space="preserve">Symptom duration: </w:t>
      </w:r>
      <w:r>
        <w:rPr>
          <w:rFonts w:ascii="Calibri" w:hAnsi="Calibri" w:cs="Calibri"/>
          <w:b w:val="0"/>
          <w:sz w:val="22"/>
        </w:rPr>
        <w:t>several days</w:t>
      </w:r>
    </w:p>
    <w:p>
      <w:pPr>
        <w:pStyle w:val="ListBullet"/>
        <w:spacing w:after="40" w:before="0"/>
      </w:pPr>
      <w:r>
        <w:rPr>
          <w:rFonts w:ascii="Calibri" w:hAnsi="Calibri" w:cs="Calibri"/>
          <w:b/>
          <w:sz w:val="22"/>
        </w:rPr>
        <w:t xml:space="preserve">Symptom course: </w:t>
      </w:r>
      <w:r>
        <w:rPr>
          <w:rFonts w:ascii="Calibri" w:hAnsi="Calibri" w:cs="Calibri"/>
          <w:b w:val="0"/>
          <w:sz w:val="22"/>
        </w:rPr>
        <w:t>progressive</w:t>
      </w:r>
    </w:p>
    <w:p>
      <w:pPr>
        <w:pStyle w:val="Heading3"/>
      </w:pPr>
      <w:r>
        <w:rPr>
          <w:rFonts w:ascii="Calibri" w:hAnsi="Calibri"/>
          <w:color w:val="1F3A5F"/>
        </w:rPr>
        <w:t>History of present illness</w:t>
      </w:r>
    </w:p>
    <w:p>
      <w:pPr>
        <w:spacing w:after="120"/>
      </w:pPr>
      <w:r>
        <w:rPr>
          <w:rFonts w:ascii="Calibri" w:hAnsi="Calibri" w:cs="Calibri"/>
          <w:b w:val="0"/>
          <w:sz w:val="22"/>
        </w:rPr>
        <w:t>A 82-year-old Female is admitted with Acute systolic (congestive) heart failure. Presenting symptoms include Dyspnea, Edema, present for several days and progressive. Home medications include furosemide 40 MG Oral Tablet, atorvastatin 40 MG Oral Tablet, 24 HR metoprolol succinate 25 MG Extended Release Oral Tablet. lisinopril 10 MG Oral Tablet was held during the admission (Held for rising creatinine during decongestion; intended to restart after renal recovery.). Admitted for decompensated heart failure with worsening renal function. Creatinine rose with congestion. Lisinopril was held during decongestion because of worsening renal function. Creatinine rose with congestion. Selected therapy was held.</w:t>
      </w:r>
    </w:p>
    <w:p>
      <w:pPr>
        <w:pStyle w:val="Heading3"/>
      </w:pPr>
      <w:r>
        <w:rPr>
          <w:rFonts w:ascii="Calibri" w:hAnsi="Calibri"/>
          <w:color w:val="1F3A5F"/>
        </w:rPr>
        <w:t>Admission note</w:t>
      </w:r>
    </w:p>
    <w:p>
      <w:pPr>
        <w:spacing w:after="120"/>
      </w:pPr>
      <w:r>
        <w:rPr>
          <w:rFonts w:ascii="Calibri" w:hAnsi="Calibri" w:cs="Calibri"/>
          <w:b w:val="0"/>
          <w:sz w:val="22"/>
        </w:rPr>
        <w:t>Admission note for a 82-year-old Female with Acute systolic (congestive) heart failure. Symptoms: Dyspnea, Edema for several days (progressive). Medications continued from home: furosemide 40 MG Oral Tablet, atorvastatin 40 MG Oral Tablet, 24 HR metoprolol succinate 25 MG Extended Release Oral Tablet. lisinopril 10 MG Oral Tablet was held during the admission (Held for rising creatinine during decongestion; intended to restart after renal recovery.). Admitted for decompensated heart failure with worsening renal function. Creatinine rose with congestion. Lisinopril was held during decongestion because of worsening renal function. Creatinine rose with congestion. Selected therapy was held.</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Essential (primary) hypertension,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Acute systolic (congestive) heart failure</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Acute systolic (congestive) heart failure</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Creatinine rose with congestion. Selected therapy was held.</w:t>
      </w:r>
    </w:p>
    <w:p>
      <w:pPr>
        <w:pStyle w:val="Heading3"/>
      </w:pPr>
      <w:r>
        <w:rPr>
          <w:rFonts w:ascii="Calibri" w:hAnsi="Calibri"/>
          <w:color w:val="1F3A5F"/>
        </w:rPr>
        <w:t>Intake and output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Intake (mL)</w:t>
            </w:r>
          </w:p>
        </w:tc>
        <w:tc>
          <w:tcPr>
            <w:tcW w:type="dxa" w:w="2448"/>
            <w:shd w:val="clear" w:color="auto" w:fill="D9E2F3"/>
          </w:tcPr>
          <w:p>
            <w:pPr>
              <w:spacing w:after="20" w:before="20"/>
            </w:pPr>
            <w:r>
              <w:rPr>
                <w:rFonts w:ascii="Calibri" w:hAnsi="Calibri" w:cs="Calibri"/>
                <w:b/>
                <w:sz w:val="20"/>
              </w:rPr>
              <w:t>Output (mL)</w:t>
            </w:r>
          </w:p>
        </w:tc>
        <w:tc>
          <w:tcPr>
            <w:tcW w:type="dxa" w:w="2448"/>
            <w:shd w:val="clear" w:color="auto" w:fill="D9E2F3"/>
          </w:tcPr>
          <w:p>
            <w:pPr>
              <w:spacing w:after="20" w:before="20"/>
            </w:pPr>
            <w:r>
              <w:rPr>
                <w:rFonts w:ascii="Calibri" w:hAnsi="Calibri" w:cs="Calibri"/>
                <w:b/>
                <w:sz w:val="20"/>
              </w:rPr>
              <w:t>Net (mL)</w:t>
            </w:r>
          </w:p>
        </w:tc>
      </w:tr>
      <w:tr>
        <w:trPr>
          <w:cantSplit/>
        </w:trPr>
        <w:tc>
          <w:tcPr>
            <w:tcW w:type="dxa" w:w="2448"/>
          </w:tcPr>
          <w:p>
            <w:pPr>
              <w:spacing w:after="20" w:before="20"/>
            </w:pPr>
            <w:r>
              <w:rPr>
                <w:rFonts w:ascii="Calibri" w:hAnsi="Calibri" w:cs="Calibri"/>
                <w:b w:val="0"/>
                <w:sz w:val="20"/>
              </w:rPr>
              <w:t>hospital day 4</w:t>
            </w:r>
          </w:p>
        </w:tc>
        <w:tc>
          <w:tcPr>
            <w:tcW w:type="dxa" w:w="2448"/>
          </w:tcPr>
          <w:p>
            <w:pPr>
              <w:spacing w:after="20" w:before="20"/>
            </w:pPr>
            <w:r>
              <w:rPr>
                <w:rFonts w:ascii="Calibri" w:hAnsi="Calibri" w:cs="Calibri"/>
                <w:b w:val="0"/>
                <w:sz w:val="20"/>
              </w:rPr>
              <w:t>1307</w:t>
            </w:r>
          </w:p>
        </w:tc>
        <w:tc>
          <w:tcPr>
            <w:tcW w:type="dxa" w:w="2448"/>
          </w:tcPr>
          <w:p>
            <w:pPr>
              <w:spacing w:after="20" w:before="20"/>
            </w:pPr>
            <w:r>
              <w:rPr>
                <w:rFonts w:ascii="Calibri" w:hAnsi="Calibri" w:cs="Calibri"/>
                <w:b w:val="0"/>
                <w:sz w:val="20"/>
              </w:rPr>
              <w:t>2064</w:t>
            </w:r>
          </w:p>
        </w:tc>
        <w:tc>
          <w:tcPr>
            <w:tcW w:type="dxa" w:w="2448"/>
          </w:tcPr>
          <w:p>
            <w:pPr>
              <w:spacing w:after="20" w:before="20"/>
            </w:pPr>
            <w:r>
              <w:rPr>
                <w:rFonts w:ascii="Calibri" w:hAnsi="Calibri" w:cs="Calibri"/>
                <w:b w:val="0"/>
                <w:sz w:val="20"/>
              </w:rPr>
              <w:t>-757</w:t>
            </w:r>
          </w:p>
        </w:tc>
      </w:tr>
    </w:tbl>
    <w:p>
      <w:pPr>
        <w:spacing w:after="40"/>
      </w:pP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124/72</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107</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21</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89.00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2.8</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3.8</w:t>
            </w:r>
          </w:p>
        </w:tc>
        <w:tc>
          <w:tcPr>
            <w:tcW w:type="dxa" w:w="2160"/>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78.000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116/72</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67</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14</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1.6</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4.5</w:t>
            </w:r>
          </w:p>
        </w:tc>
        <w:tc>
          <w:tcPr>
            <w:tcW w:type="dxa" w:w="2160"/>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896"/>
            <w:shd w:val="clear" w:color="auto" w:fill="D9E2F3"/>
          </w:tcPr>
          <w:p>
            <w:pPr>
              <w:spacing w:after="20" w:before="20"/>
            </w:pPr>
            <w:r>
              <w:rPr>
                <w:rFonts w:ascii="Calibri" w:hAnsi="Calibri" w:cs="Calibri"/>
                <w:b/>
                <w:sz w:val="20"/>
              </w:rPr>
              <w:t>Weight (kg)</w:t>
            </w:r>
          </w:p>
        </w:tc>
        <w:tc>
          <w:tcPr>
            <w:tcW w:type="dxa" w:w="4896"/>
            <w:shd w:val="clear" w:color="auto" w:fill="D9E2F3"/>
          </w:tcPr>
          <w:p>
            <w:pPr>
              <w:spacing w:after="20" w:before="20"/>
            </w:pPr>
            <w:r>
              <w:rPr>
                <w:rFonts w:ascii="Calibri" w:hAnsi="Calibri" w:cs="Calibri"/>
                <w:b/>
                <w:sz w:val="20"/>
              </w:rPr>
              <w:t>Dry weight (kg)</w:t>
            </w:r>
          </w:p>
        </w:tc>
      </w:tr>
      <w:tr>
        <w:trPr>
          <w:cantSplit/>
        </w:trPr>
        <w:tc>
          <w:tcPr>
            <w:tcW w:type="dxa" w:w="4896"/>
          </w:tcPr>
          <w:p>
            <w:pPr>
              <w:spacing w:after="20" w:before="20"/>
            </w:pPr>
            <w:r>
              <w:rPr>
                <w:rFonts w:ascii="Calibri" w:hAnsi="Calibri" w:cs="Calibri"/>
                <w:b w:val="0"/>
                <w:sz w:val="20"/>
              </w:rPr>
              <w:t>73.000</w:t>
            </w:r>
          </w:p>
        </w:tc>
        <w:tc>
          <w:tcPr>
            <w:tcW w:type="dxa" w:w="4896"/>
          </w:tcPr>
          <w:p>
            <w:pPr>
              <w:spacing w:after="20" w:before="20"/>
            </w:pPr>
            <w:r>
              <w:rPr>
                <w:rFonts w:ascii="Calibri" w:hAnsi="Calibri" w:cs="Calibri"/>
                <w:b w:val="0"/>
                <w:sz w:val="20"/>
              </w:rPr>
              <w:t>74.000</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furosemide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furosemide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Status: held; Indication: Essential (primary) hypertension; Held reason: Held for rising creatinine during decongestion; intended to restart after renal recovery.</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furosemide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Status: held; Indication: Essential (primary) hypertension; Held reason: Held for rising creatinine during decongestion; intended to restart after renal recovery.</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Cardiology follow-up to reassess held therapy</w:t>
            </w:r>
          </w:p>
        </w:tc>
        <w:tc>
          <w:tcPr>
            <w:tcW w:type="dxa" w:w="3264"/>
          </w:tcPr>
          <w:p>
            <w:pPr>
              <w:spacing w:after="20" w:before="20"/>
            </w:pPr>
            <w:r>
              <w:rPr>
                <w:rFonts w:ascii="Calibri" w:hAnsi="Calibri" w:cs="Calibri"/>
                <w:b w:val="0"/>
                <w:sz w:val="20"/>
              </w:rPr>
              <w:t>3 days</w:t>
            </w:r>
          </w:p>
        </w:tc>
        <w:tc>
          <w:tcPr>
            <w:tcW w:type="dxa" w:w="3264"/>
          </w:tcPr>
          <w:p>
            <w:pPr>
              <w:spacing w:after="20" w:before="20"/>
            </w:pPr>
            <w:r>
              <w:rPr>
                <w:rFonts w:ascii="Calibri" w:hAnsi="Calibri" w:cs="Calibri"/>
                <w:b w:val="0"/>
                <w:sz w:val="20"/>
              </w:rPr>
              <w:t>cardiology</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Chest radiograph</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chest</w:t>
            </w:r>
          </w:p>
        </w:tc>
        <w:tc>
          <w:tcPr>
            <w:tcW w:type="dxa" w:w="2448"/>
          </w:tcPr>
          <w:p>
            <w:pPr>
              <w:spacing w:after="20" w:before="20"/>
            </w:pPr>
            <w:r>
              <w:rPr>
                <w:rFonts w:ascii="Calibri" w:hAnsi="Calibri" w:cs="Calibri"/>
                <w:b w:val="0"/>
                <w:sz w:val="20"/>
              </w:rPr>
              <w:t>Congestion with small pleural effusions.</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cardiology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Inpatient cardiology recommendations were recorded.</w:t>
            </w:r>
          </w:p>
        </w:tc>
        <w:tc>
          <w:tcPr>
            <w:tcW w:type="dxa" w:w="2448"/>
          </w:tcPr>
          <w:p>
            <w:pPr>
              <w:spacing w:after="20" w:before="20"/>
            </w:pPr>
            <w:r>
              <w:rPr>
                <w:rFonts w:ascii="Calibri" w:hAnsi="Calibri" w:cs="Calibri"/>
                <w:b w:val="0"/>
                <w:sz w:val="20"/>
              </w:rPr>
              <w:t>Continue the intended heart-failure and diuretic plan.</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Dyspnea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3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3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31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Error-bearing</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Family 2</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Held medication without a restart plan (f2_held_med_no_restart_plan)</w:t>
            </w:r>
          </w:p>
        </w:tc>
      </w:tr>
      <w:tr>
        <w:trPr>
          <w:cantSplit/>
        </w:trPr>
        <w:tc>
          <w:tcPr>
            <w:tcW w:type="dxa" w:w="3744"/>
          </w:tcPr>
          <w:p>
            <w:pPr>
              <w:spacing w:after="20" w:before="20"/>
            </w:pPr>
            <w:r>
              <w:rPr>
                <w:rFonts w:ascii="Calibri" w:hAnsi="Calibri" w:cs="Calibri"/>
                <w:b w:val="0"/>
                <w:sz w:val="20"/>
              </w:rPr>
              <w:t>Intended assessment target</w:t>
            </w:r>
          </w:p>
        </w:tc>
        <w:tc>
          <w:tcPr>
            <w:tcW w:type="dxa" w:w="6048"/>
          </w:tcPr>
          <w:p>
            <w:pPr>
              <w:spacing w:after="20" w:before="20"/>
            </w:pPr>
            <w:r>
              <w:rPr>
                <w:rFonts w:ascii="Calibri" w:hAnsi="Calibri" w:cs="Calibri"/>
                <w:b w:val="0"/>
                <w:sz w:val="20"/>
              </w:rPr>
              <w:t>A home medication legitimately held during hospitalization has no documented resumption criterion or timing at discharge.</w:t>
            </w:r>
          </w:p>
        </w:tc>
      </w:tr>
      <w:tr>
        <w:trPr>
          <w:cantSplit/>
        </w:trPr>
        <w:tc>
          <w:tcPr>
            <w:tcW w:type="dxa" w:w="3744"/>
          </w:tcPr>
          <w:p>
            <w:pPr>
              <w:spacing w:after="20" w:before="20"/>
            </w:pPr>
            <w:r>
              <w:rPr>
                <w:rFonts w:ascii="Calibri" w:hAnsi="Calibri" w:cs="Calibri"/>
                <w:b w:val="0"/>
                <w:sz w:val="20"/>
              </w:rPr>
              <w:t>Medication involved</w:t>
            </w:r>
          </w:p>
        </w:tc>
        <w:tc>
          <w:tcPr>
            <w:tcW w:type="dxa" w:w="6048"/>
          </w:tcPr>
          <w:p>
            <w:pPr>
              <w:spacing w:after="20" w:before="20"/>
            </w:pPr>
            <w:r>
              <w:rPr>
                <w:rFonts w:ascii="Calibri" w:hAnsi="Calibri" w:cs="Calibri"/>
                <w:b w:val="0"/>
                <w:sz w:val="20"/>
              </w:rPr>
              <w:t>lisinopril 10 MG Oral Tablet</w:t>
            </w:r>
          </w:p>
        </w:tc>
      </w:tr>
      <w:tr>
        <w:trPr>
          <w:cantSplit/>
        </w:trPr>
        <w:tc>
          <w:tcPr>
            <w:tcW w:type="dxa" w:w="3744"/>
          </w:tcPr>
          <w:p>
            <w:pPr>
              <w:spacing w:after="20" w:before="20"/>
            </w:pPr>
            <w:r>
              <w:rPr>
                <w:rFonts w:ascii="Calibri" w:hAnsi="Calibri" w:cs="Calibri"/>
                <w:b w:val="0"/>
                <w:sz w:val="20"/>
              </w:rPr>
              <w:t>Clean expected state</w:t>
            </w:r>
          </w:p>
        </w:tc>
        <w:tc>
          <w:tcPr>
            <w:tcW w:type="dxa" w:w="6048"/>
          </w:tcPr>
          <w:p>
            <w:pPr>
              <w:spacing w:after="20" w:before="20"/>
            </w:pPr>
            <w:r>
              <w:rPr>
                <w:rFonts w:ascii="Calibri" w:hAnsi="Calibri" w:cs="Calibri"/>
                <w:b w:val="0"/>
                <w:sz w:val="20"/>
              </w:rPr>
              <w:t>Changed field: restart_plan</w:t>
              <w:br/>
              <w:t>instructions: Resume when holding lisinopril 10 MG Oral Tablet: Resume lisinopril when creatinine is falling toward the prior baseline.; target or goal: Resume lisinopril when creatinine is falling toward the prior baseline.; Resume lisinopril when creatinine is falling toward the prior baseline.</w:t>
            </w:r>
          </w:p>
        </w:tc>
      </w:tr>
      <w:tr>
        <w:trPr>
          <w:cantSplit/>
        </w:trPr>
        <w:tc>
          <w:tcPr>
            <w:tcW w:type="dxa" w:w="3744"/>
          </w:tcPr>
          <w:p>
            <w:pPr>
              <w:spacing w:after="20" w:before="20"/>
            </w:pPr>
            <w:r>
              <w:rPr>
                <w:rFonts w:ascii="Calibri" w:hAnsi="Calibri" w:cs="Calibri"/>
                <w:b w:val="0"/>
                <w:sz w:val="20"/>
              </w:rPr>
              <w:t>What appears in this case</w:t>
            </w:r>
          </w:p>
        </w:tc>
        <w:tc>
          <w:tcPr>
            <w:tcW w:type="dxa" w:w="6048"/>
          </w:tcPr>
          <w:p>
            <w:pPr>
              <w:spacing w:after="20" w:before="20"/>
            </w:pPr>
            <w:r>
              <w:rPr>
                <w:rFonts w:ascii="Calibri" w:hAnsi="Calibri" w:cs="Calibri"/>
                <w:b w:val="0"/>
                <w:sz w:val="20"/>
              </w:rPr>
              <w:t>instructions: none; target or goal: none</w:t>
            </w:r>
          </w:p>
        </w:tc>
      </w:tr>
      <w:tr>
        <w:trPr>
          <w:cantSplit/>
        </w:trPr>
        <w:tc>
          <w:tcPr>
            <w:tcW w:type="dxa" w:w="3744"/>
          </w:tcPr>
          <w:p>
            <w:pPr>
              <w:spacing w:after="20" w:before="20"/>
            </w:pPr>
            <w:r>
              <w:rPr>
                <w:rFonts w:ascii="Calibri" w:hAnsi="Calibri" w:cs="Calibri"/>
                <w:b w:val="0"/>
                <w:sz w:val="20"/>
              </w:rPr>
              <w:t>Evidence available in the chart</w:t>
            </w:r>
          </w:p>
        </w:tc>
        <w:tc>
          <w:tcPr>
            <w:tcW w:type="dxa" w:w="6048"/>
          </w:tcPr>
          <w:p>
            <w:pPr>
              <w:spacing w:after="20" w:before="20"/>
            </w:pPr>
            <w:r>
              <w:rPr>
                <w:rFonts w:ascii="Calibri" w:hAnsi="Calibri" w:cs="Calibri"/>
                <w:b w:val="0"/>
                <w:sz w:val="20"/>
              </w:rPr>
              <w:t>The medication was held for a documented reason and needs a restart plan.</w:t>
              <w:br/>
              <w:t>Evidence location: Home medications, Medications during hospitalization, Discharge instructions</w:t>
              <w:br/>
              <w:t>Detectability location: Discharge instructions, CaseMedication.target or goal</w:t>
            </w:r>
          </w:p>
        </w:tc>
      </w:tr>
      <w:tr>
        <w:trPr>
          <w:cantSplit/>
        </w:trPr>
        <w:tc>
          <w:tcPr>
            <w:tcW w:type="dxa" w:w="3744"/>
          </w:tcPr>
          <w:p>
            <w:pPr>
              <w:spacing w:after="20" w:before="20"/>
            </w:pPr>
            <w:r>
              <w:rPr>
                <w:rFonts w:ascii="Calibri" w:hAnsi="Calibri" w:cs="Calibri"/>
                <w:b w:val="0"/>
                <w:sz w:val="20"/>
              </w:rPr>
              <w:t>Expected clinical action</w:t>
            </w:r>
          </w:p>
        </w:tc>
        <w:tc>
          <w:tcPr>
            <w:tcW w:type="dxa" w:w="6048"/>
          </w:tcPr>
          <w:p>
            <w:pPr>
              <w:spacing w:after="20" w:before="20"/>
            </w:pPr>
            <w:r>
              <w:rPr>
                <w:rFonts w:ascii="Calibri" w:hAnsi="Calibri" w:cs="Calibri"/>
                <w:b w:val="0"/>
                <w:sz w:val="20"/>
              </w:rPr>
              <w:t>Document when and under what criteria the held medication should be restarted.</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the clinical case actually contain the intended medication-reconciliation or transition-of-care problem described above, and does it match the intended category?</w:t>
      </w:r>
    </w:p>
    <w:p>
      <w:pPr>
        <w:keepLines/>
        <w:spacing w:before="80" w:after="160"/>
      </w:pPr>
      <w:sdt>
        <w:sdtPr>
          <w:rPr>
            <w:rFonts w:ascii="MS Gothic" w:hAnsi="MS Gothic" w:cs="MS Gothic" w:eastAsia="MS Gothic" w:hint="eastAsia"/>
            <w:sz w:val="28"/>
            <w:szCs w:val="28"/>
          </w:rPr>
          <w:alias w:val="C2 result"/>
          <w:tag w:val="c2-result"/>
          <w:id w:val="3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3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31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Could an internal-medicine resident identify and resolve the intended problem using only the clinical information provided in the patient-facing case?</w:t>
      </w:r>
    </w:p>
    <w:p>
      <w:pPr>
        <w:spacing w:after="120"/>
      </w:pPr>
      <w:r>
        <w:rPr>
          <w:rFonts w:ascii="Calibri" w:hAnsi="Calibri" w:cs="Calibri"/>
          <w:b w:val="0"/>
          <w:sz w:val="22"/>
        </w:rPr>
        <w:t>Consider whether the necessary evidence is present, whether key information is missing, whether the target is ambiguous, whether wording gives away the answer, and whether the expected clinical action can reasonably be determined.</w:t>
      </w:r>
    </w:p>
    <w:p>
      <w:pPr>
        <w:keepLines/>
        <w:spacing w:before="80" w:after="160"/>
      </w:pPr>
      <w:sdt>
        <w:sdtPr>
          <w:rPr>
            <w:rFonts w:ascii="MS Gothic" w:hAnsi="MS Gothic" w:cs="MS Gothic" w:eastAsia="MS Gothic" w:hint="eastAsia"/>
            <w:sz w:val="28"/>
            <w:szCs w:val="28"/>
          </w:rPr>
          <w:alias w:val="C3 result"/>
          <w:tag w:val="c3-result"/>
          <w:id w:val="3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3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31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Apart from the intended assessment problem, does the case contain another clinically meaningful medication-reconciliation or transition-of-care problem that a reasonable resident could interpret as an alternative target?</w:t>
      </w:r>
    </w:p>
    <w:p>
      <w:pPr>
        <w:keepLines/>
        <w:spacing w:before="80" w:after="160"/>
      </w:pPr>
      <w:sdt>
        <w:sdtPr>
          <w:rPr>
            <w:rFonts w:ascii="MS Gothic" w:hAnsi="MS Gothic" w:cs="MS Gothic" w:eastAsia="MS Gothic" w:hint="eastAsia"/>
            <w:sz w:val="28"/>
            <w:szCs w:val="28"/>
          </w:rPr>
          <w:alias w:val="C4 result"/>
          <w:tag w:val="c4-result"/>
          <w:id w:val="3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3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32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3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3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3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3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32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3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3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3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33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33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33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15"/>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VAL-807</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60</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99.000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cardiology</w:t>
      </w:r>
    </w:p>
    <w:p>
      <w:pPr>
        <w:pStyle w:val="ListBullet"/>
        <w:spacing w:after="40" w:before="0"/>
      </w:pPr>
      <w:r>
        <w:rPr>
          <w:rFonts w:ascii="Calibri" w:hAnsi="Calibri" w:cs="Calibri"/>
          <w:b/>
          <w:sz w:val="22"/>
        </w:rPr>
        <w:t xml:space="preserve">Admission diagnosis: </w:t>
      </w:r>
      <w:r>
        <w:rPr>
          <w:rFonts w:ascii="Calibri" w:hAnsi="Calibri" w:cs="Calibri"/>
          <w:b w:val="0"/>
          <w:sz w:val="22"/>
        </w:rPr>
        <w:t>Acute systolic (congestive) heart failure</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60-year-old Male with Acute systolic (congestive) heart failure</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Dyspnea, Orthopnea in the setting of Acute systolic (congestive) heart failure</w:t>
      </w:r>
    </w:p>
    <w:p>
      <w:pPr>
        <w:pStyle w:val="ListBullet"/>
        <w:spacing w:after="40" w:before="0"/>
      </w:pPr>
      <w:r>
        <w:rPr>
          <w:rFonts w:ascii="Calibri" w:hAnsi="Calibri" w:cs="Calibri"/>
          <w:b/>
          <w:sz w:val="22"/>
        </w:rPr>
        <w:t xml:space="preserve">Symptoms: </w:t>
      </w:r>
      <w:r>
        <w:rPr>
          <w:rFonts w:ascii="Calibri" w:hAnsi="Calibri" w:cs="Calibri"/>
          <w:b w:val="0"/>
          <w:sz w:val="22"/>
        </w:rPr>
        <w:t>Dyspnea, Orthopnea</w:t>
      </w:r>
    </w:p>
    <w:p>
      <w:pPr>
        <w:pStyle w:val="ListBullet"/>
        <w:spacing w:after="40" w:before="0"/>
      </w:pPr>
      <w:r>
        <w:rPr>
          <w:rFonts w:ascii="Calibri" w:hAnsi="Calibri" w:cs="Calibri"/>
          <w:b/>
          <w:sz w:val="22"/>
        </w:rPr>
        <w:t xml:space="preserve">Symptom duration: </w:t>
      </w:r>
      <w:r>
        <w:rPr>
          <w:rFonts w:ascii="Calibri" w:hAnsi="Calibri" w:cs="Calibri"/>
          <w:b w:val="0"/>
          <w:sz w:val="22"/>
        </w:rPr>
        <w:t>two days</w:t>
      </w:r>
    </w:p>
    <w:p>
      <w:pPr>
        <w:pStyle w:val="ListBullet"/>
        <w:spacing w:after="40" w:before="0"/>
      </w:pPr>
      <w:r>
        <w:rPr>
          <w:rFonts w:ascii="Calibri" w:hAnsi="Calibri" w:cs="Calibri"/>
          <w:b/>
          <w:sz w:val="22"/>
        </w:rPr>
        <w:t xml:space="preserve">Symptom course: </w:t>
      </w:r>
      <w:r>
        <w:rPr>
          <w:rFonts w:ascii="Calibri" w:hAnsi="Calibri" w:cs="Calibri"/>
          <w:b w:val="0"/>
          <w:sz w:val="22"/>
        </w:rPr>
        <w:t>acutely worsening</w:t>
      </w:r>
    </w:p>
    <w:p>
      <w:pPr>
        <w:pStyle w:val="Heading3"/>
      </w:pPr>
      <w:r>
        <w:rPr>
          <w:rFonts w:ascii="Calibri" w:hAnsi="Calibri"/>
          <w:color w:val="1F3A5F"/>
        </w:rPr>
        <w:t>History of present illness</w:t>
      </w:r>
    </w:p>
    <w:p>
      <w:pPr>
        <w:spacing w:after="120"/>
      </w:pPr>
      <w:r>
        <w:rPr>
          <w:rFonts w:ascii="Calibri" w:hAnsi="Calibri" w:cs="Calibri"/>
          <w:b w:val="0"/>
          <w:sz w:val="22"/>
        </w:rPr>
        <w:t>A 60-year-old Male is admitted with Acute systolic (congestive) heart failure. Presenting symptoms include Dyspnea, Orthopnea, present for two days and acutely worsening. Home medications include furosemide 40 MG Oral Tablet, atorvastatin 40 MG Oral Tablet, 24 HR metoprolol succinate 25 MG Extended Release Oral Tablet. Admitted for decompensated heart failure with hypokalemia during diuresis. Diuresis was accompanied by potassium repletion. The intended outpatient diuretic dose is recorded. Diuresis was accompanied by potassium repletion. Electrolytes were trending toward a range acceptable for discharge.</w:t>
      </w:r>
    </w:p>
    <w:p>
      <w:pPr>
        <w:pStyle w:val="Heading3"/>
      </w:pPr>
      <w:r>
        <w:rPr>
          <w:rFonts w:ascii="Calibri" w:hAnsi="Calibri"/>
          <w:color w:val="1F3A5F"/>
        </w:rPr>
        <w:t>Admission note</w:t>
      </w:r>
    </w:p>
    <w:p>
      <w:pPr>
        <w:spacing w:after="120"/>
      </w:pPr>
      <w:r>
        <w:rPr>
          <w:rFonts w:ascii="Calibri" w:hAnsi="Calibri" w:cs="Calibri"/>
          <w:b w:val="0"/>
          <w:sz w:val="22"/>
        </w:rPr>
        <w:t>Admission note for a 60-year-old Male with Acute systolic (congestive) heart failure. Symptoms: Dyspnea, Orthopnea for two days (acutely worsening). Medications continued from home: furosemide 40 MG Oral Tablet, atorvastatin 40 MG Oral Tablet, 24 HR metoprolol succinate 25 MG Extended Release Oral Tablet. Admitted for decompensated heart failure with hypokalemia during diuresis. Diuresis was accompanied by potassium repletion. The intended outpatient diuretic dose is recorded. Diuresis was accompanied by potassium repletion. Electrolytes were trending toward a range acceptable for discharge.</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Essential (primary) hypertension,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Acute systolic (congestive) heart failure</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Acute systolic (congestive) heart failure</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Diuresis was accompanied by potassium repletion. Electrolytes were trending toward a range acceptable for discharge.</w:t>
      </w:r>
    </w:p>
    <w:p>
      <w:pPr>
        <w:pStyle w:val="Heading3"/>
      </w:pPr>
      <w:r>
        <w:rPr>
          <w:rFonts w:ascii="Calibri" w:hAnsi="Calibri"/>
          <w:color w:val="1F3A5F"/>
        </w:rPr>
        <w:t>Intake and output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Intake (mL)</w:t>
            </w:r>
          </w:p>
        </w:tc>
        <w:tc>
          <w:tcPr>
            <w:tcW w:type="dxa" w:w="2448"/>
            <w:shd w:val="clear" w:color="auto" w:fill="D9E2F3"/>
          </w:tcPr>
          <w:p>
            <w:pPr>
              <w:spacing w:after="20" w:before="20"/>
            </w:pPr>
            <w:r>
              <w:rPr>
                <w:rFonts w:ascii="Calibri" w:hAnsi="Calibri" w:cs="Calibri"/>
                <w:b/>
                <w:sz w:val="20"/>
              </w:rPr>
              <w:t>Output (mL)</w:t>
            </w:r>
          </w:p>
        </w:tc>
        <w:tc>
          <w:tcPr>
            <w:tcW w:type="dxa" w:w="2448"/>
            <w:shd w:val="clear" w:color="auto" w:fill="D9E2F3"/>
          </w:tcPr>
          <w:p>
            <w:pPr>
              <w:spacing w:after="20" w:before="20"/>
            </w:pPr>
            <w:r>
              <w:rPr>
                <w:rFonts w:ascii="Calibri" w:hAnsi="Calibri" w:cs="Calibri"/>
                <w:b/>
                <w:sz w:val="20"/>
              </w:rPr>
              <w:t>Net (mL)</w:t>
            </w:r>
          </w:p>
        </w:tc>
      </w:tr>
      <w:tr>
        <w:trPr>
          <w:cantSplit/>
        </w:trPr>
        <w:tc>
          <w:tcPr>
            <w:tcW w:type="dxa" w:w="2448"/>
          </w:tcPr>
          <w:p>
            <w:pPr>
              <w:spacing w:after="20" w:before="20"/>
            </w:pPr>
            <w:r>
              <w:rPr>
                <w:rFonts w:ascii="Calibri" w:hAnsi="Calibri" w:cs="Calibri"/>
                <w:b w:val="0"/>
                <w:sz w:val="20"/>
              </w:rPr>
              <w:t>hospital day 3</w:t>
            </w:r>
          </w:p>
        </w:tc>
        <w:tc>
          <w:tcPr>
            <w:tcW w:type="dxa" w:w="2448"/>
          </w:tcPr>
          <w:p>
            <w:pPr>
              <w:spacing w:after="20" w:before="20"/>
            </w:pPr>
            <w:r>
              <w:rPr>
                <w:rFonts w:ascii="Calibri" w:hAnsi="Calibri" w:cs="Calibri"/>
                <w:b w:val="0"/>
                <w:sz w:val="20"/>
              </w:rPr>
              <w:t>1325</w:t>
            </w:r>
          </w:p>
        </w:tc>
        <w:tc>
          <w:tcPr>
            <w:tcW w:type="dxa" w:w="2448"/>
          </w:tcPr>
          <w:p>
            <w:pPr>
              <w:spacing w:after="20" w:before="20"/>
            </w:pPr>
            <w:r>
              <w:rPr>
                <w:rFonts w:ascii="Calibri" w:hAnsi="Calibri" w:cs="Calibri"/>
                <w:b w:val="0"/>
                <w:sz w:val="20"/>
              </w:rPr>
              <w:t>2417</w:t>
            </w:r>
          </w:p>
        </w:tc>
        <w:tc>
          <w:tcPr>
            <w:tcW w:type="dxa" w:w="2448"/>
          </w:tcPr>
          <w:p>
            <w:pPr>
              <w:spacing w:after="20" w:before="20"/>
            </w:pPr>
            <w:r>
              <w:rPr>
                <w:rFonts w:ascii="Calibri" w:hAnsi="Calibri" w:cs="Calibri"/>
                <w:b w:val="0"/>
                <w:sz w:val="20"/>
              </w:rPr>
              <w:t>-1092</w:t>
            </w:r>
          </w:p>
        </w:tc>
      </w:tr>
    </w:tbl>
    <w:p>
      <w:pPr>
        <w:spacing w:after="40"/>
      </w:pP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119/70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102</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94.00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1.2</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3.5</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Natriuretic peptide B [Mass/volume] in Serum or Plasma</w:t>
            </w:r>
          </w:p>
        </w:tc>
        <w:tc>
          <w:tcPr>
            <w:tcW w:type="dxa" w:w="1872"/>
          </w:tcPr>
          <w:p>
            <w:pPr>
              <w:spacing w:after="20" w:before="20"/>
            </w:pPr>
            <w:r>
              <w:rPr>
                <w:rFonts w:ascii="Calibri" w:hAnsi="Calibri" w:cs="Calibri"/>
                <w:b w:val="0"/>
                <w:sz w:val="20"/>
              </w:rPr>
              <w:t>836.0</w:t>
            </w:r>
          </w:p>
        </w:tc>
        <w:tc>
          <w:tcPr>
            <w:tcW w:type="dxa" w:w="2160"/>
          </w:tcPr>
          <w:p>
            <w:pPr>
              <w:spacing w:after="20" w:before="20"/>
            </w:pPr>
            <w:r>
              <w:rPr>
                <w:rFonts w:ascii="Calibri" w:hAnsi="Calibri" w:cs="Calibri"/>
                <w:b w:val="0"/>
                <w:sz w:val="20"/>
              </w:rPr>
              <w:t>pg/mL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99.000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137/77</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62</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15</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1.2</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3.8</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Natriuretic peptide B [Mass/volume] in Serum or Plasma</w:t>
            </w:r>
          </w:p>
        </w:tc>
        <w:tc>
          <w:tcPr>
            <w:tcW w:type="dxa" w:w="1872"/>
          </w:tcPr>
          <w:p>
            <w:pPr>
              <w:spacing w:after="20" w:before="20"/>
            </w:pPr>
            <w:r>
              <w:rPr>
                <w:rFonts w:ascii="Calibri" w:hAnsi="Calibri" w:cs="Calibri"/>
                <w:b w:val="0"/>
                <w:sz w:val="20"/>
              </w:rPr>
              <w:t>585.0</w:t>
            </w:r>
          </w:p>
        </w:tc>
        <w:tc>
          <w:tcPr>
            <w:tcW w:type="dxa" w:w="2160"/>
          </w:tcPr>
          <w:p>
            <w:pPr>
              <w:spacing w:after="20" w:before="20"/>
            </w:pPr>
            <w:r>
              <w:rPr>
                <w:rFonts w:ascii="Calibri" w:hAnsi="Calibri" w:cs="Calibri"/>
                <w:b w:val="0"/>
                <w:sz w:val="20"/>
              </w:rPr>
              <w:t>pg/mL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896"/>
            <w:shd w:val="clear" w:color="auto" w:fill="D9E2F3"/>
          </w:tcPr>
          <w:p>
            <w:pPr>
              <w:spacing w:after="20" w:before="20"/>
            </w:pPr>
            <w:r>
              <w:rPr>
                <w:rFonts w:ascii="Calibri" w:hAnsi="Calibri" w:cs="Calibri"/>
                <w:b/>
                <w:sz w:val="20"/>
              </w:rPr>
              <w:t>Weight (kg)</w:t>
            </w:r>
          </w:p>
        </w:tc>
        <w:tc>
          <w:tcPr>
            <w:tcW w:type="dxa" w:w="4896"/>
            <w:shd w:val="clear" w:color="auto" w:fill="D9E2F3"/>
          </w:tcPr>
          <w:p>
            <w:pPr>
              <w:spacing w:after="20" w:before="20"/>
            </w:pPr>
            <w:r>
              <w:rPr>
                <w:rFonts w:ascii="Calibri" w:hAnsi="Calibri" w:cs="Calibri"/>
                <w:b/>
                <w:sz w:val="20"/>
              </w:rPr>
              <w:t>Dry weight (kg)</w:t>
            </w:r>
          </w:p>
        </w:tc>
      </w:tr>
      <w:tr>
        <w:trPr>
          <w:cantSplit/>
        </w:trPr>
        <w:tc>
          <w:tcPr>
            <w:tcW w:type="dxa" w:w="4896"/>
          </w:tcPr>
          <w:p>
            <w:pPr>
              <w:spacing w:after="20" w:before="20"/>
            </w:pPr>
            <w:r>
              <w:rPr>
                <w:rFonts w:ascii="Calibri" w:hAnsi="Calibri" w:cs="Calibri"/>
                <w:b w:val="0"/>
                <w:sz w:val="20"/>
              </w:rPr>
              <w:t>93.000</w:t>
            </w:r>
          </w:p>
        </w:tc>
        <w:tc>
          <w:tcPr>
            <w:tcW w:type="dxa" w:w="4896"/>
          </w:tcPr>
          <w:p>
            <w:pPr>
              <w:spacing w:after="20" w:before="20"/>
            </w:pPr>
            <w:r>
              <w:rPr>
                <w:rFonts w:ascii="Calibri" w:hAnsi="Calibri" w:cs="Calibri"/>
                <w:b w:val="0"/>
                <w:sz w:val="20"/>
              </w:rPr>
              <w:t>95.000</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furosemide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furosemide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furosemide 40 MG Oral Tablet</w:t>
            </w:r>
          </w:p>
        </w:tc>
        <w:tc>
          <w:tcPr>
            <w:tcW w:type="dxa" w:w="1224"/>
          </w:tcPr>
          <w:p>
            <w:pPr>
              <w:spacing w:after="20" w:before="20"/>
            </w:pPr>
            <w:r>
              <w:rPr>
                <w:rFonts w:ascii="Calibri" w:hAnsi="Calibri" w:cs="Calibri"/>
                <w:b w:val="0"/>
                <w:sz w:val="20"/>
              </w:rPr>
              <w:t>20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Electrolyte and heart-failure follow-up</w:t>
            </w:r>
          </w:p>
        </w:tc>
        <w:tc>
          <w:tcPr>
            <w:tcW w:type="dxa" w:w="3264"/>
          </w:tcPr>
          <w:p>
            <w:pPr>
              <w:spacing w:after="20" w:before="20"/>
            </w:pPr>
            <w:r>
              <w:rPr>
                <w:rFonts w:ascii="Calibri" w:hAnsi="Calibri" w:cs="Calibri"/>
                <w:b w:val="0"/>
                <w:sz w:val="20"/>
              </w:rPr>
              <w:t>5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Chest radiograph</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chest</w:t>
            </w:r>
          </w:p>
        </w:tc>
        <w:tc>
          <w:tcPr>
            <w:tcW w:type="dxa" w:w="2448"/>
          </w:tcPr>
          <w:p>
            <w:pPr>
              <w:spacing w:after="20" w:before="20"/>
            </w:pPr>
            <w:r>
              <w:rPr>
                <w:rFonts w:ascii="Calibri" w:hAnsi="Calibri" w:cs="Calibri"/>
                <w:b w:val="0"/>
                <w:sz w:val="20"/>
              </w:rPr>
              <w:t>Pulmonary vascular congestion and interstitial edema.</w:t>
            </w:r>
          </w:p>
        </w:tc>
      </w:tr>
      <w:tr>
        <w:trPr>
          <w:cantSplit/>
        </w:trPr>
        <w:tc>
          <w:tcPr>
            <w:tcW w:type="dxa" w:w="2448"/>
          </w:tcPr>
          <w:p>
            <w:pPr>
              <w:spacing w:after="20" w:before="20"/>
            </w:pPr>
            <w:r>
              <w:rPr>
                <w:rFonts w:ascii="Calibri" w:hAnsi="Calibri" w:cs="Calibri"/>
                <w:b w:val="0"/>
                <w:sz w:val="20"/>
              </w:rPr>
              <w:t>Chest radiograph</w:t>
            </w:r>
          </w:p>
        </w:tc>
        <w:tc>
          <w:tcPr>
            <w:tcW w:type="dxa" w:w="2448"/>
          </w:tcPr>
          <w:p>
            <w:pPr>
              <w:spacing w:after="20" w:before="20"/>
            </w:pPr>
            <w:r>
              <w:rPr>
                <w:rFonts w:ascii="Calibri" w:hAnsi="Calibri" w:cs="Calibri"/>
                <w:b w:val="0"/>
                <w:sz w:val="20"/>
              </w:rPr>
              <w:t>discharge</w:t>
            </w:r>
          </w:p>
        </w:tc>
        <w:tc>
          <w:tcPr>
            <w:tcW w:type="dxa" w:w="2448"/>
          </w:tcPr>
          <w:p>
            <w:pPr>
              <w:spacing w:after="20" w:before="20"/>
            </w:pPr>
            <w:r>
              <w:rPr>
                <w:rFonts w:ascii="Calibri" w:hAnsi="Calibri" w:cs="Calibri"/>
                <w:b w:val="0"/>
                <w:sz w:val="20"/>
              </w:rPr>
              <w:t>chest</w:t>
            </w:r>
          </w:p>
        </w:tc>
        <w:tc>
          <w:tcPr>
            <w:tcW w:type="dxa" w:w="2448"/>
          </w:tcPr>
          <w:p>
            <w:pPr>
              <w:spacing w:after="20" w:before="20"/>
            </w:pPr>
            <w:r>
              <w:rPr>
                <w:rFonts w:ascii="Calibri" w:hAnsi="Calibri" w:cs="Calibri"/>
                <w:b w:val="0"/>
                <w:sz w:val="20"/>
              </w:rPr>
              <w:t>Improved pulmonary edema compared with admission.</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cardiology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Inpatient cardiology recommendations were recorded.</w:t>
            </w:r>
          </w:p>
        </w:tc>
        <w:tc>
          <w:tcPr>
            <w:tcW w:type="dxa" w:w="2448"/>
          </w:tcPr>
          <w:p>
            <w:pPr>
              <w:spacing w:after="20" w:before="20"/>
            </w:pPr>
            <w:r>
              <w:rPr>
                <w:rFonts w:ascii="Calibri" w:hAnsi="Calibri" w:cs="Calibri"/>
                <w:b w:val="0"/>
                <w:sz w:val="20"/>
              </w:rPr>
              <w:t>Continue the intended heart-failure and diuretic plan.</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Dyspnea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3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3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36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Error-bearing</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Family 1</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Unexplained dose discrepancy (f1_dose_mismatch)</w:t>
            </w:r>
          </w:p>
        </w:tc>
      </w:tr>
      <w:tr>
        <w:trPr>
          <w:cantSplit/>
        </w:trPr>
        <w:tc>
          <w:tcPr>
            <w:tcW w:type="dxa" w:w="3744"/>
          </w:tcPr>
          <w:p>
            <w:pPr>
              <w:spacing w:after="20" w:before="20"/>
            </w:pPr>
            <w:r>
              <w:rPr>
                <w:rFonts w:ascii="Calibri" w:hAnsi="Calibri" w:cs="Calibri"/>
                <w:b w:val="0"/>
                <w:sz w:val="20"/>
              </w:rPr>
              <w:t>Intended assessment target</w:t>
            </w:r>
          </w:p>
        </w:tc>
        <w:tc>
          <w:tcPr>
            <w:tcW w:type="dxa" w:w="6048"/>
          </w:tcPr>
          <w:p>
            <w:pPr>
              <w:spacing w:after="20" w:before="20"/>
            </w:pPr>
            <w:r>
              <w:rPr>
                <w:rFonts w:ascii="Calibri" w:hAnsi="Calibri" w:cs="Calibri"/>
                <w:b w:val="0"/>
                <w:sz w:val="20"/>
              </w:rPr>
              <w:t>The discharge dose differs from the intended medication plan without a documented clinical rationale.</w:t>
            </w:r>
          </w:p>
        </w:tc>
      </w:tr>
      <w:tr>
        <w:trPr>
          <w:cantSplit/>
        </w:trPr>
        <w:tc>
          <w:tcPr>
            <w:tcW w:type="dxa" w:w="3744"/>
          </w:tcPr>
          <w:p>
            <w:pPr>
              <w:spacing w:after="20" w:before="20"/>
            </w:pPr>
            <w:r>
              <w:rPr>
                <w:rFonts w:ascii="Calibri" w:hAnsi="Calibri" w:cs="Calibri"/>
                <w:b w:val="0"/>
                <w:sz w:val="20"/>
              </w:rPr>
              <w:t>Medication involved</w:t>
            </w:r>
          </w:p>
        </w:tc>
        <w:tc>
          <w:tcPr>
            <w:tcW w:type="dxa" w:w="6048"/>
          </w:tcPr>
          <w:p>
            <w:pPr>
              <w:spacing w:after="20" w:before="20"/>
            </w:pPr>
            <w:r>
              <w:rPr>
                <w:rFonts w:ascii="Calibri" w:hAnsi="Calibri" w:cs="Calibri"/>
                <w:b w:val="0"/>
                <w:sz w:val="20"/>
              </w:rPr>
              <w:t>furosemide 40 MG Oral Tablet</w:t>
            </w:r>
          </w:p>
        </w:tc>
      </w:tr>
      <w:tr>
        <w:trPr>
          <w:cantSplit/>
        </w:trPr>
        <w:tc>
          <w:tcPr>
            <w:tcW w:type="dxa" w:w="3744"/>
          </w:tcPr>
          <w:p>
            <w:pPr>
              <w:spacing w:after="20" w:before="20"/>
            </w:pPr>
            <w:r>
              <w:rPr>
                <w:rFonts w:ascii="Calibri" w:hAnsi="Calibri" w:cs="Calibri"/>
                <w:b w:val="0"/>
                <w:sz w:val="20"/>
              </w:rPr>
              <w:t>Clean expected state</w:t>
            </w:r>
          </w:p>
        </w:tc>
        <w:tc>
          <w:tcPr>
            <w:tcW w:type="dxa" w:w="6048"/>
          </w:tcPr>
          <w:p>
            <w:pPr>
              <w:spacing w:after="20" w:before="20"/>
            </w:pPr>
            <w:r>
              <w:rPr>
                <w:rFonts w:ascii="Calibri" w:hAnsi="Calibri" w:cs="Calibri"/>
                <w:b w:val="0"/>
                <w:sz w:val="20"/>
              </w:rPr>
              <w:t>Changed field: dose</w:t>
              <w:br/>
              <w:t>40 MG</w:t>
            </w:r>
          </w:p>
        </w:tc>
      </w:tr>
      <w:tr>
        <w:trPr>
          <w:cantSplit/>
        </w:trPr>
        <w:tc>
          <w:tcPr>
            <w:tcW w:type="dxa" w:w="3744"/>
          </w:tcPr>
          <w:p>
            <w:pPr>
              <w:spacing w:after="20" w:before="20"/>
            </w:pPr>
            <w:r>
              <w:rPr>
                <w:rFonts w:ascii="Calibri" w:hAnsi="Calibri" w:cs="Calibri"/>
                <w:b w:val="0"/>
                <w:sz w:val="20"/>
              </w:rPr>
              <w:t>What appears in this case</w:t>
            </w:r>
          </w:p>
        </w:tc>
        <w:tc>
          <w:tcPr>
            <w:tcW w:type="dxa" w:w="6048"/>
          </w:tcPr>
          <w:p>
            <w:pPr>
              <w:spacing w:after="20" w:before="20"/>
            </w:pPr>
            <w:r>
              <w:rPr>
                <w:rFonts w:ascii="Calibri" w:hAnsi="Calibri" w:cs="Calibri"/>
                <w:b w:val="0"/>
                <w:sz w:val="20"/>
              </w:rPr>
              <w:t>20 MG</w:t>
            </w:r>
          </w:p>
        </w:tc>
      </w:tr>
      <w:tr>
        <w:trPr>
          <w:cantSplit/>
        </w:trPr>
        <w:tc>
          <w:tcPr>
            <w:tcW w:type="dxa" w:w="3744"/>
          </w:tcPr>
          <w:p>
            <w:pPr>
              <w:spacing w:after="20" w:before="20"/>
            </w:pPr>
            <w:r>
              <w:rPr>
                <w:rFonts w:ascii="Calibri" w:hAnsi="Calibri" w:cs="Calibri"/>
                <w:b w:val="0"/>
                <w:sz w:val="20"/>
              </w:rPr>
              <w:t>Evidence available in the chart</w:t>
            </w:r>
          </w:p>
        </w:tc>
        <w:tc>
          <w:tcPr>
            <w:tcW w:type="dxa" w:w="6048"/>
          </w:tcPr>
          <w:p>
            <w:pPr>
              <w:spacing w:after="20" w:before="20"/>
            </w:pPr>
            <w:r>
              <w:rPr>
                <w:rFonts w:ascii="Calibri" w:hAnsi="Calibri" w:cs="Calibri"/>
                <w:b w:val="0"/>
                <w:sz w:val="20"/>
              </w:rPr>
              <w:t>Intended dose on the home/inpatient medication plan.</w:t>
              <w:br/>
              <w:t>Evidence location: Home medications, Discharge medications</w:t>
              <w:br/>
              <w:t>Detectability location: Discharge medications</w:t>
            </w:r>
          </w:p>
        </w:tc>
      </w:tr>
      <w:tr>
        <w:trPr>
          <w:cantSplit/>
        </w:trPr>
        <w:tc>
          <w:tcPr>
            <w:tcW w:type="dxa" w:w="3744"/>
          </w:tcPr>
          <w:p>
            <w:pPr>
              <w:spacing w:after="20" w:before="20"/>
            </w:pPr>
            <w:r>
              <w:rPr>
                <w:rFonts w:ascii="Calibri" w:hAnsi="Calibri" w:cs="Calibri"/>
                <w:b w:val="0"/>
                <w:sz w:val="20"/>
              </w:rPr>
              <w:t>Expected clinical action</w:t>
            </w:r>
          </w:p>
        </w:tc>
        <w:tc>
          <w:tcPr>
            <w:tcW w:type="dxa" w:w="6048"/>
          </w:tcPr>
          <w:p>
            <w:pPr>
              <w:spacing w:after="20" w:before="20"/>
            </w:pPr>
            <w:r>
              <w:rPr>
                <w:rFonts w:ascii="Calibri" w:hAnsi="Calibri" w:cs="Calibri"/>
                <w:b w:val="0"/>
                <w:sz w:val="20"/>
              </w:rPr>
              <w:t>Restore the correct continued discharge dose.</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the clinical case actually contain the intended medication-reconciliation or transition-of-care problem described above, and does it match the intended category?</w:t>
      </w:r>
    </w:p>
    <w:p>
      <w:pPr>
        <w:keepLines/>
        <w:spacing w:before="80" w:after="160"/>
      </w:pPr>
      <w:sdt>
        <w:sdtPr>
          <w:rPr>
            <w:rFonts w:ascii="MS Gothic" w:hAnsi="MS Gothic" w:cs="MS Gothic" w:eastAsia="MS Gothic" w:hint="eastAsia"/>
            <w:sz w:val="28"/>
            <w:szCs w:val="28"/>
          </w:rPr>
          <w:alias w:val="C2 result"/>
          <w:tag w:val="c2-result"/>
          <w:id w:val="3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3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37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Could an internal-medicine resident identify and resolve the intended problem using only the clinical information provided in the patient-facing case?</w:t>
      </w:r>
    </w:p>
    <w:p>
      <w:pPr>
        <w:spacing w:after="120"/>
      </w:pPr>
      <w:r>
        <w:rPr>
          <w:rFonts w:ascii="Calibri" w:hAnsi="Calibri" w:cs="Calibri"/>
          <w:b w:val="0"/>
          <w:sz w:val="22"/>
        </w:rPr>
        <w:t>Consider whether the necessary evidence is present, whether key information is missing, whether the target is ambiguous, whether wording gives away the answer, and whether the expected clinical action can reasonably be determined.</w:t>
      </w:r>
    </w:p>
    <w:p>
      <w:pPr>
        <w:keepLines/>
        <w:spacing w:before="80" w:after="160"/>
      </w:pPr>
      <w:sdt>
        <w:sdtPr>
          <w:rPr>
            <w:rFonts w:ascii="MS Gothic" w:hAnsi="MS Gothic" w:cs="MS Gothic" w:eastAsia="MS Gothic" w:hint="eastAsia"/>
            <w:sz w:val="28"/>
            <w:szCs w:val="28"/>
          </w:rPr>
          <w:alias w:val="C3 result"/>
          <w:tag w:val="c3-result"/>
          <w:id w:val="3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3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37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Apart from the intended assessment problem, does the case contain another clinically meaningful medication-reconciliation or transition-of-care problem that a reasonable resident could interpret as an alternative target?</w:t>
      </w:r>
    </w:p>
    <w:p>
      <w:pPr>
        <w:keepLines/>
        <w:spacing w:before="80" w:after="160"/>
      </w:pPr>
      <w:sdt>
        <w:sdtPr>
          <w:rPr>
            <w:rFonts w:ascii="MS Gothic" w:hAnsi="MS Gothic" w:cs="MS Gothic" w:eastAsia="MS Gothic" w:hint="eastAsia"/>
            <w:sz w:val="28"/>
            <w:szCs w:val="28"/>
          </w:rPr>
          <w:alias w:val="C4 result"/>
          <w:tag w:val="c4-result"/>
          <w:id w:val="3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3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37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3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3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3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3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38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3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3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3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38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38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38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16"/>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VAL-808</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66</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94.000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cardiology</w:t>
      </w:r>
    </w:p>
    <w:p>
      <w:pPr>
        <w:pStyle w:val="ListBullet"/>
        <w:spacing w:after="40" w:before="0"/>
      </w:pPr>
      <w:r>
        <w:rPr>
          <w:rFonts w:ascii="Calibri" w:hAnsi="Calibri" w:cs="Calibri"/>
          <w:b/>
          <w:sz w:val="22"/>
        </w:rPr>
        <w:t xml:space="preserve">Admission diagnosis: </w:t>
      </w:r>
      <w:r>
        <w:rPr>
          <w:rFonts w:ascii="Calibri" w:hAnsi="Calibri" w:cs="Calibri"/>
          <w:b w:val="0"/>
          <w:sz w:val="22"/>
        </w:rPr>
        <w:t>Acute systolic (congestive) heart failure</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66-year-old Female with Acute systolic (congestive) heart failure</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Edema, Orthopnea in the setting of Acute systolic (congestive) heart failure</w:t>
      </w:r>
    </w:p>
    <w:p>
      <w:pPr>
        <w:pStyle w:val="ListBullet"/>
        <w:spacing w:after="40" w:before="0"/>
      </w:pPr>
      <w:r>
        <w:rPr>
          <w:rFonts w:ascii="Calibri" w:hAnsi="Calibri" w:cs="Calibri"/>
          <w:b/>
          <w:sz w:val="22"/>
        </w:rPr>
        <w:t xml:space="preserve">Symptoms: </w:t>
      </w:r>
      <w:r>
        <w:rPr>
          <w:rFonts w:ascii="Calibri" w:hAnsi="Calibri" w:cs="Calibri"/>
          <w:b w:val="0"/>
          <w:sz w:val="22"/>
        </w:rPr>
        <w:t>Edema, Orthopnea</w:t>
      </w:r>
    </w:p>
    <w:p>
      <w:pPr>
        <w:pStyle w:val="ListBullet"/>
        <w:spacing w:after="40" w:before="0"/>
      </w:pPr>
      <w:r>
        <w:rPr>
          <w:rFonts w:ascii="Calibri" w:hAnsi="Calibri" w:cs="Calibri"/>
          <w:b/>
          <w:sz w:val="22"/>
        </w:rPr>
        <w:t xml:space="preserve">Symptom duration: </w:t>
      </w:r>
      <w:r>
        <w:rPr>
          <w:rFonts w:ascii="Calibri" w:hAnsi="Calibri" w:cs="Calibri"/>
          <w:b w:val="0"/>
          <w:sz w:val="22"/>
        </w:rPr>
        <w:t>one week</w:t>
      </w:r>
    </w:p>
    <w:p>
      <w:pPr>
        <w:pStyle w:val="ListBullet"/>
        <w:spacing w:after="40" w:before="0"/>
      </w:pPr>
      <w:r>
        <w:rPr>
          <w:rFonts w:ascii="Calibri" w:hAnsi="Calibri" w:cs="Calibri"/>
          <w:b/>
          <w:sz w:val="22"/>
        </w:rPr>
        <w:t xml:space="preserve">Symptom course: </w:t>
      </w:r>
      <w:r>
        <w:rPr>
          <w:rFonts w:ascii="Calibri" w:hAnsi="Calibri" w:cs="Calibri"/>
          <w:b w:val="0"/>
          <w:sz w:val="22"/>
        </w:rPr>
        <w:t>worsening</w:t>
      </w:r>
    </w:p>
    <w:p>
      <w:pPr>
        <w:pStyle w:val="Heading3"/>
      </w:pPr>
      <w:r>
        <w:rPr>
          <w:rFonts w:ascii="Calibri" w:hAnsi="Calibri"/>
          <w:color w:val="1F3A5F"/>
        </w:rPr>
        <w:t>History of present illness</w:t>
      </w:r>
    </w:p>
    <w:p>
      <w:pPr>
        <w:spacing w:after="120"/>
      </w:pPr>
      <w:r>
        <w:rPr>
          <w:rFonts w:ascii="Calibri" w:hAnsi="Calibri" w:cs="Calibri"/>
          <w:b w:val="0"/>
          <w:sz w:val="22"/>
        </w:rPr>
        <w:t>A 66-year-old Female is admitted with Acute systolic (congestive) heart failure. Presenting symptoms include Edema, Orthopnea, present for one week and worsening. Home medications include spironolactone 25 MG Oral Tablet, furosemide 40 MG Oral Tablet, lisinopril 10 MG Oral Tablet, 24 HR metoprolol succinate 25 MG Extended Release Oral Tablet. Admitted for decompensated heart failure requiring diuretic adjustment. The outpatient diuretic plan was reviewed during the stay. The discharge list is the intended home regimen after that adjustment. The outpatient diuretic plan was adjusted during the stay after the inpatient response to therapy was observed.</w:t>
      </w:r>
    </w:p>
    <w:p>
      <w:pPr>
        <w:pStyle w:val="Heading3"/>
      </w:pPr>
      <w:r>
        <w:rPr>
          <w:rFonts w:ascii="Calibri" w:hAnsi="Calibri"/>
          <w:color w:val="1F3A5F"/>
        </w:rPr>
        <w:t>Admission note</w:t>
      </w:r>
    </w:p>
    <w:p>
      <w:pPr>
        <w:spacing w:after="120"/>
      </w:pPr>
      <w:r>
        <w:rPr>
          <w:rFonts w:ascii="Calibri" w:hAnsi="Calibri" w:cs="Calibri"/>
          <w:b w:val="0"/>
          <w:sz w:val="22"/>
        </w:rPr>
        <w:t>Admission note for a 66-year-old Female with Acute systolic (congestive) heart failure. Symptoms: Edema, Orthopnea for one week (worsening). Medications continued from home: spironolactone 25 MG Oral Tablet, furosemide 40 MG Oral Tablet, lisinopril 10 MG Oral Tablet, 24 HR metoprolol succinate 25 MG Extended Release Oral Tablet. Admitted for decompensated heart failure requiring diuretic adjustment. The outpatient diuretic plan was reviewed during the stay. The discharge list is the intended home regimen after that adjustment. The outpatient diuretic plan was adjusted during the stay after the inpatient response to therapy was observed.</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Essential (primary) hypertension</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Acute systolic (congestive) heart failure</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Acute systolic (congestive) heart failure</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The outpatient diuretic plan was adjusted during the stay after the inpatient response to therapy was observed.</w:t>
      </w:r>
    </w:p>
    <w:p>
      <w:pPr>
        <w:pStyle w:val="Heading3"/>
      </w:pPr>
      <w:r>
        <w:rPr>
          <w:rFonts w:ascii="Calibri" w:hAnsi="Calibri"/>
          <w:color w:val="1F3A5F"/>
        </w:rPr>
        <w:t>Intake and output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Intake (mL)</w:t>
            </w:r>
          </w:p>
        </w:tc>
        <w:tc>
          <w:tcPr>
            <w:tcW w:type="dxa" w:w="2448"/>
            <w:shd w:val="clear" w:color="auto" w:fill="D9E2F3"/>
          </w:tcPr>
          <w:p>
            <w:pPr>
              <w:spacing w:after="20" w:before="20"/>
            </w:pPr>
            <w:r>
              <w:rPr>
                <w:rFonts w:ascii="Calibri" w:hAnsi="Calibri" w:cs="Calibri"/>
                <w:b/>
                <w:sz w:val="20"/>
              </w:rPr>
              <w:t>Output (mL)</w:t>
            </w:r>
          </w:p>
        </w:tc>
        <w:tc>
          <w:tcPr>
            <w:tcW w:type="dxa" w:w="2448"/>
            <w:shd w:val="clear" w:color="auto" w:fill="D9E2F3"/>
          </w:tcPr>
          <w:p>
            <w:pPr>
              <w:spacing w:after="20" w:before="20"/>
            </w:pPr>
            <w:r>
              <w:rPr>
                <w:rFonts w:ascii="Calibri" w:hAnsi="Calibri" w:cs="Calibri"/>
                <w:b/>
                <w:sz w:val="20"/>
              </w:rPr>
              <w:t>Net (mL)</w:t>
            </w:r>
          </w:p>
        </w:tc>
      </w:tr>
      <w:tr>
        <w:trPr>
          <w:cantSplit/>
        </w:trPr>
        <w:tc>
          <w:tcPr>
            <w:tcW w:type="dxa" w:w="2448"/>
          </w:tcPr>
          <w:p>
            <w:pPr>
              <w:spacing w:after="20" w:before="20"/>
            </w:pPr>
            <w:r>
              <w:rPr>
                <w:rFonts w:ascii="Calibri" w:hAnsi="Calibri" w:cs="Calibri"/>
                <w:b w:val="0"/>
                <w:sz w:val="20"/>
              </w:rPr>
              <w:t>hospital day 4</w:t>
            </w:r>
          </w:p>
        </w:tc>
        <w:tc>
          <w:tcPr>
            <w:tcW w:type="dxa" w:w="2448"/>
          </w:tcPr>
          <w:p>
            <w:pPr>
              <w:spacing w:after="20" w:before="20"/>
            </w:pPr>
            <w:r>
              <w:rPr>
                <w:rFonts w:ascii="Calibri" w:hAnsi="Calibri" w:cs="Calibri"/>
                <w:b w:val="0"/>
                <w:sz w:val="20"/>
              </w:rPr>
              <w:t>1569</w:t>
            </w:r>
          </w:p>
        </w:tc>
        <w:tc>
          <w:tcPr>
            <w:tcW w:type="dxa" w:w="2448"/>
          </w:tcPr>
          <w:p>
            <w:pPr>
              <w:spacing w:after="20" w:before="20"/>
            </w:pPr>
            <w:r>
              <w:rPr>
                <w:rFonts w:ascii="Calibri" w:hAnsi="Calibri" w:cs="Calibri"/>
                <w:b w:val="0"/>
                <w:sz w:val="20"/>
              </w:rPr>
              <w:t>2248</w:t>
            </w:r>
          </w:p>
        </w:tc>
        <w:tc>
          <w:tcPr>
            <w:tcW w:type="dxa" w:w="2448"/>
          </w:tcPr>
          <w:p>
            <w:pPr>
              <w:spacing w:after="20" w:before="20"/>
            </w:pPr>
            <w:r>
              <w:rPr>
                <w:rFonts w:ascii="Calibri" w:hAnsi="Calibri" w:cs="Calibri"/>
                <w:b w:val="0"/>
                <w:sz w:val="20"/>
              </w:rPr>
              <w:t>-679</w:t>
            </w:r>
          </w:p>
        </w:tc>
      </w:tr>
    </w:tbl>
    <w:p>
      <w:pPr>
        <w:spacing w:after="40"/>
      </w:pP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139/82</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70</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17</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94.00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3.4</w:t>
            </w:r>
          </w:p>
        </w:tc>
        <w:tc>
          <w:tcPr>
            <w:tcW w:type="dxa" w:w="2160"/>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94.000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142/64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84</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15</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3.7</w:t>
            </w:r>
          </w:p>
        </w:tc>
        <w:tc>
          <w:tcPr>
            <w:tcW w:type="dxa" w:w="2160"/>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896"/>
            <w:shd w:val="clear" w:color="auto" w:fill="D9E2F3"/>
          </w:tcPr>
          <w:p>
            <w:pPr>
              <w:spacing w:after="20" w:before="20"/>
            </w:pPr>
            <w:r>
              <w:rPr>
                <w:rFonts w:ascii="Calibri" w:hAnsi="Calibri" w:cs="Calibri"/>
                <w:b/>
                <w:sz w:val="20"/>
              </w:rPr>
              <w:t>Weight (kg)</w:t>
            </w:r>
          </w:p>
        </w:tc>
        <w:tc>
          <w:tcPr>
            <w:tcW w:type="dxa" w:w="4896"/>
            <w:shd w:val="clear" w:color="auto" w:fill="D9E2F3"/>
          </w:tcPr>
          <w:p>
            <w:pPr>
              <w:spacing w:after="20" w:before="20"/>
            </w:pPr>
            <w:r>
              <w:rPr>
                <w:rFonts w:ascii="Calibri" w:hAnsi="Calibri" w:cs="Calibri"/>
                <w:b/>
                <w:sz w:val="20"/>
              </w:rPr>
              <w:t>Dry weight (kg)</w:t>
            </w:r>
          </w:p>
        </w:tc>
      </w:tr>
      <w:tr>
        <w:trPr>
          <w:cantSplit/>
        </w:trPr>
        <w:tc>
          <w:tcPr>
            <w:tcW w:type="dxa" w:w="4896"/>
          </w:tcPr>
          <w:p>
            <w:pPr>
              <w:spacing w:after="20" w:before="20"/>
            </w:pPr>
            <w:r>
              <w:rPr>
                <w:rFonts w:ascii="Calibri" w:hAnsi="Calibri" w:cs="Calibri"/>
                <w:b w:val="0"/>
                <w:sz w:val="20"/>
              </w:rPr>
              <w:t>92.000</w:t>
            </w:r>
          </w:p>
        </w:tc>
        <w:tc>
          <w:tcPr>
            <w:tcW w:type="dxa" w:w="4896"/>
          </w:tcPr>
          <w:p>
            <w:pPr>
              <w:spacing w:after="20" w:before="20"/>
            </w:pPr>
            <w:r>
              <w:rPr>
                <w:rFonts w:ascii="Calibri" w:hAnsi="Calibri" w:cs="Calibri"/>
                <w:b w:val="0"/>
                <w:sz w:val="20"/>
              </w:rPr>
              <w:t>86.000</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furosemide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spironolactone 25 MG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furosemide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spironolactone 25 MG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carvedilol 6.25 MG Oral Tablet</w:t>
            </w:r>
          </w:p>
        </w:tc>
        <w:tc>
          <w:tcPr>
            <w:tcW w:type="dxa" w:w="1224"/>
          </w:tcPr>
          <w:p>
            <w:pPr>
              <w:spacing w:after="20" w:before="20"/>
            </w:pPr>
            <w:r>
              <w:rPr>
                <w:rFonts w:ascii="Calibri" w:hAnsi="Calibri" w:cs="Calibri"/>
                <w:b w:val="0"/>
                <w:sz w:val="20"/>
              </w:rPr>
              <w:t>6.25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furosemide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spironolactone 25 MG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Primary care volume follow-up after diuretic adjustment</w:t>
            </w:r>
          </w:p>
        </w:tc>
        <w:tc>
          <w:tcPr>
            <w:tcW w:type="dxa" w:w="3264"/>
          </w:tcPr>
          <w:p>
            <w:pPr>
              <w:spacing w:after="20" w:before="20"/>
            </w:pPr>
            <w:r>
              <w:rPr>
                <w:rFonts w:ascii="Calibri" w:hAnsi="Calibri" w:cs="Calibri"/>
                <w:b w:val="0"/>
                <w:sz w:val="20"/>
              </w:rPr>
              <w:t>7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Chest radiograph</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chest</w:t>
            </w:r>
          </w:p>
        </w:tc>
        <w:tc>
          <w:tcPr>
            <w:tcW w:type="dxa" w:w="2448"/>
          </w:tcPr>
          <w:p>
            <w:pPr>
              <w:spacing w:after="20" w:before="20"/>
            </w:pPr>
            <w:r>
              <w:rPr>
                <w:rFonts w:ascii="Calibri" w:hAnsi="Calibri" w:cs="Calibri"/>
                <w:b w:val="0"/>
                <w:sz w:val="20"/>
              </w:rPr>
              <w:t>Residual mild congestion.</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cardiology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Inpatient cardiology recommendations were recorded.</w:t>
            </w:r>
          </w:p>
        </w:tc>
        <w:tc>
          <w:tcPr>
            <w:tcW w:type="dxa" w:w="2448"/>
          </w:tcPr>
          <w:p>
            <w:pPr>
              <w:spacing w:after="20" w:before="20"/>
            </w:pPr>
            <w:r>
              <w:rPr>
                <w:rFonts w:ascii="Calibri" w:hAnsi="Calibri" w:cs="Calibri"/>
                <w:b w:val="0"/>
                <w:sz w:val="20"/>
              </w:rPr>
              <w:t>Continue the intended heart-failure and diuretic plan.</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Edema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4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4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42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Error-bearing</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Family 1</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Unexplained therapeutic substitution (f1_therapeutic_substitution)</w:t>
            </w:r>
          </w:p>
        </w:tc>
      </w:tr>
      <w:tr>
        <w:trPr>
          <w:cantSplit/>
        </w:trPr>
        <w:tc>
          <w:tcPr>
            <w:tcW w:type="dxa" w:w="3744"/>
          </w:tcPr>
          <w:p>
            <w:pPr>
              <w:spacing w:after="20" w:before="20"/>
            </w:pPr>
            <w:r>
              <w:rPr>
                <w:rFonts w:ascii="Calibri" w:hAnsi="Calibri" w:cs="Calibri"/>
                <w:b w:val="0"/>
                <w:sz w:val="20"/>
              </w:rPr>
              <w:t>Intended assessment target</w:t>
            </w:r>
          </w:p>
        </w:tc>
        <w:tc>
          <w:tcPr>
            <w:tcW w:type="dxa" w:w="6048"/>
          </w:tcPr>
          <w:p>
            <w:pPr>
              <w:spacing w:after="20" w:before="20"/>
            </w:pPr>
            <w:r>
              <w:rPr>
                <w:rFonts w:ascii="Calibri" w:hAnsi="Calibri" w:cs="Calibri"/>
                <w:b w:val="0"/>
                <w:sz w:val="20"/>
              </w:rPr>
              <w:t>A different medication in the same therapeutic class was substituted at discharge without a documented clinical or formulary explanation.</w:t>
            </w:r>
          </w:p>
        </w:tc>
      </w:tr>
      <w:tr>
        <w:trPr>
          <w:cantSplit/>
        </w:trPr>
        <w:tc>
          <w:tcPr>
            <w:tcW w:type="dxa" w:w="3744"/>
          </w:tcPr>
          <w:p>
            <w:pPr>
              <w:spacing w:after="20" w:before="20"/>
            </w:pPr>
            <w:r>
              <w:rPr>
                <w:rFonts w:ascii="Calibri" w:hAnsi="Calibri" w:cs="Calibri"/>
                <w:b w:val="0"/>
                <w:sz w:val="20"/>
              </w:rPr>
              <w:t>Medication involved</w:t>
            </w:r>
          </w:p>
        </w:tc>
        <w:tc>
          <w:tcPr>
            <w:tcW w:type="dxa" w:w="6048"/>
          </w:tcPr>
          <w:p>
            <w:pPr>
              <w:spacing w:after="20" w:before="20"/>
            </w:pPr>
            <w:r>
              <w:rPr>
                <w:rFonts w:ascii="Calibri" w:hAnsi="Calibri" w:cs="Calibri"/>
                <w:b w:val="0"/>
                <w:sz w:val="20"/>
              </w:rPr>
              <w:t>24 HR metoprolol succinate 25 MG Extended Release Oral Tablet</w:t>
              <w:br/>
              <w:t>carvedilol 6.25 MG Oral Tablet</w:t>
            </w:r>
          </w:p>
        </w:tc>
      </w:tr>
      <w:tr>
        <w:trPr>
          <w:cantSplit/>
        </w:trPr>
        <w:tc>
          <w:tcPr>
            <w:tcW w:type="dxa" w:w="3744"/>
          </w:tcPr>
          <w:p>
            <w:pPr>
              <w:spacing w:after="20" w:before="20"/>
            </w:pPr>
            <w:r>
              <w:rPr>
                <w:rFonts w:ascii="Calibri" w:hAnsi="Calibri" w:cs="Calibri"/>
                <w:b w:val="0"/>
                <w:sz w:val="20"/>
              </w:rPr>
              <w:t>Clean expected state</w:t>
            </w:r>
          </w:p>
        </w:tc>
        <w:tc>
          <w:tcPr>
            <w:tcW w:type="dxa" w:w="6048"/>
          </w:tcPr>
          <w:p>
            <w:pPr>
              <w:spacing w:after="20" w:before="20"/>
            </w:pPr>
            <w:r>
              <w:rPr>
                <w:rFonts w:ascii="Calibri" w:hAnsi="Calibri" w:cs="Calibri"/>
                <w:b w:val="0"/>
                <w:sz w:val="20"/>
              </w:rPr>
              <w:t>Changed field: drug</w:t>
              <w:br/>
              <w:t>dose: 25 MG; drug: 24 HR metoprolol succinate 25 MG Extended Release Oral Tablet; frequency: once daily; monitoring: none; quantity or days: none; route: oral; rxcui: 866427; status: discharge</w:t>
            </w:r>
          </w:p>
        </w:tc>
      </w:tr>
      <w:tr>
        <w:trPr>
          <w:cantSplit/>
        </w:trPr>
        <w:tc>
          <w:tcPr>
            <w:tcW w:type="dxa" w:w="3744"/>
          </w:tcPr>
          <w:p>
            <w:pPr>
              <w:spacing w:after="20" w:before="20"/>
            </w:pPr>
            <w:r>
              <w:rPr>
                <w:rFonts w:ascii="Calibri" w:hAnsi="Calibri" w:cs="Calibri"/>
                <w:b w:val="0"/>
                <w:sz w:val="20"/>
              </w:rPr>
              <w:t>What appears in this case</w:t>
            </w:r>
          </w:p>
        </w:tc>
        <w:tc>
          <w:tcPr>
            <w:tcW w:type="dxa" w:w="6048"/>
          </w:tcPr>
          <w:p>
            <w:pPr>
              <w:spacing w:after="20" w:before="20"/>
            </w:pPr>
            <w:r>
              <w:rPr>
                <w:rFonts w:ascii="Calibri" w:hAnsi="Calibri" w:cs="Calibri"/>
                <w:b w:val="0"/>
                <w:sz w:val="20"/>
              </w:rPr>
              <w:t>dose: 6.25 MG; drug: carvedilol 6.25 MG Oral Tablet; frequency: twice daily; monitoring: none; quantity or days: none; route: oral; rxcui: 200031; status: discharge</w:t>
            </w:r>
          </w:p>
        </w:tc>
      </w:tr>
      <w:tr>
        <w:trPr>
          <w:cantSplit/>
        </w:trPr>
        <w:tc>
          <w:tcPr>
            <w:tcW w:type="dxa" w:w="3744"/>
          </w:tcPr>
          <w:p>
            <w:pPr>
              <w:spacing w:after="20" w:before="20"/>
            </w:pPr>
            <w:r>
              <w:rPr>
                <w:rFonts w:ascii="Calibri" w:hAnsi="Calibri" w:cs="Calibri"/>
                <w:b w:val="0"/>
                <w:sz w:val="20"/>
              </w:rPr>
              <w:t>Evidence available in the chart</w:t>
            </w:r>
          </w:p>
        </w:tc>
        <w:tc>
          <w:tcPr>
            <w:tcW w:type="dxa" w:w="6048"/>
          </w:tcPr>
          <w:p>
            <w:pPr>
              <w:spacing w:after="20" w:before="20"/>
            </w:pPr>
            <w:r>
              <w:rPr>
                <w:rFonts w:ascii="Calibri" w:hAnsi="Calibri" w:cs="Calibri"/>
                <w:b w:val="0"/>
                <w:sz w:val="20"/>
              </w:rPr>
              <w:t>RxClass CV100 (BETA BLOCKERS/RELATED) relates the source and substitute.</w:t>
              <w:br/>
              <w:t>Evidence location: Home medications, Medications during hospitalization, Discharge medications</w:t>
              <w:br/>
              <w:t>Detectability location: Discharge medications</w:t>
            </w:r>
          </w:p>
        </w:tc>
      </w:tr>
      <w:tr>
        <w:trPr>
          <w:cantSplit/>
        </w:trPr>
        <w:tc>
          <w:tcPr>
            <w:tcW w:type="dxa" w:w="3744"/>
          </w:tcPr>
          <w:p>
            <w:pPr>
              <w:spacing w:after="20" w:before="20"/>
            </w:pPr>
            <w:r>
              <w:rPr>
                <w:rFonts w:ascii="Calibri" w:hAnsi="Calibri" w:cs="Calibri"/>
                <w:b w:val="0"/>
                <w:sz w:val="20"/>
              </w:rPr>
              <w:t>Expected clinical action</w:t>
            </w:r>
          </w:p>
        </w:tc>
        <w:tc>
          <w:tcPr>
            <w:tcW w:type="dxa" w:w="6048"/>
          </w:tcPr>
          <w:p>
            <w:pPr>
              <w:spacing w:after="20" w:before="20"/>
            </w:pPr>
            <w:r>
              <w:rPr>
                <w:rFonts w:ascii="Calibri" w:hAnsi="Calibri" w:cs="Calibri"/>
                <w:b w:val="0"/>
                <w:sz w:val="20"/>
              </w:rPr>
              <w:t>Restore the original continued medication; do not leave an unexplained same-class substitute.</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the clinical case actually contain the intended medication-reconciliation or transition-of-care problem described above, and does it match the intended category?</w:t>
      </w:r>
    </w:p>
    <w:p>
      <w:pPr>
        <w:keepLines/>
        <w:spacing w:before="80" w:after="160"/>
      </w:pPr>
      <w:sdt>
        <w:sdtPr>
          <w:rPr>
            <w:rFonts w:ascii="MS Gothic" w:hAnsi="MS Gothic" w:cs="MS Gothic" w:eastAsia="MS Gothic" w:hint="eastAsia"/>
            <w:sz w:val="28"/>
            <w:szCs w:val="28"/>
          </w:rPr>
          <w:alias w:val="C2 result"/>
          <w:tag w:val="c2-result"/>
          <w:id w:val="4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4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42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Could an internal-medicine resident identify and resolve the intended problem using only the clinical information provided in the patient-facing case?</w:t>
      </w:r>
    </w:p>
    <w:p>
      <w:pPr>
        <w:spacing w:after="120"/>
      </w:pPr>
      <w:r>
        <w:rPr>
          <w:rFonts w:ascii="Calibri" w:hAnsi="Calibri" w:cs="Calibri"/>
          <w:b w:val="0"/>
          <w:sz w:val="22"/>
        </w:rPr>
        <w:t>Consider whether the necessary evidence is present, whether key information is missing, whether the target is ambiguous, whether wording gives away the answer, and whether the expected clinical action can reasonably be determined.</w:t>
      </w:r>
    </w:p>
    <w:p>
      <w:pPr>
        <w:keepLines/>
        <w:spacing w:before="80" w:after="160"/>
      </w:pPr>
      <w:sdt>
        <w:sdtPr>
          <w:rPr>
            <w:rFonts w:ascii="MS Gothic" w:hAnsi="MS Gothic" w:cs="MS Gothic" w:eastAsia="MS Gothic" w:hint="eastAsia"/>
            <w:sz w:val="28"/>
            <w:szCs w:val="28"/>
          </w:rPr>
          <w:alias w:val="C3 result"/>
          <w:tag w:val="c3-result"/>
          <w:id w:val="4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4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42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Apart from the intended assessment problem, does the case contain another clinically meaningful medication-reconciliation or transition-of-care problem that a reasonable resident could interpret as an alternative target?</w:t>
      </w:r>
    </w:p>
    <w:p>
      <w:pPr>
        <w:keepLines/>
        <w:spacing w:before="80" w:after="160"/>
      </w:pPr>
      <w:sdt>
        <w:sdtPr>
          <w:rPr>
            <w:rFonts w:ascii="MS Gothic" w:hAnsi="MS Gothic" w:cs="MS Gothic" w:eastAsia="MS Gothic" w:hint="eastAsia"/>
            <w:sz w:val="28"/>
            <w:szCs w:val="28"/>
          </w:rPr>
          <w:alias w:val="C4 result"/>
          <w:tag w:val="c4-result"/>
          <w:id w:val="4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4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43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4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4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4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4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43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4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4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4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44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44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44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17"/>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VAL-809</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82</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70.000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infectious disease</w:t>
      </w:r>
    </w:p>
    <w:p>
      <w:pPr>
        <w:pStyle w:val="ListBullet"/>
        <w:spacing w:after="40" w:before="0"/>
      </w:pPr>
      <w:r>
        <w:rPr>
          <w:rFonts w:ascii="Calibri" w:hAnsi="Calibri" w:cs="Calibri"/>
          <w:b/>
          <w:sz w:val="22"/>
        </w:rPr>
        <w:t xml:space="preserve">Admission diagnosis: </w:t>
      </w:r>
      <w:r>
        <w:rPr>
          <w:rFonts w:ascii="Calibri" w:hAnsi="Calibri" w:cs="Calibri"/>
          <w:b w:val="0"/>
          <w:sz w:val="22"/>
        </w:rPr>
        <w:t>Acute and subacute infective endocarditis</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82-year-old Male with Acute and subacute infective endocarditis</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Fatigue in the setting of Acute and subacute infective endocarditis</w:t>
      </w:r>
    </w:p>
    <w:p>
      <w:pPr>
        <w:pStyle w:val="ListBullet"/>
        <w:spacing w:after="40" w:before="0"/>
      </w:pPr>
      <w:r>
        <w:rPr>
          <w:rFonts w:ascii="Calibri" w:hAnsi="Calibri" w:cs="Calibri"/>
          <w:b/>
          <w:sz w:val="22"/>
        </w:rPr>
        <w:t xml:space="preserve">Symptoms: </w:t>
      </w:r>
      <w:r>
        <w:rPr>
          <w:rFonts w:ascii="Calibri" w:hAnsi="Calibri" w:cs="Calibri"/>
          <w:b w:val="0"/>
          <w:sz w:val="22"/>
        </w:rPr>
        <w:t>Fatigue</w:t>
      </w:r>
    </w:p>
    <w:p>
      <w:pPr>
        <w:pStyle w:val="ListBullet"/>
        <w:spacing w:after="40" w:before="0"/>
      </w:pPr>
      <w:r>
        <w:rPr>
          <w:rFonts w:ascii="Calibri" w:hAnsi="Calibri" w:cs="Calibri"/>
          <w:b/>
          <w:sz w:val="22"/>
        </w:rPr>
        <w:t xml:space="preserve">Symptom duration: </w:t>
      </w:r>
      <w:r>
        <w:rPr>
          <w:rFonts w:ascii="Calibri" w:hAnsi="Calibri" w:cs="Calibri"/>
          <w:b w:val="0"/>
          <w:sz w:val="22"/>
        </w:rPr>
        <w:t>one week</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 82-year-old Male is admitted with Acute and subacute infective endocarditis. Presenting symptoms include Fatigue, present for one week and improving after treatment. Home medications include lisinopril 10 MG Oral Tablet, atorvastatin 40 MG Oral Tablet. Started during this admission: ceftriaxone 2000 MG Injection. Admitted for endocarditis and discharged on planned outpatient parenteral antimicrobial therapy. The patient is leaving with a planned parenteral antibiotic course, line precautions, and scheduled laboratory monitoring. A seven-day supply was arranged to cover therapy until infectious-disease follow-up. Parenteral antimicrobial therapy was continued with a specified remaining duration, laboratory monitoring, and line precautions for discharge.</w:t>
      </w:r>
    </w:p>
    <w:p>
      <w:pPr>
        <w:pStyle w:val="Heading3"/>
      </w:pPr>
      <w:r>
        <w:rPr>
          <w:rFonts w:ascii="Calibri" w:hAnsi="Calibri"/>
          <w:color w:val="1F3A5F"/>
        </w:rPr>
        <w:t>Admission note</w:t>
      </w:r>
    </w:p>
    <w:p>
      <w:pPr>
        <w:spacing w:after="120"/>
      </w:pPr>
      <w:r>
        <w:rPr>
          <w:rFonts w:ascii="Calibri" w:hAnsi="Calibri" w:cs="Calibri"/>
          <w:b w:val="0"/>
          <w:sz w:val="22"/>
        </w:rPr>
        <w:t>Admission note for a 82-year-old Male with Acute and subacute infective endocarditis. Symptoms: Fatigue for one week (improving after treatment). Medications continued from home: lisinopril 10 MG Oral Tablet, atorvastatin 40 MG Oral Tablet. Started during this admission: ceftriaxone 2000 MG Injection. Admitted for endocarditis and discharged on planned outpatient parenteral antimicrobial therapy. The patient is leaving with a planned parenteral antibiotic course, line precautions, and scheduled laboratory monitoring. A seven-day supply was arranged to cover therapy until infectious-disease follow-up. Parenteral antimicrobial therapy was continued with a specified remaining duration, laboratory monitoring, and line precautions for discharge.</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Essential (primary) hypertension,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Acute and subacute infective endocarditis</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Acute and subacute infective endocarditis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Parenteral antimicrobial therapy was continued with a specified remaining duration, laboratory monitoring, and line precautions for discharge.</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127/86</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74</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19</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1.3</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13.1</w:t>
            </w:r>
          </w:p>
        </w:tc>
        <w:tc>
          <w:tcPr>
            <w:tcW w:type="dxa" w:w="2160"/>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70.000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139/85</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80</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19</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0.8</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12.9</w:t>
            </w:r>
          </w:p>
        </w:tc>
        <w:tc>
          <w:tcPr>
            <w:tcW w:type="dxa" w:w="2160"/>
          </w:tcPr>
          <w:p>
            <w:pPr>
              <w:spacing w:after="20" w:before="20"/>
            </w:pPr>
            <w:r>
              <w:rPr>
                <w:rFonts w:ascii="Calibri" w:hAnsi="Calibri" w:cs="Calibri"/>
                <w:b w:val="0"/>
                <w:sz w:val="20"/>
              </w:rPr>
              <w:t>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ceftriaxone 2000 MG Injection</w:t>
            </w:r>
          </w:p>
        </w:tc>
        <w:tc>
          <w:tcPr>
            <w:tcW w:type="dxa" w:w="1224"/>
          </w:tcPr>
          <w:p>
            <w:pPr>
              <w:spacing w:after="20" w:before="20"/>
            </w:pPr>
            <w:r>
              <w:rPr>
                <w:rFonts w:ascii="Calibri" w:hAnsi="Calibri" w:cs="Calibri"/>
                <w:b w:val="0"/>
                <w:sz w:val="20"/>
              </w:rPr>
              <w:t>2000 MG</w:t>
            </w:r>
          </w:p>
        </w:tc>
        <w:tc>
          <w:tcPr>
            <w:tcW w:type="dxa" w:w="1152"/>
          </w:tcPr>
          <w:p>
            <w:pPr>
              <w:spacing w:after="20" w:before="20"/>
            </w:pPr>
            <w:r>
              <w:rPr>
                <w:rFonts w:ascii="Calibri" w:hAnsi="Calibri" w:cs="Calibri"/>
                <w:b w:val="0"/>
                <w:sz w:val="20"/>
              </w:rPr>
              <w:t>intravenous</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and subacute infective endocarditis; Note: Started during this admission.</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ceftriaxone 2000 MG Injection</w:t>
            </w:r>
          </w:p>
        </w:tc>
        <w:tc>
          <w:tcPr>
            <w:tcW w:type="dxa" w:w="1224"/>
          </w:tcPr>
          <w:p>
            <w:pPr>
              <w:spacing w:after="20" w:before="20"/>
            </w:pPr>
            <w:r>
              <w:rPr>
                <w:rFonts w:ascii="Calibri" w:hAnsi="Calibri" w:cs="Calibri"/>
                <w:b w:val="0"/>
                <w:sz w:val="20"/>
              </w:rPr>
              <w:t>2000 MG</w:t>
            </w:r>
          </w:p>
        </w:tc>
        <w:tc>
          <w:tcPr>
            <w:tcW w:type="dxa" w:w="1152"/>
          </w:tcPr>
          <w:p>
            <w:pPr>
              <w:spacing w:after="20" w:before="20"/>
            </w:pPr>
            <w:r>
              <w:rPr>
                <w:rFonts w:ascii="Calibri" w:hAnsi="Calibri" w:cs="Calibri"/>
                <w:b w:val="0"/>
                <w:sz w:val="20"/>
              </w:rPr>
              <w:t>intravenous</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and subacute infective endocarditis; Note: Started during this admission.</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Parameter</w:t>
            </w:r>
          </w:p>
        </w:tc>
        <w:tc>
          <w:tcPr>
            <w:tcW w:type="dxa" w:w="3264"/>
            <w:shd w:val="clear" w:color="auto" w:fill="D9E2F3"/>
          </w:tcPr>
          <w:p>
            <w:pPr>
              <w:spacing w:after="20" w:before="20"/>
            </w:pPr>
            <w:r>
              <w:rPr>
                <w:rFonts w:ascii="Calibri" w:hAnsi="Calibri" w:cs="Calibri"/>
                <w:b/>
                <w:sz w:val="20"/>
              </w:rPr>
              <w:t>Frequency</w:t>
            </w:r>
          </w:p>
        </w:tc>
        <w:tc>
          <w:tcPr>
            <w:tcW w:type="dxa" w:w="3264"/>
            <w:shd w:val="clear" w:color="auto" w:fill="D9E2F3"/>
          </w:tcPr>
          <w:p>
            <w:pPr>
              <w:spacing w:after="20" w:before="20"/>
            </w:pPr>
            <w:r>
              <w:rPr>
                <w:rFonts w:ascii="Calibri" w:hAnsi="Calibri" w:cs="Calibri"/>
                <w:b/>
                <w:sz w:val="20"/>
              </w:rPr>
              <w:t>Responsible service</w:t>
            </w:r>
          </w:p>
        </w:tc>
      </w:tr>
      <w:tr>
        <w:trPr>
          <w:cantSplit/>
        </w:trPr>
        <w:tc>
          <w:tcPr>
            <w:tcW w:type="dxa" w:w="3264"/>
          </w:tcPr>
          <w:p>
            <w:pPr>
              <w:spacing w:after="20" w:before="20"/>
            </w:pPr>
            <w:r>
              <w:rPr>
                <w:rFonts w:ascii="Calibri" w:hAnsi="Calibri" w:cs="Calibri"/>
                <w:b w:val="0"/>
                <w:sz w:val="20"/>
              </w:rPr>
              <w:t>weekly complete blood count and creatinine during parenteral therapy</w:t>
            </w:r>
          </w:p>
        </w:tc>
        <w:tc>
          <w:tcPr>
            <w:tcW w:type="dxa" w:w="3264"/>
          </w:tcPr>
          <w:p>
            <w:pPr>
              <w:spacing w:after="20" w:before="20"/>
            </w:pPr>
            <w:r>
              <w:rPr>
                <w:rFonts w:ascii="Calibri" w:hAnsi="Calibri" w:cs="Calibri"/>
                <w:b w:val="0"/>
                <w:sz w:val="20"/>
              </w:rPr>
              <w:t>weekly</w:t>
            </w:r>
          </w:p>
        </w:tc>
        <w:tc>
          <w:tcPr>
            <w:tcW w:type="dxa" w:w="3264"/>
          </w:tcPr>
          <w:p>
            <w:pPr>
              <w:spacing w:after="20" w:before="20"/>
            </w:pPr>
            <w:r>
              <w:rPr>
                <w:rFonts w:ascii="Calibri" w:hAnsi="Calibri" w:cs="Calibri"/>
                <w:b w:val="0"/>
                <w:sz w:val="20"/>
              </w:rPr>
              <w:t>infectious disease</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Infectious-disease follow-up with parenteral-therapy laboratory monitoring</w:t>
            </w:r>
          </w:p>
        </w:tc>
        <w:tc>
          <w:tcPr>
            <w:tcW w:type="dxa" w:w="3264"/>
          </w:tcPr>
          <w:p>
            <w:pPr>
              <w:spacing w:after="20" w:before="20"/>
            </w:pPr>
            <w:r>
              <w:rPr>
                <w:rFonts w:ascii="Calibri" w:hAnsi="Calibri" w:cs="Calibri"/>
                <w:b w:val="0"/>
                <w:sz w:val="20"/>
              </w:rPr>
              <w:t>14 days</w:t>
            </w:r>
          </w:p>
        </w:tc>
        <w:tc>
          <w:tcPr>
            <w:tcW w:type="dxa" w:w="3264"/>
          </w:tcPr>
          <w:p>
            <w:pPr>
              <w:spacing w:after="20" w:before="20"/>
            </w:pPr>
            <w:r>
              <w:rPr>
                <w:rFonts w:ascii="Calibri" w:hAnsi="Calibri" w:cs="Calibri"/>
                <w:b w:val="0"/>
                <w:sz w:val="20"/>
              </w:rPr>
              <w:t>infectious disease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Transthoracic echocardiogram</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heart</w:t>
            </w:r>
          </w:p>
        </w:tc>
        <w:tc>
          <w:tcPr>
            <w:tcW w:type="dxa" w:w="2448"/>
          </w:tcPr>
          <w:p>
            <w:pPr>
              <w:spacing w:after="20" w:before="20"/>
            </w:pPr>
            <w:r>
              <w:rPr>
                <w:rFonts w:ascii="Calibri" w:hAnsi="Calibri" w:cs="Calibri"/>
                <w:b w:val="0"/>
                <w:sz w:val="20"/>
              </w:rPr>
              <w:t>Mobile echodensity consistent with a vegetation; ventricular function preserved.</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infectious disease</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Infectious-disease recommendations were recorded.</w:t>
            </w:r>
          </w:p>
        </w:tc>
        <w:tc>
          <w:tcPr>
            <w:tcW w:type="dxa" w:w="2448"/>
          </w:tcPr>
          <w:p>
            <w:pPr>
              <w:spacing w:after="20" w:before="20"/>
            </w:pPr>
            <w:r>
              <w:rPr>
                <w:rFonts w:ascii="Calibri" w:hAnsi="Calibri" w:cs="Calibri"/>
                <w:b w:val="0"/>
                <w:sz w:val="20"/>
              </w:rPr>
              <w:t>Complete the planned parenteral course with laboratory follow-up.</w:t>
            </w:r>
          </w:p>
        </w:tc>
      </w:tr>
    </w:tbl>
    <w:p>
      <w:pPr>
        <w:spacing w:after="40"/>
      </w:pPr>
    </w:p>
    <w:p>
      <w:pPr>
        <w:pStyle w:val="Heading2"/>
      </w:pPr>
      <w:r>
        <w:rPr>
          <w:rFonts w:ascii="Calibri" w:hAnsi="Calibri"/>
          <w:color w:val="1F3A5F"/>
        </w:rPr>
        <w:t>Microbiology</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399"/>
            <w:shd w:val="clear" w:color="auto" w:fill="D9E2F3"/>
          </w:tcPr>
          <w:p>
            <w:pPr>
              <w:spacing w:after="20" w:before="20"/>
            </w:pPr>
            <w:r>
              <w:rPr>
                <w:rFonts w:ascii="Calibri" w:hAnsi="Calibri" w:cs="Calibri"/>
                <w:b/>
                <w:sz w:val="20"/>
              </w:rPr>
              <w:t>Timepoint</w:t>
            </w:r>
          </w:p>
        </w:tc>
        <w:tc>
          <w:tcPr>
            <w:tcW w:type="dxa" w:w="1399"/>
            <w:shd w:val="clear" w:color="auto" w:fill="D9E2F3"/>
          </w:tcPr>
          <w:p>
            <w:pPr>
              <w:spacing w:after="20" w:before="20"/>
            </w:pPr>
            <w:r>
              <w:rPr>
                <w:rFonts w:ascii="Calibri" w:hAnsi="Calibri" w:cs="Calibri"/>
                <w:b/>
                <w:sz w:val="20"/>
              </w:rPr>
              <w:t>Specimen</w:t>
            </w:r>
          </w:p>
        </w:tc>
        <w:tc>
          <w:tcPr>
            <w:tcW w:type="dxa" w:w="1399"/>
            <w:shd w:val="clear" w:color="auto" w:fill="D9E2F3"/>
          </w:tcPr>
          <w:p>
            <w:pPr>
              <w:spacing w:after="20" w:before="20"/>
            </w:pPr>
            <w:r>
              <w:rPr>
                <w:rFonts w:ascii="Calibri" w:hAnsi="Calibri" w:cs="Calibri"/>
                <w:b/>
                <w:sz w:val="20"/>
              </w:rPr>
              <w:t>Test</w:t>
            </w:r>
          </w:p>
        </w:tc>
        <w:tc>
          <w:tcPr>
            <w:tcW w:type="dxa" w:w="1399"/>
            <w:shd w:val="clear" w:color="auto" w:fill="D9E2F3"/>
          </w:tcPr>
          <w:p>
            <w:pPr>
              <w:spacing w:after="20" w:before="20"/>
            </w:pPr>
            <w:r>
              <w:rPr>
                <w:rFonts w:ascii="Calibri" w:hAnsi="Calibri" w:cs="Calibri"/>
                <w:b/>
                <w:sz w:val="20"/>
              </w:rPr>
              <w:t>Organism</w:t>
            </w:r>
          </w:p>
        </w:tc>
        <w:tc>
          <w:tcPr>
            <w:tcW w:type="dxa" w:w="1399"/>
            <w:shd w:val="clear" w:color="auto" w:fill="D9E2F3"/>
          </w:tcPr>
          <w:p>
            <w:pPr>
              <w:spacing w:after="20" w:before="20"/>
            </w:pPr>
            <w:r>
              <w:rPr>
                <w:rFonts w:ascii="Calibri" w:hAnsi="Calibri" w:cs="Calibri"/>
                <w:b/>
                <w:sz w:val="20"/>
              </w:rPr>
              <w:t>Result</w:t>
            </w:r>
          </w:p>
        </w:tc>
        <w:tc>
          <w:tcPr>
            <w:tcW w:type="dxa" w:w="1399"/>
            <w:shd w:val="clear" w:color="auto" w:fill="D9E2F3"/>
          </w:tcPr>
          <w:p>
            <w:pPr>
              <w:spacing w:after="20" w:before="20"/>
            </w:pPr>
            <w:r>
              <w:rPr>
                <w:rFonts w:ascii="Calibri" w:hAnsi="Calibri" w:cs="Calibri"/>
                <w:b/>
                <w:sz w:val="20"/>
              </w:rPr>
              <w:t>Status</w:t>
            </w:r>
          </w:p>
        </w:tc>
        <w:tc>
          <w:tcPr>
            <w:tcW w:type="dxa" w:w="1399"/>
            <w:shd w:val="clear" w:color="auto" w:fill="D9E2F3"/>
          </w:tcPr>
          <w:p>
            <w:pPr>
              <w:spacing w:after="20" w:before="20"/>
            </w:pPr>
            <w:r>
              <w:rPr>
                <w:rFonts w:ascii="Calibri" w:hAnsi="Calibri" w:cs="Calibri"/>
                <w:b/>
                <w:sz w:val="20"/>
              </w:rPr>
              <w:t>Notes</w:t>
            </w:r>
          </w:p>
        </w:tc>
      </w:tr>
      <w:tr>
        <w:trPr>
          <w:cantSplit/>
        </w:trPr>
        <w:tc>
          <w:tcPr>
            <w:tcW w:type="dxa" w:w="1399"/>
          </w:tcPr>
          <w:p>
            <w:pPr>
              <w:spacing w:after="20" w:before="20"/>
            </w:pPr>
            <w:r>
              <w:rPr>
                <w:rFonts w:ascii="Calibri" w:hAnsi="Calibri" w:cs="Calibri"/>
                <w:b w:val="0"/>
                <w:sz w:val="20"/>
              </w:rPr>
              <w:t>admission</w:t>
            </w:r>
          </w:p>
        </w:tc>
        <w:tc>
          <w:tcPr>
            <w:tcW w:type="dxa" w:w="1399"/>
          </w:tcPr>
          <w:p>
            <w:pPr>
              <w:spacing w:after="20" w:before="20"/>
            </w:pPr>
            <w:r>
              <w:rPr>
                <w:rFonts w:ascii="Calibri" w:hAnsi="Calibri" w:cs="Calibri"/>
                <w:b w:val="0"/>
                <w:sz w:val="20"/>
              </w:rPr>
              <w:t>blood</w:t>
            </w:r>
          </w:p>
        </w:tc>
        <w:tc>
          <w:tcPr>
            <w:tcW w:type="dxa" w:w="1399"/>
          </w:tcPr>
          <w:p>
            <w:pPr>
              <w:spacing w:after="20" w:before="20"/>
            </w:pPr>
            <w:r>
              <w:rPr>
                <w:rFonts w:ascii="Calibri" w:hAnsi="Calibri" w:cs="Calibri"/>
                <w:b w:val="0"/>
                <w:sz w:val="20"/>
              </w:rPr>
              <w:t>blood culture</w:t>
            </w:r>
          </w:p>
        </w:tc>
        <w:tc>
          <w:tcPr>
            <w:tcW w:type="dxa" w:w="1399"/>
          </w:tcPr>
          <w:p>
            <w:pPr>
              <w:spacing w:after="20" w:before="20"/>
            </w:pPr>
            <w:r>
              <w:rPr>
                <w:rFonts w:ascii="Calibri" w:hAnsi="Calibri" w:cs="Calibri"/>
                <w:b w:val="0"/>
                <w:sz w:val="20"/>
              </w:rPr>
              <w:t>gram-positive cocci</w:t>
            </w:r>
          </w:p>
        </w:tc>
        <w:tc>
          <w:tcPr>
            <w:tcW w:type="dxa" w:w="1399"/>
          </w:tcPr>
          <w:p>
            <w:pPr>
              <w:spacing w:after="20" w:before="20"/>
            </w:pPr>
            <w:r>
              <w:rPr>
                <w:rFonts w:ascii="Calibri" w:hAnsi="Calibri" w:cs="Calibri"/>
                <w:b w:val="0"/>
                <w:sz w:val="20"/>
              </w:rPr>
              <w:t>growth</w:t>
            </w:r>
          </w:p>
        </w:tc>
        <w:tc>
          <w:tcPr>
            <w:tcW w:type="dxa" w:w="1399"/>
          </w:tcPr>
          <w:p>
            <w:pPr>
              <w:spacing w:after="20" w:before="20"/>
            </w:pPr>
            <w:r>
              <w:rPr>
                <w:rFonts w:ascii="Calibri" w:hAnsi="Calibri" w:cs="Calibri"/>
                <w:b w:val="0"/>
                <w:sz w:val="20"/>
              </w:rPr>
              <w:t>final</w:t>
            </w:r>
          </w:p>
        </w:tc>
        <w:tc>
          <w:tcPr>
            <w:tcW w:type="dxa" w:w="1399"/>
          </w:tcPr>
          <w:p>
            <w:pPr>
              <w:spacing w:after="20" w:before="20"/>
            </w:pPr>
            <w:r>
              <w:rPr>
                <w:rFonts w:ascii="Calibri" w:hAnsi="Calibri" w:cs="Calibri"/>
                <w:b w:val="0"/>
                <w:sz w:val="20"/>
              </w:rPr>
              <w:t>Initial diagnostic culture.</w:t>
            </w:r>
          </w:p>
        </w:tc>
      </w:tr>
      <w:tr>
        <w:trPr>
          <w:cantSplit/>
        </w:trPr>
        <w:tc>
          <w:tcPr>
            <w:tcW w:type="dxa" w:w="1399"/>
          </w:tcPr>
          <w:p>
            <w:pPr>
              <w:spacing w:after="20" w:before="20"/>
            </w:pPr>
            <w:r>
              <w:rPr>
                <w:rFonts w:ascii="Calibri" w:hAnsi="Calibri" w:cs="Calibri"/>
                <w:b w:val="0"/>
                <w:sz w:val="20"/>
              </w:rPr>
              <w:t>inpatient</w:t>
            </w:r>
          </w:p>
        </w:tc>
        <w:tc>
          <w:tcPr>
            <w:tcW w:type="dxa" w:w="1399"/>
          </w:tcPr>
          <w:p>
            <w:pPr>
              <w:spacing w:after="20" w:before="20"/>
            </w:pPr>
            <w:r>
              <w:rPr>
                <w:rFonts w:ascii="Calibri" w:hAnsi="Calibri" w:cs="Calibri"/>
                <w:b w:val="0"/>
                <w:sz w:val="20"/>
              </w:rPr>
              <w:t>blood</w:t>
            </w:r>
          </w:p>
        </w:tc>
        <w:tc>
          <w:tcPr>
            <w:tcW w:type="dxa" w:w="1399"/>
          </w:tcPr>
          <w:p>
            <w:pPr>
              <w:spacing w:after="20" w:before="20"/>
            </w:pPr>
            <w:r>
              <w:rPr>
                <w:rFonts w:ascii="Calibri" w:hAnsi="Calibri" w:cs="Calibri"/>
                <w:b w:val="0"/>
                <w:sz w:val="20"/>
              </w:rPr>
              <w:t>blood culture</w:t>
            </w:r>
          </w:p>
        </w:tc>
        <w:tc>
          <w:tcPr>
            <w:tcW w:type="dxa" w:w="1399"/>
          </w:tcPr>
          <w:p>
            <w:pPr>
              <w:spacing w:after="20" w:before="20"/>
            </w:pPr>
            <w:r>
              <w:rPr>
                <w:rFonts w:ascii="Calibri" w:hAnsi="Calibri" w:cs="Calibri"/>
                <w:b w:val="0"/>
                <w:sz w:val="20"/>
              </w:rPr>
            </w:r>
          </w:p>
        </w:tc>
        <w:tc>
          <w:tcPr>
            <w:tcW w:type="dxa" w:w="1399"/>
          </w:tcPr>
          <w:p>
            <w:pPr>
              <w:spacing w:after="20" w:before="20"/>
            </w:pPr>
            <w:r>
              <w:rPr>
                <w:rFonts w:ascii="Calibri" w:hAnsi="Calibri" w:cs="Calibri"/>
                <w:b w:val="0"/>
                <w:sz w:val="20"/>
              </w:rPr>
              <w:t>no growth</w:t>
            </w:r>
          </w:p>
        </w:tc>
        <w:tc>
          <w:tcPr>
            <w:tcW w:type="dxa" w:w="1399"/>
          </w:tcPr>
          <w:p>
            <w:pPr>
              <w:spacing w:after="20" w:before="20"/>
            </w:pPr>
            <w:r>
              <w:rPr>
                <w:rFonts w:ascii="Calibri" w:hAnsi="Calibri" w:cs="Calibri"/>
                <w:b w:val="0"/>
                <w:sz w:val="20"/>
              </w:rPr>
              <w:t>final</w:t>
            </w:r>
          </w:p>
        </w:tc>
        <w:tc>
          <w:tcPr>
            <w:tcW w:type="dxa" w:w="1399"/>
          </w:tcPr>
          <w:p>
            <w:pPr>
              <w:spacing w:after="20" w:before="20"/>
            </w:pPr>
            <w:r>
              <w:rPr>
                <w:rFonts w:ascii="Calibri" w:hAnsi="Calibri" w:cs="Calibri"/>
                <w:b w:val="0"/>
                <w:sz w:val="20"/>
              </w:rPr>
              <w:t>Subsequent cultures cleared after treatment.</w:t>
            </w:r>
          </w:p>
        </w:tc>
      </w:tr>
    </w:tbl>
    <w:p>
      <w:pPr>
        <w:spacing w:after="40"/>
      </w:pPr>
    </w:p>
    <w:p>
      <w:pPr>
        <w:pStyle w:val="Heading2"/>
      </w:pPr>
      <w:r>
        <w:rPr>
          <w:rFonts w:ascii="Calibri" w:hAnsi="Calibri"/>
          <w:color w:val="1F3A5F"/>
        </w:rPr>
        <w:t>Devices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399"/>
            <w:shd w:val="clear" w:color="auto" w:fill="D9E2F3"/>
          </w:tcPr>
          <w:p>
            <w:pPr>
              <w:spacing w:after="20" w:before="20"/>
            </w:pPr>
            <w:r>
              <w:rPr>
                <w:rFonts w:ascii="Calibri" w:hAnsi="Calibri" w:cs="Calibri"/>
                <w:b/>
                <w:sz w:val="20"/>
              </w:rPr>
              <w:t>Device</w:t>
            </w:r>
          </w:p>
        </w:tc>
        <w:tc>
          <w:tcPr>
            <w:tcW w:type="dxa" w:w="1399"/>
            <w:shd w:val="clear" w:color="auto" w:fill="D9E2F3"/>
          </w:tcPr>
          <w:p>
            <w:pPr>
              <w:spacing w:after="20" w:before="20"/>
            </w:pPr>
            <w:r>
              <w:rPr>
                <w:rFonts w:ascii="Calibri" w:hAnsi="Calibri" w:cs="Calibri"/>
                <w:b/>
                <w:sz w:val="20"/>
              </w:rPr>
              <w:t>Site</w:t>
            </w:r>
          </w:p>
        </w:tc>
        <w:tc>
          <w:tcPr>
            <w:tcW w:type="dxa" w:w="1399"/>
            <w:shd w:val="clear" w:color="auto" w:fill="D9E2F3"/>
          </w:tcPr>
          <w:p>
            <w:pPr>
              <w:spacing w:after="20" w:before="20"/>
            </w:pPr>
            <w:r>
              <w:rPr>
                <w:rFonts w:ascii="Calibri" w:hAnsi="Calibri" w:cs="Calibri"/>
                <w:b/>
                <w:sz w:val="20"/>
              </w:rPr>
              <w:t>Placement</w:t>
            </w:r>
          </w:p>
        </w:tc>
        <w:tc>
          <w:tcPr>
            <w:tcW w:type="dxa" w:w="1399"/>
            <w:shd w:val="clear" w:color="auto" w:fill="D9E2F3"/>
          </w:tcPr>
          <w:p>
            <w:pPr>
              <w:spacing w:after="20" w:before="20"/>
            </w:pPr>
            <w:r>
              <w:rPr>
                <w:rFonts w:ascii="Calibri" w:hAnsi="Calibri" w:cs="Calibri"/>
                <w:b/>
                <w:sz w:val="20"/>
              </w:rPr>
              <w:t>Status</w:t>
            </w:r>
          </w:p>
        </w:tc>
        <w:tc>
          <w:tcPr>
            <w:tcW w:type="dxa" w:w="1399"/>
            <w:shd w:val="clear" w:color="auto" w:fill="D9E2F3"/>
          </w:tcPr>
          <w:p>
            <w:pPr>
              <w:spacing w:after="20" w:before="20"/>
            </w:pPr>
            <w:r>
              <w:rPr>
                <w:rFonts w:ascii="Calibri" w:hAnsi="Calibri" w:cs="Calibri"/>
                <w:b/>
                <w:sz w:val="20"/>
              </w:rPr>
              <w:t>Confirmation</w:t>
            </w:r>
          </w:p>
        </w:tc>
        <w:tc>
          <w:tcPr>
            <w:tcW w:type="dxa" w:w="1399"/>
            <w:shd w:val="clear" w:color="auto" w:fill="D9E2F3"/>
          </w:tcPr>
          <w:p>
            <w:pPr>
              <w:spacing w:after="20" w:before="20"/>
            </w:pPr>
            <w:r>
              <w:rPr>
                <w:rFonts w:ascii="Calibri" w:hAnsi="Calibri" w:cs="Calibri"/>
                <w:b/>
                <w:sz w:val="20"/>
              </w:rPr>
              <w:t>Care instructions</w:t>
            </w:r>
          </w:p>
        </w:tc>
        <w:tc>
          <w:tcPr>
            <w:tcW w:type="dxa" w:w="1399"/>
            <w:shd w:val="clear" w:color="auto" w:fill="D9E2F3"/>
          </w:tcPr>
          <w:p>
            <w:pPr>
              <w:spacing w:after="20" w:before="20"/>
            </w:pPr>
            <w:r>
              <w:rPr>
                <w:rFonts w:ascii="Calibri" w:hAnsi="Calibri" w:cs="Calibri"/>
                <w:b/>
                <w:sz w:val="20"/>
              </w:rPr>
              <w:t>Removal plan</w:t>
            </w:r>
          </w:p>
        </w:tc>
      </w:tr>
      <w:tr>
        <w:trPr>
          <w:cantSplit/>
        </w:trPr>
        <w:tc>
          <w:tcPr>
            <w:tcW w:type="dxa" w:w="1399"/>
          </w:tcPr>
          <w:p>
            <w:pPr>
              <w:spacing w:after="20" w:before="20"/>
            </w:pPr>
            <w:r>
              <w:rPr>
                <w:rFonts w:ascii="Calibri" w:hAnsi="Calibri" w:cs="Calibri"/>
                <w:b w:val="0"/>
                <w:sz w:val="20"/>
              </w:rPr>
              <w:t>PICC</w:t>
            </w:r>
          </w:p>
        </w:tc>
        <w:tc>
          <w:tcPr>
            <w:tcW w:type="dxa" w:w="1399"/>
          </w:tcPr>
          <w:p>
            <w:pPr>
              <w:spacing w:after="20" w:before="20"/>
            </w:pPr>
            <w:r>
              <w:rPr>
                <w:rFonts w:ascii="Calibri" w:hAnsi="Calibri" w:cs="Calibri"/>
                <w:b w:val="0"/>
                <w:sz w:val="20"/>
              </w:rPr>
              <w:t>right upper arm</w:t>
            </w:r>
          </w:p>
        </w:tc>
        <w:tc>
          <w:tcPr>
            <w:tcW w:type="dxa" w:w="1399"/>
          </w:tcPr>
          <w:p>
            <w:pPr>
              <w:spacing w:after="20" w:before="20"/>
            </w:pPr>
            <w:r>
              <w:rPr>
                <w:rFonts w:ascii="Calibri" w:hAnsi="Calibri" w:cs="Calibri"/>
                <w:b w:val="0"/>
                <w:sz w:val="20"/>
              </w:rPr>
              <w:t>inpatient</w:t>
            </w:r>
          </w:p>
        </w:tc>
        <w:tc>
          <w:tcPr>
            <w:tcW w:type="dxa" w:w="1399"/>
          </w:tcPr>
          <w:p>
            <w:pPr>
              <w:spacing w:after="20" w:before="20"/>
            </w:pPr>
            <w:r>
              <w:rPr>
                <w:rFonts w:ascii="Calibri" w:hAnsi="Calibri" w:cs="Calibri"/>
                <w:b w:val="0"/>
                <w:sz w:val="20"/>
              </w:rPr>
              <w:t>in place</w:t>
            </w:r>
          </w:p>
        </w:tc>
        <w:tc>
          <w:tcPr>
            <w:tcW w:type="dxa" w:w="1399"/>
          </w:tcPr>
          <w:p>
            <w:pPr>
              <w:spacing w:after="20" w:before="20"/>
            </w:pPr>
            <w:r>
              <w:rPr>
                <w:rFonts w:ascii="Calibri" w:hAnsi="Calibri" w:cs="Calibri"/>
                <w:b w:val="0"/>
                <w:sz w:val="20"/>
              </w:rPr>
              <w:t>Tip position confirmed on chest radiograph</w:t>
            </w:r>
          </w:p>
        </w:tc>
        <w:tc>
          <w:tcPr>
            <w:tcW w:type="dxa" w:w="1399"/>
          </w:tcPr>
          <w:p>
            <w:pPr>
              <w:spacing w:after="20" w:before="20"/>
            </w:pPr>
            <w:r>
              <w:rPr>
                <w:rFonts w:ascii="Calibri" w:hAnsi="Calibri" w:cs="Calibri"/>
                <w:b w:val="0"/>
                <w:sz w:val="20"/>
              </w:rPr>
              <w:t>Line precautions and weekly dressing changes</w:t>
            </w:r>
          </w:p>
        </w:tc>
        <w:tc>
          <w:tcPr>
            <w:tcW w:type="dxa" w:w="1399"/>
          </w:tcPr>
          <w:p>
            <w:pPr>
              <w:spacing w:after="20" w:before="20"/>
            </w:pPr>
            <w:r>
              <w:rPr>
                <w:rFonts w:ascii="Calibri" w:hAnsi="Calibri" w:cs="Calibri"/>
                <w:b w:val="0"/>
                <w:sz w:val="20"/>
              </w:rPr>
              <w:t>Remove after the planned parenteral course</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Fatigue</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4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4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47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4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4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48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4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4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48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4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4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48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4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4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4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4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49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4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4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4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49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49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49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18"/>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VAL-810</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83</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72.000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infectious disease</w:t>
      </w:r>
    </w:p>
    <w:p>
      <w:pPr>
        <w:pStyle w:val="ListBullet"/>
        <w:spacing w:after="40" w:before="0"/>
      </w:pPr>
      <w:r>
        <w:rPr>
          <w:rFonts w:ascii="Calibri" w:hAnsi="Calibri" w:cs="Calibri"/>
          <w:b/>
          <w:sz w:val="22"/>
        </w:rPr>
        <w:t xml:space="preserve">Admission diagnosis: </w:t>
      </w:r>
      <w:r>
        <w:rPr>
          <w:rFonts w:ascii="Calibri" w:hAnsi="Calibri" w:cs="Calibri"/>
          <w:b w:val="0"/>
          <w:sz w:val="22"/>
        </w:rPr>
        <w:t>Acute and subacute infective endocarditis</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83-year-old Male with Acute and subacute infective endocarditis</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Nausea, Fatigue in the setting of Acute and subacute infective endocarditis</w:t>
      </w:r>
    </w:p>
    <w:p>
      <w:pPr>
        <w:pStyle w:val="ListBullet"/>
        <w:spacing w:after="40" w:before="0"/>
      </w:pPr>
      <w:r>
        <w:rPr>
          <w:rFonts w:ascii="Calibri" w:hAnsi="Calibri" w:cs="Calibri"/>
          <w:b/>
          <w:sz w:val="22"/>
        </w:rPr>
        <w:t xml:space="preserve">Symptoms: </w:t>
      </w:r>
      <w:r>
        <w:rPr>
          <w:rFonts w:ascii="Calibri" w:hAnsi="Calibri" w:cs="Calibri"/>
          <w:b w:val="0"/>
          <w:sz w:val="22"/>
        </w:rPr>
        <w:t>Nausea, Fatigue</w:t>
      </w:r>
    </w:p>
    <w:p>
      <w:pPr>
        <w:pStyle w:val="ListBullet"/>
        <w:spacing w:after="40" w:before="0"/>
      </w:pPr>
      <w:r>
        <w:rPr>
          <w:rFonts w:ascii="Calibri" w:hAnsi="Calibri" w:cs="Calibri"/>
          <w:b/>
          <w:sz w:val="22"/>
        </w:rPr>
        <w:t xml:space="preserve">Symptom duration: </w:t>
      </w:r>
      <w:r>
        <w:rPr>
          <w:rFonts w:ascii="Calibri" w:hAnsi="Calibri" w:cs="Calibri"/>
          <w:b w:val="0"/>
          <w:sz w:val="22"/>
        </w:rPr>
        <w:t>several days</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 83-year-old Male is admitted with Acute and subacute infective endocarditis. Presenting symptoms include Nausea, Fatigue, present for several days and improving after treatment. Home medications include atorvastatin 40 MG Oral Tablet, metformin hydrochloride 500 MG Oral Tablet. Started during this admission: ceftriaxone 2000 MG Injection. Admitted for endocarditis; remaining parenteral ceftriaxone is intended after discharge. Parenteral ceftriaxone is intended to continue after discharge until the planned end date. Cultures cleared on inpatient therapy. The remaining parenteral course and infectious-disease follow-up were arranged before discharge.</w:t>
      </w:r>
    </w:p>
    <w:p>
      <w:pPr>
        <w:pStyle w:val="Heading3"/>
      </w:pPr>
      <w:r>
        <w:rPr>
          <w:rFonts w:ascii="Calibri" w:hAnsi="Calibri"/>
          <w:color w:val="1F3A5F"/>
        </w:rPr>
        <w:t>Admission note</w:t>
      </w:r>
    </w:p>
    <w:p>
      <w:pPr>
        <w:spacing w:after="120"/>
      </w:pPr>
      <w:r>
        <w:rPr>
          <w:rFonts w:ascii="Calibri" w:hAnsi="Calibri" w:cs="Calibri"/>
          <w:b w:val="0"/>
          <w:sz w:val="22"/>
        </w:rPr>
        <w:t>Admission note for a 83-year-old Male with Acute and subacute infective endocarditis. Symptoms: Nausea, Fatigue for several days (improving after treatment). Medications continued from home: atorvastatin 40 MG Oral Tablet, metformin hydrochloride 500 MG Oral Tablet. Started during this admission: ceftriaxone 2000 MG Injection. Admitted for endocarditis; remaining parenteral ceftriaxone is intended after discharge. Parenteral ceftriaxone is intended to continue after discharge until the planned end date. Cultures cleared on inpatient therapy. The remaining parenteral course and infectious-disease follow-up were arranged before discharge.</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Type 2 diabetes mellitus without complications,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Acute and subacute infective endocarditis</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Acute and subacute infective endocarditis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Cultures cleared on inpatient therapy. The remaining parenteral course and infectious-disease follow-up were arranged before discharge.</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38.20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125/82</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106</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93.00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176.0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1.3</w:t>
            </w:r>
          </w:p>
        </w:tc>
        <w:tc>
          <w:tcPr>
            <w:tcW w:type="dxa" w:w="2160"/>
          </w:tcPr>
          <w:p>
            <w:pPr>
              <w:spacing w:after="20" w:before="20"/>
            </w:pPr>
            <w:r>
              <w:rPr>
                <w:rFonts w:ascii="Calibri" w:hAnsi="Calibri" w:cs="Calibri"/>
                <w:b w:val="0"/>
                <w:sz w:val="20"/>
              </w:rPr>
              <w:t>mg/dL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72.000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137/81</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70</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19</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112.0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ceftriaxone 2000 MG Injection</w:t>
            </w:r>
          </w:p>
        </w:tc>
        <w:tc>
          <w:tcPr>
            <w:tcW w:type="dxa" w:w="1224"/>
          </w:tcPr>
          <w:p>
            <w:pPr>
              <w:spacing w:after="20" w:before="20"/>
            </w:pPr>
            <w:r>
              <w:rPr>
                <w:rFonts w:ascii="Calibri" w:hAnsi="Calibri" w:cs="Calibri"/>
                <w:b w:val="0"/>
                <w:sz w:val="20"/>
              </w:rPr>
              <w:t>2000 MG</w:t>
            </w:r>
          </w:p>
        </w:tc>
        <w:tc>
          <w:tcPr>
            <w:tcW w:type="dxa" w:w="1152"/>
          </w:tcPr>
          <w:p>
            <w:pPr>
              <w:spacing w:after="20" w:before="20"/>
            </w:pPr>
            <w:r>
              <w:rPr>
                <w:rFonts w:ascii="Calibri" w:hAnsi="Calibri" w:cs="Calibri"/>
                <w:b w:val="0"/>
                <w:sz w:val="20"/>
              </w:rPr>
              <w:t>intravenous</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and subacute infective endocarditis; Note: Started during this admission.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Parameter</w:t>
            </w:r>
          </w:p>
        </w:tc>
        <w:tc>
          <w:tcPr>
            <w:tcW w:type="dxa" w:w="3264"/>
            <w:shd w:val="clear" w:color="auto" w:fill="D9E2F3"/>
          </w:tcPr>
          <w:p>
            <w:pPr>
              <w:spacing w:after="20" w:before="20"/>
            </w:pPr>
            <w:r>
              <w:rPr>
                <w:rFonts w:ascii="Calibri" w:hAnsi="Calibri" w:cs="Calibri"/>
                <w:b/>
                <w:sz w:val="20"/>
              </w:rPr>
              <w:t>Frequency</w:t>
            </w:r>
          </w:p>
        </w:tc>
        <w:tc>
          <w:tcPr>
            <w:tcW w:type="dxa" w:w="3264"/>
            <w:shd w:val="clear" w:color="auto" w:fill="D9E2F3"/>
          </w:tcPr>
          <w:p>
            <w:pPr>
              <w:spacing w:after="20" w:before="20"/>
            </w:pPr>
            <w:r>
              <w:rPr>
                <w:rFonts w:ascii="Calibri" w:hAnsi="Calibri" w:cs="Calibri"/>
                <w:b/>
                <w:sz w:val="20"/>
              </w:rPr>
              <w:t>Responsible service</w:t>
            </w:r>
          </w:p>
        </w:tc>
      </w:tr>
      <w:tr>
        <w:trPr>
          <w:cantSplit/>
        </w:trPr>
        <w:tc>
          <w:tcPr>
            <w:tcW w:type="dxa" w:w="3264"/>
          </w:tcPr>
          <w:p>
            <w:pPr>
              <w:spacing w:after="20" w:before="20"/>
            </w:pPr>
            <w:r>
              <w:rPr>
                <w:rFonts w:ascii="Calibri" w:hAnsi="Calibri" w:cs="Calibri"/>
                <w:b w:val="0"/>
                <w:sz w:val="20"/>
              </w:rPr>
              <w:t>weekly complete blood count and creatinine during parenteral therapy</w:t>
            </w:r>
          </w:p>
        </w:tc>
        <w:tc>
          <w:tcPr>
            <w:tcW w:type="dxa" w:w="3264"/>
          </w:tcPr>
          <w:p>
            <w:pPr>
              <w:spacing w:after="20" w:before="20"/>
            </w:pPr>
            <w:r>
              <w:rPr>
                <w:rFonts w:ascii="Calibri" w:hAnsi="Calibri" w:cs="Calibri"/>
                <w:b w:val="0"/>
                <w:sz w:val="20"/>
              </w:rPr>
              <w:t>weekly</w:t>
            </w:r>
          </w:p>
        </w:tc>
        <w:tc>
          <w:tcPr>
            <w:tcW w:type="dxa" w:w="3264"/>
          </w:tcPr>
          <w:p>
            <w:pPr>
              <w:spacing w:after="20" w:before="20"/>
            </w:pPr>
            <w:r>
              <w:rPr>
                <w:rFonts w:ascii="Calibri" w:hAnsi="Calibri" w:cs="Calibri"/>
                <w:b w:val="0"/>
                <w:sz w:val="20"/>
              </w:rPr>
              <w:t>infectious disease</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Infectious-disease clinic follow-up</w:t>
            </w:r>
          </w:p>
        </w:tc>
        <w:tc>
          <w:tcPr>
            <w:tcW w:type="dxa" w:w="3264"/>
          </w:tcPr>
          <w:p>
            <w:pPr>
              <w:spacing w:after="20" w:before="20"/>
            </w:pPr>
            <w:r>
              <w:rPr>
                <w:rFonts w:ascii="Calibri" w:hAnsi="Calibri" w:cs="Calibri"/>
                <w:b w:val="0"/>
                <w:sz w:val="20"/>
              </w:rPr>
              <w:t>7 days</w:t>
            </w:r>
          </w:p>
        </w:tc>
        <w:tc>
          <w:tcPr>
            <w:tcW w:type="dxa" w:w="3264"/>
          </w:tcPr>
          <w:p>
            <w:pPr>
              <w:spacing w:after="20" w:before="20"/>
            </w:pPr>
            <w:r>
              <w:rPr>
                <w:rFonts w:ascii="Calibri" w:hAnsi="Calibri" w:cs="Calibri"/>
                <w:b w:val="0"/>
                <w:sz w:val="20"/>
              </w:rPr>
              <w:t>infectious disease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Transthoracic echocardiogram</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heart</w:t>
            </w:r>
          </w:p>
        </w:tc>
        <w:tc>
          <w:tcPr>
            <w:tcW w:type="dxa" w:w="2448"/>
          </w:tcPr>
          <w:p>
            <w:pPr>
              <w:spacing w:after="20" w:before="20"/>
            </w:pPr>
            <w:r>
              <w:rPr>
                <w:rFonts w:ascii="Calibri" w:hAnsi="Calibri" w:cs="Calibri"/>
                <w:b w:val="0"/>
                <w:sz w:val="20"/>
              </w:rPr>
              <w:t>Mobile echodensity consistent with a vegetation; ventricular function preserved.</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infectious disease</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Infectious-disease recommendations were recorded.</w:t>
            </w:r>
          </w:p>
        </w:tc>
        <w:tc>
          <w:tcPr>
            <w:tcW w:type="dxa" w:w="2448"/>
          </w:tcPr>
          <w:p>
            <w:pPr>
              <w:spacing w:after="20" w:before="20"/>
            </w:pPr>
            <w:r>
              <w:rPr>
                <w:rFonts w:ascii="Calibri" w:hAnsi="Calibri" w:cs="Calibri"/>
                <w:b w:val="0"/>
                <w:sz w:val="20"/>
              </w:rPr>
              <w:t>Complete the planned parenteral course with laboratory follow-up.</w:t>
            </w:r>
          </w:p>
        </w:tc>
      </w:tr>
    </w:tbl>
    <w:p>
      <w:pPr>
        <w:spacing w:after="40"/>
      </w:pPr>
    </w:p>
    <w:p>
      <w:pPr>
        <w:pStyle w:val="Heading2"/>
      </w:pPr>
      <w:r>
        <w:rPr>
          <w:rFonts w:ascii="Calibri" w:hAnsi="Calibri"/>
          <w:color w:val="1F3A5F"/>
        </w:rPr>
        <w:t>Microbiology</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399"/>
            <w:shd w:val="clear" w:color="auto" w:fill="D9E2F3"/>
          </w:tcPr>
          <w:p>
            <w:pPr>
              <w:spacing w:after="20" w:before="20"/>
            </w:pPr>
            <w:r>
              <w:rPr>
                <w:rFonts w:ascii="Calibri" w:hAnsi="Calibri" w:cs="Calibri"/>
                <w:b/>
                <w:sz w:val="20"/>
              </w:rPr>
              <w:t>Timepoint</w:t>
            </w:r>
          </w:p>
        </w:tc>
        <w:tc>
          <w:tcPr>
            <w:tcW w:type="dxa" w:w="1399"/>
            <w:shd w:val="clear" w:color="auto" w:fill="D9E2F3"/>
          </w:tcPr>
          <w:p>
            <w:pPr>
              <w:spacing w:after="20" w:before="20"/>
            </w:pPr>
            <w:r>
              <w:rPr>
                <w:rFonts w:ascii="Calibri" w:hAnsi="Calibri" w:cs="Calibri"/>
                <w:b/>
                <w:sz w:val="20"/>
              </w:rPr>
              <w:t>Specimen</w:t>
            </w:r>
          </w:p>
        </w:tc>
        <w:tc>
          <w:tcPr>
            <w:tcW w:type="dxa" w:w="1399"/>
            <w:shd w:val="clear" w:color="auto" w:fill="D9E2F3"/>
          </w:tcPr>
          <w:p>
            <w:pPr>
              <w:spacing w:after="20" w:before="20"/>
            </w:pPr>
            <w:r>
              <w:rPr>
                <w:rFonts w:ascii="Calibri" w:hAnsi="Calibri" w:cs="Calibri"/>
                <w:b/>
                <w:sz w:val="20"/>
              </w:rPr>
              <w:t>Test</w:t>
            </w:r>
          </w:p>
        </w:tc>
        <w:tc>
          <w:tcPr>
            <w:tcW w:type="dxa" w:w="1399"/>
            <w:shd w:val="clear" w:color="auto" w:fill="D9E2F3"/>
          </w:tcPr>
          <w:p>
            <w:pPr>
              <w:spacing w:after="20" w:before="20"/>
            </w:pPr>
            <w:r>
              <w:rPr>
                <w:rFonts w:ascii="Calibri" w:hAnsi="Calibri" w:cs="Calibri"/>
                <w:b/>
                <w:sz w:val="20"/>
              </w:rPr>
              <w:t>Organism</w:t>
            </w:r>
          </w:p>
        </w:tc>
        <w:tc>
          <w:tcPr>
            <w:tcW w:type="dxa" w:w="1399"/>
            <w:shd w:val="clear" w:color="auto" w:fill="D9E2F3"/>
          </w:tcPr>
          <w:p>
            <w:pPr>
              <w:spacing w:after="20" w:before="20"/>
            </w:pPr>
            <w:r>
              <w:rPr>
                <w:rFonts w:ascii="Calibri" w:hAnsi="Calibri" w:cs="Calibri"/>
                <w:b/>
                <w:sz w:val="20"/>
              </w:rPr>
              <w:t>Result</w:t>
            </w:r>
          </w:p>
        </w:tc>
        <w:tc>
          <w:tcPr>
            <w:tcW w:type="dxa" w:w="1399"/>
            <w:shd w:val="clear" w:color="auto" w:fill="D9E2F3"/>
          </w:tcPr>
          <w:p>
            <w:pPr>
              <w:spacing w:after="20" w:before="20"/>
            </w:pPr>
            <w:r>
              <w:rPr>
                <w:rFonts w:ascii="Calibri" w:hAnsi="Calibri" w:cs="Calibri"/>
                <w:b/>
                <w:sz w:val="20"/>
              </w:rPr>
              <w:t>Status</w:t>
            </w:r>
          </w:p>
        </w:tc>
        <w:tc>
          <w:tcPr>
            <w:tcW w:type="dxa" w:w="1399"/>
            <w:shd w:val="clear" w:color="auto" w:fill="D9E2F3"/>
          </w:tcPr>
          <w:p>
            <w:pPr>
              <w:spacing w:after="20" w:before="20"/>
            </w:pPr>
            <w:r>
              <w:rPr>
                <w:rFonts w:ascii="Calibri" w:hAnsi="Calibri" w:cs="Calibri"/>
                <w:b/>
                <w:sz w:val="20"/>
              </w:rPr>
              <w:t>Notes</w:t>
            </w:r>
          </w:p>
        </w:tc>
      </w:tr>
      <w:tr>
        <w:trPr>
          <w:cantSplit/>
        </w:trPr>
        <w:tc>
          <w:tcPr>
            <w:tcW w:type="dxa" w:w="1399"/>
          </w:tcPr>
          <w:p>
            <w:pPr>
              <w:spacing w:after="20" w:before="20"/>
            </w:pPr>
            <w:r>
              <w:rPr>
                <w:rFonts w:ascii="Calibri" w:hAnsi="Calibri" w:cs="Calibri"/>
                <w:b w:val="0"/>
                <w:sz w:val="20"/>
              </w:rPr>
              <w:t>admission</w:t>
            </w:r>
          </w:p>
        </w:tc>
        <w:tc>
          <w:tcPr>
            <w:tcW w:type="dxa" w:w="1399"/>
          </w:tcPr>
          <w:p>
            <w:pPr>
              <w:spacing w:after="20" w:before="20"/>
            </w:pPr>
            <w:r>
              <w:rPr>
                <w:rFonts w:ascii="Calibri" w:hAnsi="Calibri" w:cs="Calibri"/>
                <w:b w:val="0"/>
                <w:sz w:val="20"/>
              </w:rPr>
              <w:t>blood</w:t>
            </w:r>
          </w:p>
        </w:tc>
        <w:tc>
          <w:tcPr>
            <w:tcW w:type="dxa" w:w="1399"/>
          </w:tcPr>
          <w:p>
            <w:pPr>
              <w:spacing w:after="20" w:before="20"/>
            </w:pPr>
            <w:r>
              <w:rPr>
                <w:rFonts w:ascii="Calibri" w:hAnsi="Calibri" w:cs="Calibri"/>
                <w:b w:val="0"/>
                <w:sz w:val="20"/>
              </w:rPr>
              <w:t>blood culture</w:t>
            </w:r>
          </w:p>
        </w:tc>
        <w:tc>
          <w:tcPr>
            <w:tcW w:type="dxa" w:w="1399"/>
          </w:tcPr>
          <w:p>
            <w:pPr>
              <w:spacing w:after="20" w:before="20"/>
            </w:pPr>
            <w:r>
              <w:rPr>
                <w:rFonts w:ascii="Calibri" w:hAnsi="Calibri" w:cs="Calibri"/>
                <w:b w:val="0"/>
                <w:sz w:val="20"/>
              </w:rPr>
              <w:t>gram-positive cocci</w:t>
            </w:r>
          </w:p>
        </w:tc>
        <w:tc>
          <w:tcPr>
            <w:tcW w:type="dxa" w:w="1399"/>
          </w:tcPr>
          <w:p>
            <w:pPr>
              <w:spacing w:after="20" w:before="20"/>
            </w:pPr>
            <w:r>
              <w:rPr>
                <w:rFonts w:ascii="Calibri" w:hAnsi="Calibri" w:cs="Calibri"/>
                <w:b w:val="0"/>
                <w:sz w:val="20"/>
              </w:rPr>
              <w:t>growth</w:t>
            </w:r>
          </w:p>
        </w:tc>
        <w:tc>
          <w:tcPr>
            <w:tcW w:type="dxa" w:w="1399"/>
          </w:tcPr>
          <w:p>
            <w:pPr>
              <w:spacing w:after="20" w:before="20"/>
            </w:pPr>
            <w:r>
              <w:rPr>
                <w:rFonts w:ascii="Calibri" w:hAnsi="Calibri" w:cs="Calibri"/>
                <w:b w:val="0"/>
                <w:sz w:val="20"/>
              </w:rPr>
              <w:t>final</w:t>
            </w:r>
          </w:p>
        </w:tc>
        <w:tc>
          <w:tcPr>
            <w:tcW w:type="dxa" w:w="1399"/>
          </w:tcPr>
          <w:p>
            <w:pPr>
              <w:spacing w:after="20" w:before="20"/>
            </w:pPr>
            <w:r>
              <w:rPr>
                <w:rFonts w:ascii="Calibri" w:hAnsi="Calibri" w:cs="Calibri"/>
                <w:b w:val="0"/>
                <w:sz w:val="20"/>
              </w:rPr>
              <w:t>Initial diagnostic culture.</w:t>
            </w:r>
          </w:p>
        </w:tc>
      </w:tr>
      <w:tr>
        <w:trPr>
          <w:cantSplit/>
        </w:trPr>
        <w:tc>
          <w:tcPr>
            <w:tcW w:type="dxa" w:w="1399"/>
          </w:tcPr>
          <w:p>
            <w:pPr>
              <w:spacing w:after="20" w:before="20"/>
            </w:pPr>
            <w:r>
              <w:rPr>
                <w:rFonts w:ascii="Calibri" w:hAnsi="Calibri" w:cs="Calibri"/>
                <w:b w:val="0"/>
                <w:sz w:val="20"/>
              </w:rPr>
              <w:t>inpatient</w:t>
            </w:r>
          </w:p>
        </w:tc>
        <w:tc>
          <w:tcPr>
            <w:tcW w:type="dxa" w:w="1399"/>
          </w:tcPr>
          <w:p>
            <w:pPr>
              <w:spacing w:after="20" w:before="20"/>
            </w:pPr>
            <w:r>
              <w:rPr>
                <w:rFonts w:ascii="Calibri" w:hAnsi="Calibri" w:cs="Calibri"/>
                <w:b w:val="0"/>
                <w:sz w:val="20"/>
              </w:rPr>
              <w:t>blood</w:t>
            </w:r>
          </w:p>
        </w:tc>
        <w:tc>
          <w:tcPr>
            <w:tcW w:type="dxa" w:w="1399"/>
          </w:tcPr>
          <w:p>
            <w:pPr>
              <w:spacing w:after="20" w:before="20"/>
            </w:pPr>
            <w:r>
              <w:rPr>
                <w:rFonts w:ascii="Calibri" w:hAnsi="Calibri" w:cs="Calibri"/>
                <w:b w:val="0"/>
                <w:sz w:val="20"/>
              </w:rPr>
              <w:t>blood culture</w:t>
            </w:r>
          </w:p>
        </w:tc>
        <w:tc>
          <w:tcPr>
            <w:tcW w:type="dxa" w:w="1399"/>
          </w:tcPr>
          <w:p>
            <w:pPr>
              <w:spacing w:after="20" w:before="20"/>
            </w:pPr>
            <w:r>
              <w:rPr>
                <w:rFonts w:ascii="Calibri" w:hAnsi="Calibri" w:cs="Calibri"/>
                <w:b w:val="0"/>
                <w:sz w:val="20"/>
              </w:rPr>
            </w:r>
          </w:p>
        </w:tc>
        <w:tc>
          <w:tcPr>
            <w:tcW w:type="dxa" w:w="1399"/>
          </w:tcPr>
          <w:p>
            <w:pPr>
              <w:spacing w:after="20" w:before="20"/>
            </w:pPr>
            <w:r>
              <w:rPr>
                <w:rFonts w:ascii="Calibri" w:hAnsi="Calibri" w:cs="Calibri"/>
                <w:b w:val="0"/>
                <w:sz w:val="20"/>
              </w:rPr>
              <w:t>no growth</w:t>
            </w:r>
          </w:p>
        </w:tc>
        <w:tc>
          <w:tcPr>
            <w:tcW w:type="dxa" w:w="1399"/>
          </w:tcPr>
          <w:p>
            <w:pPr>
              <w:spacing w:after="20" w:before="20"/>
            </w:pPr>
            <w:r>
              <w:rPr>
                <w:rFonts w:ascii="Calibri" w:hAnsi="Calibri" w:cs="Calibri"/>
                <w:b w:val="0"/>
                <w:sz w:val="20"/>
              </w:rPr>
              <w:t>final</w:t>
            </w:r>
          </w:p>
        </w:tc>
        <w:tc>
          <w:tcPr>
            <w:tcW w:type="dxa" w:w="1399"/>
          </w:tcPr>
          <w:p>
            <w:pPr>
              <w:spacing w:after="20" w:before="20"/>
            </w:pPr>
            <w:r>
              <w:rPr>
                <w:rFonts w:ascii="Calibri" w:hAnsi="Calibri" w:cs="Calibri"/>
                <w:b w:val="0"/>
                <w:sz w:val="20"/>
              </w:rPr>
              <w:t>Subsequent cultures cleared after treatment.</w:t>
            </w:r>
          </w:p>
        </w:tc>
      </w:tr>
    </w:tbl>
    <w:p>
      <w:pPr>
        <w:spacing w:after="40"/>
      </w:pPr>
    </w:p>
    <w:p>
      <w:pPr>
        <w:pStyle w:val="Heading2"/>
      </w:pPr>
      <w:r>
        <w:rPr>
          <w:rFonts w:ascii="Calibri" w:hAnsi="Calibri"/>
          <w:color w:val="1F3A5F"/>
        </w:rPr>
        <w:t>Devices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399"/>
            <w:shd w:val="clear" w:color="auto" w:fill="D9E2F3"/>
          </w:tcPr>
          <w:p>
            <w:pPr>
              <w:spacing w:after="20" w:before="20"/>
            </w:pPr>
            <w:r>
              <w:rPr>
                <w:rFonts w:ascii="Calibri" w:hAnsi="Calibri" w:cs="Calibri"/>
                <w:b/>
                <w:sz w:val="20"/>
              </w:rPr>
              <w:t>Device</w:t>
            </w:r>
          </w:p>
        </w:tc>
        <w:tc>
          <w:tcPr>
            <w:tcW w:type="dxa" w:w="1399"/>
            <w:shd w:val="clear" w:color="auto" w:fill="D9E2F3"/>
          </w:tcPr>
          <w:p>
            <w:pPr>
              <w:spacing w:after="20" w:before="20"/>
            </w:pPr>
            <w:r>
              <w:rPr>
                <w:rFonts w:ascii="Calibri" w:hAnsi="Calibri" w:cs="Calibri"/>
                <w:b/>
                <w:sz w:val="20"/>
              </w:rPr>
              <w:t>Site</w:t>
            </w:r>
          </w:p>
        </w:tc>
        <w:tc>
          <w:tcPr>
            <w:tcW w:type="dxa" w:w="1399"/>
            <w:shd w:val="clear" w:color="auto" w:fill="D9E2F3"/>
          </w:tcPr>
          <w:p>
            <w:pPr>
              <w:spacing w:after="20" w:before="20"/>
            </w:pPr>
            <w:r>
              <w:rPr>
                <w:rFonts w:ascii="Calibri" w:hAnsi="Calibri" w:cs="Calibri"/>
                <w:b/>
                <w:sz w:val="20"/>
              </w:rPr>
              <w:t>Placement</w:t>
            </w:r>
          </w:p>
        </w:tc>
        <w:tc>
          <w:tcPr>
            <w:tcW w:type="dxa" w:w="1399"/>
            <w:shd w:val="clear" w:color="auto" w:fill="D9E2F3"/>
          </w:tcPr>
          <w:p>
            <w:pPr>
              <w:spacing w:after="20" w:before="20"/>
            </w:pPr>
            <w:r>
              <w:rPr>
                <w:rFonts w:ascii="Calibri" w:hAnsi="Calibri" w:cs="Calibri"/>
                <w:b/>
                <w:sz w:val="20"/>
              </w:rPr>
              <w:t>Status</w:t>
            </w:r>
          </w:p>
        </w:tc>
        <w:tc>
          <w:tcPr>
            <w:tcW w:type="dxa" w:w="1399"/>
            <w:shd w:val="clear" w:color="auto" w:fill="D9E2F3"/>
          </w:tcPr>
          <w:p>
            <w:pPr>
              <w:spacing w:after="20" w:before="20"/>
            </w:pPr>
            <w:r>
              <w:rPr>
                <w:rFonts w:ascii="Calibri" w:hAnsi="Calibri" w:cs="Calibri"/>
                <w:b/>
                <w:sz w:val="20"/>
              </w:rPr>
              <w:t>Confirmation</w:t>
            </w:r>
          </w:p>
        </w:tc>
        <w:tc>
          <w:tcPr>
            <w:tcW w:type="dxa" w:w="1399"/>
            <w:shd w:val="clear" w:color="auto" w:fill="D9E2F3"/>
          </w:tcPr>
          <w:p>
            <w:pPr>
              <w:spacing w:after="20" w:before="20"/>
            </w:pPr>
            <w:r>
              <w:rPr>
                <w:rFonts w:ascii="Calibri" w:hAnsi="Calibri" w:cs="Calibri"/>
                <w:b/>
                <w:sz w:val="20"/>
              </w:rPr>
              <w:t>Care instructions</w:t>
            </w:r>
          </w:p>
        </w:tc>
        <w:tc>
          <w:tcPr>
            <w:tcW w:type="dxa" w:w="1399"/>
            <w:shd w:val="clear" w:color="auto" w:fill="D9E2F3"/>
          </w:tcPr>
          <w:p>
            <w:pPr>
              <w:spacing w:after="20" w:before="20"/>
            </w:pPr>
            <w:r>
              <w:rPr>
                <w:rFonts w:ascii="Calibri" w:hAnsi="Calibri" w:cs="Calibri"/>
                <w:b/>
                <w:sz w:val="20"/>
              </w:rPr>
              <w:t>Removal plan</w:t>
            </w:r>
          </w:p>
        </w:tc>
      </w:tr>
      <w:tr>
        <w:trPr>
          <w:cantSplit/>
        </w:trPr>
        <w:tc>
          <w:tcPr>
            <w:tcW w:type="dxa" w:w="1399"/>
          </w:tcPr>
          <w:p>
            <w:pPr>
              <w:spacing w:after="20" w:before="20"/>
            </w:pPr>
            <w:r>
              <w:rPr>
                <w:rFonts w:ascii="Calibri" w:hAnsi="Calibri" w:cs="Calibri"/>
                <w:b w:val="0"/>
                <w:sz w:val="20"/>
              </w:rPr>
              <w:t>PICC</w:t>
            </w:r>
          </w:p>
        </w:tc>
        <w:tc>
          <w:tcPr>
            <w:tcW w:type="dxa" w:w="1399"/>
          </w:tcPr>
          <w:p>
            <w:pPr>
              <w:spacing w:after="20" w:before="20"/>
            </w:pPr>
            <w:r>
              <w:rPr>
                <w:rFonts w:ascii="Calibri" w:hAnsi="Calibri" w:cs="Calibri"/>
                <w:b w:val="0"/>
                <w:sz w:val="20"/>
              </w:rPr>
              <w:t>right upper arm</w:t>
            </w:r>
          </w:p>
        </w:tc>
        <w:tc>
          <w:tcPr>
            <w:tcW w:type="dxa" w:w="1399"/>
          </w:tcPr>
          <w:p>
            <w:pPr>
              <w:spacing w:after="20" w:before="20"/>
            </w:pPr>
            <w:r>
              <w:rPr>
                <w:rFonts w:ascii="Calibri" w:hAnsi="Calibri" w:cs="Calibri"/>
                <w:b w:val="0"/>
                <w:sz w:val="20"/>
              </w:rPr>
              <w:t>inpatient</w:t>
            </w:r>
          </w:p>
        </w:tc>
        <w:tc>
          <w:tcPr>
            <w:tcW w:type="dxa" w:w="1399"/>
          </w:tcPr>
          <w:p>
            <w:pPr>
              <w:spacing w:after="20" w:before="20"/>
            </w:pPr>
            <w:r>
              <w:rPr>
                <w:rFonts w:ascii="Calibri" w:hAnsi="Calibri" w:cs="Calibri"/>
                <w:b w:val="0"/>
                <w:sz w:val="20"/>
              </w:rPr>
              <w:t>in place</w:t>
            </w:r>
          </w:p>
        </w:tc>
        <w:tc>
          <w:tcPr>
            <w:tcW w:type="dxa" w:w="1399"/>
          </w:tcPr>
          <w:p>
            <w:pPr>
              <w:spacing w:after="20" w:before="20"/>
            </w:pPr>
            <w:r>
              <w:rPr>
                <w:rFonts w:ascii="Calibri" w:hAnsi="Calibri" w:cs="Calibri"/>
                <w:b w:val="0"/>
                <w:sz w:val="20"/>
              </w:rPr>
              <w:t>Tip position confirmed on chest radiograph</w:t>
            </w:r>
          </w:p>
        </w:tc>
        <w:tc>
          <w:tcPr>
            <w:tcW w:type="dxa" w:w="1399"/>
          </w:tcPr>
          <w:p>
            <w:pPr>
              <w:spacing w:after="20" w:before="20"/>
            </w:pPr>
            <w:r>
              <w:rPr>
                <w:rFonts w:ascii="Calibri" w:hAnsi="Calibri" w:cs="Calibri"/>
                <w:b w:val="0"/>
                <w:sz w:val="20"/>
              </w:rPr>
              <w:t>Line precautions and weekly dressing changes</w:t>
            </w:r>
          </w:p>
        </w:tc>
        <w:tc>
          <w:tcPr>
            <w:tcW w:type="dxa" w:w="1399"/>
          </w:tcPr>
          <w:p>
            <w:pPr>
              <w:spacing w:after="20" w:before="20"/>
            </w:pPr>
            <w:r>
              <w:rPr>
                <w:rFonts w:ascii="Calibri" w:hAnsi="Calibri" w:cs="Calibri"/>
                <w:b w:val="0"/>
                <w:sz w:val="20"/>
              </w:rPr>
              <w:t>Remove after the planned parenteral course</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Nausea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5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5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53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Error-bearing</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Family 1</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Medication omitted at discharge (f1_omission)</w:t>
            </w:r>
          </w:p>
        </w:tc>
      </w:tr>
      <w:tr>
        <w:trPr>
          <w:cantSplit/>
        </w:trPr>
        <w:tc>
          <w:tcPr>
            <w:tcW w:type="dxa" w:w="3744"/>
          </w:tcPr>
          <w:p>
            <w:pPr>
              <w:spacing w:after="20" w:before="20"/>
            </w:pPr>
            <w:r>
              <w:rPr>
                <w:rFonts w:ascii="Calibri" w:hAnsi="Calibri" w:cs="Calibri"/>
                <w:b w:val="0"/>
                <w:sz w:val="20"/>
              </w:rPr>
              <w:t>Intended assessment target</w:t>
            </w:r>
          </w:p>
        </w:tc>
        <w:tc>
          <w:tcPr>
            <w:tcW w:type="dxa" w:w="6048"/>
          </w:tcPr>
          <w:p>
            <w:pPr>
              <w:spacing w:after="20" w:before="20"/>
            </w:pPr>
            <w:r>
              <w:rPr>
                <w:rFonts w:ascii="Calibri" w:hAnsi="Calibri" w:cs="Calibri"/>
                <w:b w:val="0"/>
                <w:sz w:val="20"/>
              </w:rPr>
              <w:t>A medication indicated at discharge was omitted from the discharge medication list.</w:t>
            </w:r>
          </w:p>
        </w:tc>
      </w:tr>
      <w:tr>
        <w:trPr>
          <w:cantSplit/>
        </w:trPr>
        <w:tc>
          <w:tcPr>
            <w:tcW w:type="dxa" w:w="3744"/>
          </w:tcPr>
          <w:p>
            <w:pPr>
              <w:spacing w:after="20" w:before="20"/>
            </w:pPr>
            <w:r>
              <w:rPr>
                <w:rFonts w:ascii="Calibri" w:hAnsi="Calibri" w:cs="Calibri"/>
                <w:b w:val="0"/>
                <w:sz w:val="20"/>
              </w:rPr>
              <w:t>Medication involved</w:t>
            </w:r>
          </w:p>
        </w:tc>
        <w:tc>
          <w:tcPr>
            <w:tcW w:type="dxa" w:w="6048"/>
          </w:tcPr>
          <w:p>
            <w:pPr>
              <w:spacing w:after="20" w:before="20"/>
            </w:pPr>
            <w:r>
              <w:rPr>
                <w:rFonts w:ascii="Calibri" w:hAnsi="Calibri" w:cs="Calibri"/>
                <w:b w:val="0"/>
                <w:sz w:val="20"/>
              </w:rPr>
              <w:t>ceftriaxone 2000 MG Injection</w:t>
            </w:r>
          </w:p>
        </w:tc>
      </w:tr>
      <w:tr>
        <w:trPr>
          <w:cantSplit/>
        </w:trPr>
        <w:tc>
          <w:tcPr>
            <w:tcW w:type="dxa" w:w="3744"/>
          </w:tcPr>
          <w:p>
            <w:pPr>
              <w:spacing w:after="20" w:before="20"/>
            </w:pPr>
            <w:r>
              <w:rPr>
                <w:rFonts w:ascii="Calibri" w:hAnsi="Calibri" w:cs="Calibri"/>
                <w:b w:val="0"/>
                <w:sz w:val="20"/>
              </w:rPr>
              <w:t>Clean expected state</w:t>
            </w:r>
          </w:p>
        </w:tc>
        <w:tc>
          <w:tcPr>
            <w:tcW w:type="dxa" w:w="6048"/>
          </w:tcPr>
          <w:p>
            <w:pPr>
              <w:spacing w:after="20" w:before="20"/>
            </w:pPr>
            <w:r>
              <w:rPr>
                <w:rFonts w:ascii="Calibri" w:hAnsi="Calibri" w:cs="Calibri"/>
                <w:b w:val="0"/>
                <w:sz w:val="20"/>
              </w:rPr>
              <w:t>Changed field: presence</w:t>
              <w:br/>
              <w:t>present</w:t>
              <w:br/>
              <w:t>Original clean state: dose: 2000 MG; drug: ceftriaxone 2000 MG Injection; frequency: once daily; monitoring: none; quantity or days: none; route: intravenous; rxcui: 1665046; status: discharge</w:t>
            </w:r>
          </w:p>
        </w:tc>
      </w:tr>
      <w:tr>
        <w:trPr>
          <w:cantSplit/>
        </w:trPr>
        <w:tc>
          <w:tcPr>
            <w:tcW w:type="dxa" w:w="3744"/>
          </w:tcPr>
          <w:p>
            <w:pPr>
              <w:spacing w:after="20" w:before="20"/>
            </w:pPr>
            <w:r>
              <w:rPr>
                <w:rFonts w:ascii="Calibri" w:hAnsi="Calibri" w:cs="Calibri"/>
                <w:b w:val="0"/>
                <w:sz w:val="20"/>
              </w:rPr>
              <w:t>What appears in this case</w:t>
            </w:r>
          </w:p>
        </w:tc>
        <w:tc>
          <w:tcPr>
            <w:tcW w:type="dxa" w:w="6048"/>
          </w:tcPr>
          <w:p>
            <w:pPr>
              <w:spacing w:after="20" w:before="20"/>
            </w:pPr>
            <w:r>
              <w:rPr>
                <w:rFonts w:ascii="Calibri" w:hAnsi="Calibri" w:cs="Calibri"/>
                <w:b w:val="0"/>
                <w:sz w:val="20"/>
              </w:rPr>
              <w:t>absent</w:t>
            </w:r>
          </w:p>
        </w:tc>
      </w:tr>
      <w:tr>
        <w:trPr>
          <w:cantSplit/>
        </w:trPr>
        <w:tc>
          <w:tcPr>
            <w:tcW w:type="dxa" w:w="3744"/>
          </w:tcPr>
          <w:p>
            <w:pPr>
              <w:spacing w:after="20" w:before="20"/>
            </w:pPr>
            <w:r>
              <w:rPr>
                <w:rFonts w:ascii="Calibri" w:hAnsi="Calibri" w:cs="Calibri"/>
                <w:b w:val="0"/>
                <w:sz w:val="20"/>
              </w:rPr>
              <w:t>Evidence available in the chart</w:t>
            </w:r>
          </w:p>
        </w:tc>
        <w:tc>
          <w:tcPr>
            <w:tcW w:type="dxa" w:w="6048"/>
          </w:tcPr>
          <w:p>
            <w:pPr>
              <w:spacing w:after="20" w:before="20"/>
            </w:pPr>
            <w:r>
              <w:rPr>
                <w:rFonts w:ascii="Calibri" w:hAnsi="Calibri" w:cs="Calibri"/>
                <w:b w:val="0"/>
                <w:sz w:val="20"/>
              </w:rPr>
              <w:t>Home/inpatient continuation of this medication with no stop rationale.</w:t>
              <w:br/>
              <w:t>Evidence location: Home medications, Medications during hospitalization, Discharge medications</w:t>
              <w:br/>
              <w:t>Detectability location: Discharge medications</w:t>
            </w:r>
          </w:p>
        </w:tc>
      </w:tr>
      <w:tr>
        <w:trPr>
          <w:cantSplit/>
        </w:trPr>
        <w:tc>
          <w:tcPr>
            <w:tcW w:type="dxa" w:w="3744"/>
          </w:tcPr>
          <w:p>
            <w:pPr>
              <w:spacing w:after="20" w:before="20"/>
            </w:pPr>
            <w:r>
              <w:rPr>
                <w:rFonts w:ascii="Calibri" w:hAnsi="Calibri" w:cs="Calibri"/>
                <w:b w:val="0"/>
                <w:sz w:val="20"/>
              </w:rPr>
              <w:t>Expected clinical action</w:t>
            </w:r>
          </w:p>
        </w:tc>
        <w:tc>
          <w:tcPr>
            <w:tcW w:type="dxa" w:w="6048"/>
          </w:tcPr>
          <w:p>
            <w:pPr>
              <w:spacing w:after="20" w:before="20"/>
            </w:pPr>
            <w:r>
              <w:rPr>
                <w:rFonts w:ascii="Calibri" w:hAnsi="Calibri" w:cs="Calibri"/>
                <w:b w:val="0"/>
                <w:sz w:val="20"/>
              </w:rPr>
              <w:t>Restore the omitted continued discharge medication.</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the clinical case actually contain the intended medication-reconciliation or transition-of-care problem described above, and does it match the intended category?</w:t>
      </w:r>
    </w:p>
    <w:p>
      <w:pPr>
        <w:keepLines/>
        <w:spacing w:before="80" w:after="160"/>
      </w:pPr>
      <w:sdt>
        <w:sdtPr>
          <w:rPr>
            <w:rFonts w:ascii="MS Gothic" w:hAnsi="MS Gothic" w:cs="MS Gothic" w:eastAsia="MS Gothic" w:hint="eastAsia"/>
            <w:sz w:val="28"/>
            <w:szCs w:val="28"/>
          </w:rPr>
          <w:alias w:val="C2 result"/>
          <w:tag w:val="c2-result"/>
          <w:id w:val="5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5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53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Could an internal-medicine resident identify and resolve the intended problem using only the clinical information provided in the patient-facing case?</w:t>
      </w:r>
    </w:p>
    <w:p>
      <w:pPr>
        <w:spacing w:after="120"/>
      </w:pPr>
      <w:r>
        <w:rPr>
          <w:rFonts w:ascii="Calibri" w:hAnsi="Calibri" w:cs="Calibri"/>
          <w:b w:val="0"/>
          <w:sz w:val="22"/>
        </w:rPr>
        <w:t>Consider whether the necessary evidence is present, whether key information is missing, whether the target is ambiguous, whether wording gives away the answer, and whether the expected clinical action can reasonably be determined.</w:t>
      </w:r>
    </w:p>
    <w:p>
      <w:pPr>
        <w:keepLines/>
        <w:spacing w:before="80" w:after="160"/>
      </w:pPr>
      <w:sdt>
        <w:sdtPr>
          <w:rPr>
            <w:rFonts w:ascii="MS Gothic" w:hAnsi="MS Gothic" w:cs="MS Gothic" w:eastAsia="MS Gothic" w:hint="eastAsia"/>
            <w:sz w:val="28"/>
            <w:szCs w:val="28"/>
          </w:rPr>
          <w:alias w:val="C3 result"/>
          <w:tag w:val="c3-result"/>
          <w:id w:val="5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5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53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Apart from the intended assessment problem, does the case contain another clinically meaningful medication-reconciliation or transition-of-care problem that a reasonable resident could interpret as an alternative target?</w:t>
      </w:r>
    </w:p>
    <w:p>
      <w:pPr>
        <w:keepLines/>
        <w:spacing w:before="80" w:after="160"/>
      </w:pPr>
      <w:sdt>
        <w:sdtPr>
          <w:rPr>
            <w:rFonts w:ascii="MS Gothic" w:hAnsi="MS Gothic" w:cs="MS Gothic" w:eastAsia="MS Gothic" w:hint="eastAsia"/>
            <w:sz w:val="28"/>
            <w:szCs w:val="28"/>
          </w:rPr>
          <w:alias w:val="C4 result"/>
          <w:tag w:val="c4-result"/>
          <w:id w:val="5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5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54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5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5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5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5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54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5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5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5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55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55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55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19"/>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VAL-811</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74</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87.000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infectious disease</w:t>
      </w:r>
    </w:p>
    <w:p>
      <w:pPr>
        <w:pStyle w:val="ListBullet"/>
        <w:spacing w:after="40" w:before="0"/>
      </w:pPr>
      <w:r>
        <w:rPr>
          <w:rFonts w:ascii="Calibri" w:hAnsi="Calibri" w:cs="Calibri"/>
          <w:b/>
          <w:sz w:val="22"/>
        </w:rPr>
        <w:t xml:space="preserve">Admission diagnosis: </w:t>
      </w:r>
      <w:r>
        <w:rPr>
          <w:rFonts w:ascii="Calibri" w:hAnsi="Calibri" w:cs="Calibri"/>
          <w:b w:val="0"/>
          <w:sz w:val="22"/>
        </w:rPr>
        <w:t>Acute and subacute infective endocarditis</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74-year-old Male with Acute and subacute infective endocarditis</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Nausea in the setting of Acute and subacute infective endocarditis</w:t>
      </w:r>
    </w:p>
    <w:p>
      <w:pPr>
        <w:pStyle w:val="ListBullet"/>
        <w:spacing w:after="40" w:before="0"/>
      </w:pPr>
      <w:r>
        <w:rPr>
          <w:rFonts w:ascii="Calibri" w:hAnsi="Calibri" w:cs="Calibri"/>
          <w:b/>
          <w:sz w:val="22"/>
        </w:rPr>
        <w:t xml:space="preserve">Symptoms: </w:t>
      </w:r>
      <w:r>
        <w:rPr>
          <w:rFonts w:ascii="Calibri" w:hAnsi="Calibri" w:cs="Calibri"/>
          <w:b w:val="0"/>
          <w:sz w:val="22"/>
        </w:rPr>
        <w:t>Nausea</w:t>
      </w:r>
    </w:p>
    <w:p>
      <w:pPr>
        <w:pStyle w:val="ListBullet"/>
        <w:spacing w:after="40" w:before="0"/>
      </w:pPr>
      <w:r>
        <w:rPr>
          <w:rFonts w:ascii="Calibri" w:hAnsi="Calibri" w:cs="Calibri"/>
          <w:b/>
          <w:sz w:val="22"/>
        </w:rPr>
        <w:t xml:space="preserve">Symptom duration: </w:t>
      </w:r>
      <w:r>
        <w:rPr>
          <w:rFonts w:ascii="Calibri" w:hAnsi="Calibri" w:cs="Calibri"/>
          <w:b w:val="0"/>
          <w:sz w:val="22"/>
        </w:rPr>
        <w:t>two days</w:t>
      </w:r>
    </w:p>
    <w:p>
      <w:pPr>
        <w:pStyle w:val="ListBullet"/>
        <w:spacing w:after="40" w:before="0"/>
      </w:pPr>
      <w:r>
        <w:rPr>
          <w:rFonts w:ascii="Calibri" w:hAnsi="Calibri" w:cs="Calibri"/>
          <w:b/>
          <w:sz w:val="22"/>
        </w:rPr>
        <w:t xml:space="preserve">Symptom course: </w:t>
      </w:r>
      <w:r>
        <w:rPr>
          <w:rFonts w:ascii="Calibri" w:hAnsi="Calibri" w:cs="Calibri"/>
          <w:b w:val="0"/>
          <w:sz w:val="22"/>
        </w:rPr>
        <w:t>persistent</w:t>
      </w:r>
    </w:p>
    <w:p>
      <w:pPr>
        <w:pStyle w:val="Heading3"/>
      </w:pPr>
      <w:r>
        <w:rPr>
          <w:rFonts w:ascii="Calibri" w:hAnsi="Calibri"/>
          <w:color w:val="1F3A5F"/>
        </w:rPr>
        <w:t>History of present illness</w:t>
      </w:r>
    </w:p>
    <w:p>
      <w:pPr>
        <w:spacing w:after="120"/>
      </w:pPr>
      <w:r>
        <w:rPr>
          <w:rFonts w:ascii="Calibri" w:hAnsi="Calibri" w:cs="Calibri"/>
          <w:b w:val="0"/>
          <w:sz w:val="22"/>
        </w:rPr>
        <w:t>A 74-year-old Male is admitted with Acute and subacute infective endocarditis. Presenting symptoms include Nausea, present for two days and persistent. Home medications include lisinopril 10 MG Oral Tablet, aspirin 81 MG Chewable Tablet, metformin hydrochloride 500 MG Oral Tablet. Started during this admission: ceftriaxone 2000 MG Injection. Admitted for endocarditis with a remaining outpatient parenteral course. Parenteral ceftriaxone is intended to continue after discharge until the planned end date. Infectious-disease follow-up is scheduled. Parenteral antimicrobial therapy was continued with a specified remaining duration, laboratory monitoring, and line precautions for discharge.</w:t>
      </w:r>
    </w:p>
    <w:p>
      <w:pPr>
        <w:pStyle w:val="Heading3"/>
      </w:pPr>
      <w:r>
        <w:rPr>
          <w:rFonts w:ascii="Calibri" w:hAnsi="Calibri"/>
          <w:color w:val="1F3A5F"/>
        </w:rPr>
        <w:t>Admission note</w:t>
      </w:r>
    </w:p>
    <w:p>
      <w:pPr>
        <w:spacing w:after="120"/>
      </w:pPr>
      <w:r>
        <w:rPr>
          <w:rFonts w:ascii="Calibri" w:hAnsi="Calibri" w:cs="Calibri"/>
          <w:b w:val="0"/>
          <w:sz w:val="22"/>
        </w:rPr>
        <w:t>Admission note for a 74-year-old Male with Acute and subacute infective endocarditis. Symptoms: Nausea for two days (persistent). Medications continued from home: lisinopril 10 MG Oral Tablet, aspirin 81 MG Chewable Tablet, metformin hydrochloride 500 MG Oral Tablet. Started during this admission: ceftriaxone 2000 MG Injection. Admitted for endocarditis with a remaining outpatient parenteral course. Parenteral ceftriaxone is intended to continue after discharge until the planned end date. Infectious-disease follow-up is scheduled. Parenteral antimicrobial therapy was continued with a specified remaining duration, laboratory monitoring, and line precautions for discharge.</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Essential (primary) hypertension, Type 2 diabetes mellitus without complications, Atherosclerotic heart disease of native coronary artery without angina pectoris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Acute and subacute infective endocarditis</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Atherosclerotic heart disease of native coronary artery without angina pectoris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Atherosclerotic heart disease of native coronary artery without angina pectoris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Acute and subacute infective endocarditis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Parenteral antimicrobial therapy was continued with a specified remaining duration, laboratory monitoring, and line precautions for discharge.</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139/88</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90</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94.00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111.0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0.8</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12.9</w:t>
            </w:r>
          </w:p>
        </w:tc>
        <w:tc>
          <w:tcPr>
            <w:tcW w:type="dxa" w:w="2160"/>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87.000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130/76</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67</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17</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137.0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12.4</w:t>
            </w:r>
          </w:p>
        </w:tc>
        <w:tc>
          <w:tcPr>
            <w:tcW w:type="dxa" w:w="2160"/>
          </w:tcPr>
          <w:p>
            <w:pPr>
              <w:spacing w:after="20" w:before="20"/>
            </w:pPr>
            <w:r>
              <w:rPr>
                <w:rFonts w:ascii="Calibri" w:hAnsi="Calibri" w:cs="Calibri"/>
                <w:b w:val="0"/>
                <w:sz w:val="20"/>
              </w:rPr>
              <w:t>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aspirin 81 MG Chewable Tablet</w:t>
            </w:r>
          </w:p>
        </w:tc>
        <w:tc>
          <w:tcPr>
            <w:tcW w:type="dxa" w:w="1224"/>
          </w:tcPr>
          <w:p>
            <w:pPr>
              <w:spacing w:after="20" w:before="20"/>
            </w:pPr>
            <w:r>
              <w:rPr>
                <w:rFonts w:ascii="Calibri" w:hAnsi="Calibri" w:cs="Calibri"/>
                <w:b w:val="0"/>
                <w:sz w:val="20"/>
              </w:rPr>
              <w:t>81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Atherosclerotic heart disease of native coronary artery without angina pectoris</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aspirin 81 MG Chewable Tablet</w:t>
            </w:r>
          </w:p>
        </w:tc>
        <w:tc>
          <w:tcPr>
            <w:tcW w:type="dxa" w:w="1224"/>
          </w:tcPr>
          <w:p>
            <w:pPr>
              <w:spacing w:after="20" w:before="20"/>
            </w:pPr>
            <w:r>
              <w:rPr>
                <w:rFonts w:ascii="Calibri" w:hAnsi="Calibri" w:cs="Calibri"/>
                <w:b w:val="0"/>
                <w:sz w:val="20"/>
              </w:rPr>
              <w:t>81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Atherosclerotic heart disease of native coronary artery without angina pectoris</w:t>
            </w:r>
          </w:p>
        </w:tc>
      </w:tr>
      <w:tr>
        <w:trPr>
          <w:cantSplit/>
        </w:trPr>
        <w:tc>
          <w:tcPr>
            <w:tcW w:type="dxa" w:w="3384"/>
          </w:tcPr>
          <w:p>
            <w:pPr>
              <w:spacing w:after="20" w:before="20"/>
            </w:pPr>
            <w:r>
              <w:rPr>
                <w:rFonts w:ascii="Calibri" w:hAnsi="Calibri" w:cs="Calibri"/>
                <w:b w:val="0"/>
                <w:sz w:val="20"/>
              </w:rPr>
              <w:t>ceftriaxone 2000 MG Injection</w:t>
            </w:r>
          </w:p>
        </w:tc>
        <w:tc>
          <w:tcPr>
            <w:tcW w:type="dxa" w:w="1224"/>
          </w:tcPr>
          <w:p>
            <w:pPr>
              <w:spacing w:after="20" w:before="20"/>
            </w:pPr>
            <w:r>
              <w:rPr>
                <w:rFonts w:ascii="Calibri" w:hAnsi="Calibri" w:cs="Calibri"/>
                <w:b w:val="0"/>
                <w:sz w:val="20"/>
              </w:rPr>
              <w:t>2000 MG</w:t>
            </w:r>
          </w:p>
        </w:tc>
        <w:tc>
          <w:tcPr>
            <w:tcW w:type="dxa" w:w="1152"/>
          </w:tcPr>
          <w:p>
            <w:pPr>
              <w:spacing w:after="20" w:before="20"/>
            </w:pPr>
            <w:r>
              <w:rPr>
                <w:rFonts w:ascii="Calibri" w:hAnsi="Calibri" w:cs="Calibri"/>
                <w:b w:val="0"/>
                <w:sz w:val="20"/>
              </w:rPr>
              <w:t>intravenous</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and subacute infective endocarditis; Note: Started during this admission.</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aspirin 81 MG Chewable Tablet</w:t>
            </w:r>
          </w:p>
        </w:tc>
        <w:tc>
          <w:tcPr>
            <w:tcW w:type="dxa" w:w="1224"/>
          </w:tcPr>
          <w:p>
            <w:pPr>
              <w:spacing w:after="20" w:before="20"/>
            </w:pPr>
            <w:r>
              <w:rPr>
                <w:rFonts w:ascii="Calibri" w:hAnsi="Calibri" w:cs="Calibri"/>
                <w:b w:val="0"/>
                <w:sz w:val="20"/>
              </w:rPr>
              <w:t>81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Atherosclerotic heart disease of native coronary artery without angina pectoris; Supply: 30 days</w:t>
            </w:r>
          </w:p>
        </w:tc>
      </w:tr>
      <w:tr>
        <w:trPr>
          <w:cantSplit/>
        </w:trPr>
        <w:tc>
          <w:tcPr>
            <w:tcW w:type="dxa" w:w="3384"/>
          </w:tcPr>
          <w:p>
            <w:pPr>
              <w:spacing w:after="20" w:before="20"/>
            </w:pPr>
            <w:r>
              <w:rPr>
                <w:rFonts w:ascii="Calibri" w:hAnsi="Calibri" w:cs="Calibri"/>
                <w:b w:val="0"/>
                <w:sz w:val="20"/>
              </w:rPr>
              <w:t>ceftriaxone 2000 MG Injection</w:t>
            </w:r>
          </w:p>
        </w:tc>
        <w:tc>
          <w:tcPr>
            <w:tcW w:type="dxa" w:w="1224"/>
          </w:tcPr>
          <w:p>
            <w:pPr>
              <w:spacing w:after="20" w:before="20"/>
            </w:pPr>
            <w:r>
              <w:rPr>
                <w:rFonts w:ascii="Calibri" w:hAnsi="Calibri" w:cs="Calibri"/>
                <w:b w:val="0"/>
                <w:sz w:val="20"/>
              </w:rPr>
              <w:t>2000 MG</w:t>
            </w:r>
          </w:p>
        </w:tc>
        <w:tc>
          <w:tcPr>
            <w:tcW w:type="dxa" w:w="1152"/>
          </w:tcPr>
          <w:p>
            <w:pPr>
              <w:spacing w:after="20" w:before="20"/>
            </w:pPr>
            <w:r>
              <w:rPr>
                <w:rFonts w:ascii="Calibri" w:hAnsi="Calibri" w:cs="Calibri"/>
                <w:b w:val="0"/>
                <w:sz w:val="20"/>
              </w:rPr>
              <w:t>intravenous</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and subacute infective endocarditis; Supply: 7 days; Note: Started during this admission.</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 Supply: 30 days</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 Supply: 30 days</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Parameter</w:t>
            </w:r>
          </w:p>
        </w:tc>
        <w:tc>
          <w:tcPr>
            <w:tcW w:type="dxa" w:w="3264"/>
            <w:shd w:val="clear" w:color="auto" w:fill="D9E2F3"/>
          </w:tcPr>
          <w:p>
            <w:pPr>
              <w:spacing w:after="20" w:before="20"/>
            </w:pPr>
            <w:r>
              <w:rPr>
                <w:rFonts w:ascii="Calibri" w:hAnsi="Calibri" w:cs="Calibri"/>
                <w:b/>
                <w:sz w:val="20"/>
              </w:rPr>
              <w:t>Frequency</w:t>
            </w:r>
          </w:p>
        </w:tc>
        <w:tc>
          <w:tcPr>
            <w:tcW w:type="dxa" w:w="3264"/>
            <w:shd w:val="clear" w:color="auto" w:fill="D9E2F3"/>
          </w:tcPr>
          <w:p>
            <w:pPr>
              <w:spacing w:after="20" w:before="20"/>
            </w:pPr>
            <w:r>
              <w:rPr>
                <w:rFonts w:ascii="Calibri" w:hAnsi="Calibri" w:cs="Calibri"/>
                <w:b/>
                <w:sz w:val="20"/>
              </w:rPr>
              <w:t>Responsible service</w:t>
            </w:r>
          </w:p>
        </w:tc>
      </w:tr>
      <w:tr>
        <w:trPr>
          <w:cantSplit/>
        </w:trPr>
        <w:tc>
          <w:tcPr>
            <w:tcW w:type="dxa" w:w="3264"/>
          </w:tcPr>
          <w:p>
            <w:pPr>
              <w:spacing w:after="20" w:before="20"/>
            </w:pPr>
            <w:r>
              <w:rPr>
                <w:rFonts w:ascii="Calibri" w:hAnsi="Calibri" w:cs="Calibri"/>
                <w:b w:val="0"/>
                <w:sz w:val="20"/>
              </w:rPr>
              <w:t>weekly complete blood count and creatinine during parenteral therapy</w:t>
            </w:r>
          </w:p>
        </w:tc>
        <w:tc>
          <w:tcPr>
            <w:tcW w:type="dxa" w:w="3264"/>
          </w:tcPr>
          <w:p>
            <w:pPr>
              <w:spacing w:after="20" w:before="20"/>
            </w:pPr>
            <w:r>
              <w:rPr>
                <w:rFonts w:ascii="Calibri" w:hAnsi="Calibri" w:cs="Calibri"/>
                <w:b w:val="0"/>
                <w:sz w:val="20"/>
              </w:rPr>
              <w:t>weekly</w:t>
            </w:r>
          </w:p>
        </w:tc>
        <w:tc>
          <w:tcPr>
            <w:tcW w:type="dxa" w:w="3264"/>
          </w:tcPr>
          <w:p>
            <w:pPr>
              <w:spacing w:after="20" w:before="20"/>
            </w:pPr>
            <w:r>
              <w:rPr>
                <w:rFonts w:ascii="Calibri" w:hAnsi="Calibri" w:cs="Calibri"/>
                <w:b w:val="0"/>
                <w:sz w:val="20"/>
              </w:rPr>
              <w:t>infectious disease</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Infectious-disease follow-up for remaining antibiotic duration</w:t>
            </w:r>
          </w:p>
        </w:tc>
        <w:tc>
          <w:tcPr>
            <w:tcW w:type="dxa" w:w="3264"/>
          </w:tcPr>
          <w:p>
            <w:pPr>
              <w:spacing w:after="20" w:before="20"/>
            </w:pPr>
            <w:r>
              <w:rPr>
                <w:rFonts w:ascii="Calibri" w:hAnsi="Calibri" w:cs="Calibri"/>
                <w:b w:val="0"/>
                <w:sz w:val="20"/>
              </w:rPr>
              <w:t>14 days</w:t>
            </w:r>
          </w:p>
        </w:tc>
        <w:tc>
          <w:tcPr>
            <w:tcW w:type="dxa" w:w="3264"/>
          </w:tcPr>
          <w:p>
            <w:pPr>
              <w:spacing w:after="20" w:before="20"/>
            </w:pPr>
            <w:r>
              <w:rPr>
                <w:rFonts w:ascii="Calibri" w:hAnsi="Calibri" w:cs="Calibri"/>
                <w:b w:val="0"/>
                <w:sz w:val="20"/>
              </w:rPr>
              <w:t>infectious disease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Transthoracic echocardiogram</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heart</w:t>
            </w:r>
          </w:p>
        </w:tc>
        <w:tc>
          <w:tcPr>
            <w:tcW w:type="dxa" w:w="2448"/>
          </w:tcPr>
          <w:p>
            <w:pPr>
              <w:spacing w:after="20" w:before="20"/>
            </w:pPr>
            <w:r>
              <w:rPr>
                <w:rFonts w:ascii="Calibri" w:hAnsi="Calibri" w:cs="Calibri"/>
                <w:b w:val="0"/>
                <w:sz w:val="20"/>
              </w:rPr>
              <w:t>Mobile echodensity consistent with a vegetation; ventricular function preserved.</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infectious disease</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Infectious-disease recommendations were recorded.</w:t>
            </w:r>
          </w:p>
        </w:tc>
        <w:tc>
          <w:tcPr>
            <w:tcW w:type="dxa" w:w="2448"/>
          </w:tcPr>
          <w:p>
            <w:pPr>
              <w:spacing w:after="20" w:before="20"/>
            </w:pPr>
            <w:r>
              <w:rPr>
                <w:rFonts w:ascii="Calibri" w:hAnsi="Calibri" w:cs="Calibri"/>
                <w:b w:val="0"/>
                <w:sz w:val="20"/>
              </w:rPr>
              <w:t>Complete the planned parenteral course with laboratory follow-up.</w:t>
            </w:r>
          </w:p>
        </w:tc>
      </w:tr>
    </w:tbl>
    <w:p>
      <w:pPr>
        <w:spacing w:after="40"/>
      </w:pPr>
    </w:p>
    <w:p>
      <w:pPr>
        <w:pStyle w:val="Heading2"/>
      </w:pPr>
      <w:r>
        <w:rPr>
          <w:rFonts w:ascii="Calibri" w:hAnsi="Calibri"/>
          <w:color w:val="1F3A5F"/>
        </w:rPr>
        <w:t>Microbiology</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399"/>
            <w:shd w:val="clear" w:color="auto" w:fill="D9E2F3"/>
          </w:tcPr>
          <w:p>
            <w:pPr>
              <w:spacing w:after="20" w:before="20"/>
            </w:pPr>
            <w:r>
              <w:rPr>
                <w:rFonts w:ascii="Calibri" w:hAnsi="Calibri" w:cs="Calibri"/>
                <w:b/>
                <w:sz w:val="20"/>
              </w:rPr>
              <w:t>Timepoint</w:t>
            </w:r>
          </w:p>
        </w:tc>
        <w:tc>
          <w:tcPr>
            <w:tcW w:type="dxa" w:w="1399"/>
            <w:shd w:val="clear" w:color="auto" w:fill="D9E2F3"/>
          </w:tcPr>
          <w:p>
            <w:pPr>
              <w:spacing w:after="20" w:before="20"/>
            </w:pPr>
            <w:r>
              <w:rPr>
                <w:rFonts w:ascii="Calibri" w:hAnsi="Calibri" w:cs="Calibri"/>
                <w:b/>
                <w:sz w:val="20"/>
              </w:rPr>
              <w:t>Specimen</w:t>
            </w:r>
          </w:p>
        </w:tc>
        <w:tc>
          <w:tcPr>
            <w:tcW w:type="dxa" w:w="1399"/>
            <w:shd w:val="clear" w:color="auto" w:fill="D9E2F3"/>
          </w:tcPr>
          <w:p>
            <w:pPr>
              <w:spacing w:after="20" w:before="20"/>
            </w:pPr>
            <w:r>
              <w:rPr>
                <w:rFonts w:ascii="Calibri" w:hAnsi="Calibri" w:cs="Calibri"/>
                <w:b/>
                <w:sz w:val="20"/>
              </w:rPr>
              <w:t>Test</w:t>
            </w:r>
          </w:p>
        </w:tc>
        <w:tc>
          <w:tcPr>
            <w:tcW w:type="dxa" w:w="1399"/>
            <w:shd w:val="clear" w:color="auto" w:fill="D9E2F3"/>
          </w:tcPr>
          <w:p>
            <w:pPr>
              <w:spacing w:after="20" w:before="20"/>
            </w:pPr>
            <w:r>
              <w:rPr>
                <w:rFonts w:ascii="Calibri" w:hAnsi="Calibri" w:cs="Calibri"/>
                <w:b/>
                <w:sz w:val="20"/>
              </w:rPr>
              <w:t>Organism</w:t>
            </w:r>
          </w:p>
        </w:tc>
        <w:tc>
          <w:tcPr>
            <w:tcW w:type="dxa" w:w="1399"/>
            <w:shd w:val="clear" w:color="auto" w:fill="D9E2F3"/>
          </w:tcPr>
          <w:p>
            <w:pPr>
              <w:spacing w:after="20" w:before="20"/>
            </w:pPr>
            <w:r>
              <w:rPr>
                <w:rFonts w:ascii="Calibri" w:hAnsi="Calibri" w:cs="Calibri"/>
                <w:b/>
                <w:sz w:val="20"/>
              </w:rPr>
              <w:t>Result</w:t>
            </w:r>
          </w:p>
        </w:tc>
        <w:tc>
          <w:tcPr>
            <w:tcW w:type="dxa" w:w="1399"/>
            <w:shd w:val="clear" w:color="auto" w:fill="D9E2F3"/>
          </w:tcPr>
          <w:p>
            <w:pPr>
              <w:spacing w:after="20" w:before="20"/>
            </w:pPr>
            <w:r>
              <w:rPr>
                <w:rFonts w:ascii="Calibri" w:hAnsi="Calibri" w:cs="Calibri"/>
                <w:b/>
                <w:sz w:val="20"/>
              </w:rPr>
              <w:t>Status</w:t>
            </w:r>
          </w:p>
        </w:tc>
        <w:tc>
          <w:tcPr>
            <w:tcW w:type="dxa" w:w="1399"/>
            <w:shd w:val="clear" w:color="auto" w:fill="D9E2F3"/>
          </w:tcPr>
          <w:p>
            <w:pPr>
              <w:spacing w:after="20" w:before="20"/>
            </w:pPr>
            <w:r>
              <w:rPr>
                <w:rFonts w:ascii="Calibri" w:hAnsi="Calibri" w:cs="Calibri"/>
                <w:b/>
                <w:sz w:val="20"/>
              </w:rPr>
              <w:t>Notes</w:t>
            </w:r>
          </w:p>
        </w:tc>
      </w:tr>
      <w:tr>
        <w:trPr>
          <w:cantSplit/>
        </w:trPr>
        <w:tc>
          <w:tcPr>
            <w:tcW w:type="dxa" w:w="1399"/>
          </w:tcPr>
          <w:p>
            <w:pPr>
              <w:spacing w:after="20" w:before="20"/>
            </w:pPr>
            <w:r>
              <w:rPr>
                <w:rFonts w:ascii="Calibri" w:hAnsi="Calibri" w:cs="Calibri"/>
                <w:b w:val="0"/>
                <w:sz w:val="20"/>
              </w:rPr>
              <w:t>admission</w:t>
            </w:r>
          </w:p>
        </w:tc>
        <w:tc>
          <w:tcPr>
            <w:tcW w:type="dxa" w:w="1399"/>
          </w:tcPr>
          <w:p>
            <w:pPr>
              <w:spacing w:after="20" w:before="20"/>
            </w:pPr>
            <w:r>
              <w:rPr>
                <w:rFonts w:ascii="Calibri" w:hAnsi="Calibri" w:cs="Calibri"/>
                <w:b w:val="0"/>
                <w:sz w:val="20"/>
              </w:rPr>
              <w:t>blood</w:t>
            </w:r>
          </w:p>
        </w:tc>
        <w:tc>
          <w:tcPr>
            <w:tcW w:type="dxa" w:w="1399"/>
          </w:tcPr>
          <w:p>
            <w:pPr>
              <w:spacing w:after="20" w:before="20"/>
            </w:pPr>
            <w:r>
              <w:rPr>
                <w:rFonts w:ascii="Calibri" w:hAnsi="Calibri" w:cs="Calibri"/>
                <w:b w:val="0"/>
                <w:sz w:val="20"/>
              </w:rPr>
              <w:t>blood culture</w:t>
            </w:r>
          </w:p>
        </w:tc>
        <w:tc>
          <w:tcPr>
            <w:tcW w:type="dxa" w:w="1399"/>
          </w:tcPr>
          <w:p>
            <w:pPr>
              <w:spacing w:after="20" w:before="20"/>
            </w:pPr>
            <w:r>
              <w:rPr>
                <w:rFonts w:ascii="Calibri" w:hAnsi="Calibri" w:cs="Calibri"/>
                <w:b w:val="0"/>
                <w:sz w:val="20"/>
              </w:rPr>
              <w:t>gram-positive cocci</w:t>
            </w:r>
          </w:p>
        </w:tc>
        <w:tc>
          <w:tcPr>
            <w:tcW w:type="dxa" w:w="1399"/>
          </w:tcPr>
          <w:p>
            <w:pPr>
              <w:spacing w:after="20" w:before="20"/>
            </w:pPr>
            <w:r>
              <w:rPr>
                <w:rFonts w:ascii="Calibri" w:hAnsi="Calibri" w:cs="Calibri"/>
                <w:b w:val="0"/>
                <w:sz w:val="20"/>
              </w:rPr>
              <w:t>growth</w:t>
            </w:r>
          </w:p>
        </w:tc>
        <w:tc>
          <w:tcPr>
            <w:tcW w:type="dxa" w:w="1399"/>
          </w:tcPr>
          <w:p>
            <w:pPr>
              <w:spacing w:after="20" w:before="20"/>
            </w:pPr>
            <w:r>
              <w:rPr>
                <w:rFonts w:ascii="Calibri" w:hAnsi="Calibri" w:cs="Calibri"/>
                <w:b w:val="0"/>
                <w:sz w:val="20"/>
              </w:rPr>
              <w:t>final</w:t>
            </w:r>
          </w:p>
        </w:tc>
        <w:tc>
          <w:tcPr>
            <w:tcW w:type="dxa" w:w="1399"/>
          </w:tcPr>
          <w:p>
            <w:pPr>
              <w:spacing w:after="20" w:before="20"/>
            </w:pPr>
            <w:r>
              <w:rPr>
                <w:rFonts w:ascii="Calibri" w:hAnsi="Calibri" w:cs="Calibri"/>
                <w:b w:val="0"/>
                <w:sz w:val="20"/>
              </w:rPr>
              <w:t>Initial diagnostic culture.</w:t>
            </w:r>
          </w:p>
        </w:tc>
      </w:tr>
      <w:tr>
        <w:trPr>
          <w:cantSplit/>
        </w:trPr>
        <w:tc>
          <w:tcPr>
            <w:tcW w:type="dxa" w:w="1399"/>
          </w:tcPr>
          <w:p>
            <w:pPr>
              <w:spacing w:after="20" w:before="20"/>
            </w:pPr>
            <w:r>
              <w:rPr>
                <w:rFonts w:ascii="Calibri" w:hAnsi="Calibri" w:cs="Calibri"/>
                <w:b w:val="0"/>
                <w:sz w:val="20"/>
              </w:rPr>
              <w:t>inpatient</w:t>
            </w:r>
          </w:p>
        </w:tc>
        <w:tc>
          <w:tcPr>
            <w:tcW w:type="dxa" w:w="1399"/>
          </w:tcPr>
          <w:p>
            <w:pPr>
              <w:spacing w:after="20" w:before="20"/>
            </w:pPr>
            <w:r>
              <w:rPr>
                <w:rFonts w:ascii="Calibri" w:hAnsi="Calibri" w:cs="Calibri"/>
                <w:b w:val="0"/>
                <w:sz w:val="20"/>
              </w:rPr>
              <w:t>blood</w:t>
            </w:r>
          </w:p>
        </w:tc>
        <w:tc>
          <w:tcPr>
            <w:tcW w:type="dxa" w:w="1399"/>
          </w:tcPr>
          <w:p>
            <w:pPr>
              <w:spacing w:after="20" w:before="20"/>
            </w:pPr>
            <w:r>
              <w:rPr>
                <w:rFonts w:ascii="Calibri" w:hAnsi="Calibri" w:cs="Calibri"/>
                <w:b w:val="0"/>
                <w:sz w:val="20"/>
              </w:rPr>
              <w:t>blood culture</w:t>
            </w:r>
          </w:p>
        </w:tc>
        <w:tc>
          <w:tcPr>
            <w:tcW w:type="dxa" w:w="1399"/>
          </w:tcPr>
          <w:p>
            <w:pPr>
              <w:spacing w:after="20" w:before="20"/>
            </w:pPr>
            <w:r>
              <w:rPr>
                <w:rFonts w:ascii="Calibri" w:hAnsi="Calibri" w:cs="Calibri"/>
                <w:b w:val="0"/>
                <w:sz w:val="20"/>
              </w:rPr>
            </w:r>
          </w:p>
        </w:tc>
        <w:tc>
          <w:tcPr>
            <w:tcW w:type="dxa" w:w="1399"/>
          </w:tcPr>
          <w:p>
            <w:pPr>
              <w:spacing w:after="20" w:before="20"/>
            </w:pPr>
            <w:r>
              <w:rPr>
                <w:rFonts w:ascii="Calibri" w:hAnsi="Calibri" w:cs="Calibri"/>
                <w:b w:val="0"/>
                <w:sz w:val="20"/>
              </w:rPr>
              <w:t>no growth</w:t>
            </w:r>
          </w:p>
        </w:tc>
        <w:tc>
          <w:tcPr>
            <w:tcW w:type="dxa" w:w="1399"/>
          </w:tcPr>
          <w:p>
            <w:pPr>
              <w:spacing w:after="20" w:before="20"/>
            </w:pPr>
            <w:r>
              <w:rPr>
                <w:rFonts w:ascii="Calibri" w:hAnsi="Calibri" w:cs="Calibri"/>
                <w:b w:val="0"/>
                <w:sz w:val="20"/>
              </w:rPr>
              <w:t>final</w:t>
            </w:r>
          </w:p>
        </w:tc>
        <w:tc>
          <w:tcPr>
            <w:tcW w:type="dxa" w:w="1399"/>
          </w:tcPr>
          <w:p>
            <w:pPr>
              <w:spacing w:after="20" w:before="20"/>
            </w:pPr>
            <w:r>
              <w:rPr>
                <w:rFonts w:ascii="Calibri" w:hAnsi="Calibri" w:cs="Calibri"/>
                <w:b w:val="0"/>
                <w:sz w:val="20"/>
              </w:rPr>
              <w:t>Subsequent cultures cleared after treatment.</w:t>
            </w:r>
          </w:p>
        </w:tc>
      </w:tr>
    </w:tbl>
    <w:p>
      <w:pPr>
        <w:spacing w:after="40"/>
      </w:pPr>
    </w:p>
    <w:p>
      <w:pPr>
        <w:pStyle w:val="Heading2"/>
      </w:pPr>
      <w:r>
        <w:rPr>
          <w:rFonts w:ascii="Calibri" w:hAnsi="Calibri"/>
          <w:color w:val="1F3A5F"/>
        </w:rPr>
        <w:t>Devices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399"/>
            <w:shd w:val="clear" w:color="auto" w:fill="D9E2F3"/>
          </w:tcPr>
          <w:p>
            <w:pPr>
              <w:spacing w:after="20" w:before="20"/>
            </w:pPr>
            <w:r>
              <w:rPr>
                <w:rFonts w:ascii="Calibri" w:hAnsi="Calibri" w:cs="Calibri"/>
                <w:b/>
                <w:sz w:val="20"/>
              </w:rPr>
              <w:t>Device</w:t>
            </w:r>
          </w:p>
        </w:tc>
        <w:tc>
          <w:tcPr>
            <w:tcW w:type="dxa" w:w="1399"/>
            <w:shd w:val="clear" w:color="auto" w:fill="D9E2F3"/>
          </w:tcPr>
          <w:p>
            <w:pPr>
              <w:spacing w:after="20" w:before="20"/>
            </w:pPr>
            <w:r>
              <w:rPr>
                <w:rFonts w:ascii="Calibri" w:hAnsi="Calibri" w:cs="Calibri"/>
                <w:b/>
                <w:sz w:val="20"/>
              </w:rPr>
              <w:t>Site</w:t>
            </w:r>
          </w:p>
        </w:tc>
        <w:tc>
          <w:tcPr>
            <w:tcW w:type="dxa" w:w="1399"/>
            <w:shd w:val="clear" w:color="auto" w:fill="D9E2F3"/>
          </w:tcPr>
          <w:p>
            <w:pPr>
              <w:spacing w:after="20" w:before="20"/>
            </w:pPr>
            <w:r>
              <w:rPr>
                <w:rFonts w:ascii="Calibri" w:hAnsi="Calibri" w:cs="Calibri"/>
                <w:b/>
                <w:sz w:val="20"/>
              </w:rPr>
              <w:t>Placement</w:t>
            </w:r>
          </w:p>
        </w:tc>
        <w:tc>
          <w:tcPr>
            <w:tcW w:type="dxa" w:w="1399"/>
            <w:shd w:val="clear" w:color="auto" w:fill="D9E2F3"/>
          </w:tcPr>
          <w:p>
            <w:pPr>
              <w:spacing w:after="20" w:before="20"/>
            </w:pPr>
            <w:r>
              <w:rPr>
                <w:rFonts w:ascii="Calibri" w:hAnsi="Calibri" w:cs="Calibri"/>
                <w:b/>
                <w:sz w:val="20"/>
              </w:rPr>
              <w:t>Status</w:t>
            </w:r>
          </w:p>
        </w:tc>
        <w:tc>
          <w:tcPr>
            <w:tcW w:type="dxa" w:w="1399"/>
            <w:shd w:val="clear" w:color="auto" w:fill="D9E2F3"/>
          </w:tcPr>
          <w:p>
            <w:pPr>
              <w:spacing w:after="20" w:before="20"/>
            </w:pPr>
            <w:r>
              <w:rPr>
                <w:rFonts w:ascii="Calibri" w:hAnsi="Calibri" w:cs="Calibri"/>
                <w:b/>
                <w:sz w:val="20"/>
              </w:rPr>
              <w:t>Confirmation</w:t>
            </w:r>
          </w:p>
        </w:tc>
        <w:tc>
          <w:tcPr>
            <w:tcW w:type="dxa" w:w="1399"/>
            <w:shd w:val="clear" w:color="auto" w:fill="D9E2F3"/>
          </w:tcPr>
          <w:p>
            <w:pPr>
              <w:spacing w:after="20" w:before="20"/>
            </w:pPr>
            <w:r>
              <w:rPr>
                <w:rFonts w:ascii="Calibri" w:hAnsi="Calibri" w:cs="Calibri"/>
                <w:b/>
                <w:sz w:val="20"/>
              </w:rPr>
              <w:t>Care instructions</w:t>
            </w:r>
          </w:p>
        </w:tc>
        <w:tc>
          <w:tcPr>
            <w:tcW w:type="dxa" w:w="1399"/>
            <w:shd w:val="clear" w:color="auto" w:fill="D9E2F3"/>
          </w:tcPr>
          <w:p>
            <w:pPr>
              <w:spacing w:after="20" w:before="20"/>
            </w:pPr>
            <w:r>
              <w:rPr>
                <w:rFonts w:ascii="Calibri" w:hAnsi="Calibri" w:cs="Calibri"/>
                <w:b/>
                <w:sz w:val="20"/>
              </w:rPr>
              <w:t>Removal plan</w:t>
            </w:r>
          </w:p>
        </w:tc>
      </w:tr>
      <w:tr>
        <w:trPr>
          <w:cantSplit/>
        </w:trPr>
        <w:tc>
          <w:tcPr>
            <w:tcW w:type="dxa" w:w="1399"/>
          </w:tcPr>
          <w:p>
            <w:pPr>
              <w:spacing w:after="20" w:before="20"/>
            </w:pPr>
            <w:r>
              <w:rPr>
                <w:rFonts w:ascii="Calibri" w:hAnsi="Calibri" w:cs="Calibri"/>
                <w:b w:val="0"/>
                <w:sz w:val="20"/>
              </w:rPr>
              <w:t>PICC</w:t>
            </w:r>
          </w:p>
        </w:tc>
        <w:tc>
          <w:tcPr>
            <w:tcW w:type="dxa" w:w="1399"/>
          </w:tcPr>
          <w:p>
            <w:pPr>
              <w:spacing w:after="20" w:before="20"/>
            </w:pPr>
            <w:r>
              <w:rPr>
                <w:rFonts w:ascii="Calibri" w:hAnsi="Calibri" w:cs="Calibri"/>
                <w:b w:val="0"/>
                <w:sz w:val="20"/>
              </w:rPr>
              <w:t>right upper arm</w:t>
            </w:r>
          </w:p>
        </w:tc>
        <w:tc>
          <w:tcPr>
            <w:tcW w:type="dxa" w:w="1399"/>
          </w:tcPr>
          <w:p>
            <w:pPr>
              <w:spacing w:after="20" w:before="20"/>
            </w:pPr>
            <w:r>
              <w:rPr>
                <w:rFonts w:ascii="Calibri" w:hAnsi="Calibri" w:cs="Calibri"/>
                <w:b w:val="0"/>
                <w:sz w:val="20"/>
              </w:rPr>
              <w:t>inpatient</w:t>
            </w:r>
          </w:p>
        </w:tc>
        <w:tc>
          <w:tcPr>
            <w:tcW w:type="dxa" w:w="1399"/>
          </w:tcPr>
          <w:p>
            <w:pPr>
              <w:spacing w:after="20" w:before="20"/>
            </w:pPr>
            <w:r>
              <w:rPr>
                <w:rFonts w:ascii="Calibri" w:hAnsi="Calibri" w:cs="Calibri"/>
                <w:b w:val="0"/>
                <w:sz w:val="20"/>
              </w:rPr>
              <w:t>in place</w:t>
            </w:r>
          </w:p>
        </w:tc>
        <w:tc>
          <w:tcPr>
            <w:tcW w:type="dxa" w:w="1399"/>
          </w:tcPr>
          <w:p>
            <w:pPr>
              <w:spacing w:after="20" w:before="20"/>
            </w:pPr>
            <w:r>
              <w:rPr>
                <w:rFonts w:ascii="Calibri" w:hAnsi="Calibri" w:cs="Calibri"/>
                <w:b w:val="0"/>
                <w:sz w:val="20"/>
              </w:rPr>
              <w:t>Tip position confirmed on chest radiograph</w:t>
            </w:r>
          </w:p>
        </w:tc>
        <w:tc>
          <w:tcPr>
            <w:tcW w:type="dxa" w:w="1399"/>
          </w:tcPr>
          <w:p>
            <w:pPr>
              <w:spacing w:after="20" w:before="20"/>
            </w:pPr>
            <w:r>
              <w:rPr>
                <w:rFonts w:ascii="Calibri" w:hAnsi="Calibri" w:cs="Calibri"/>
                <w:b w:val="0"/>
                <w:sz w:val="20"/>
              </w:rPr>
              <w:t>Line precautions and weekly dressing changes</w:t>
            </w:r>
          </w:p>
        </w:tc>
        <w:tc>
          <w:tcPr>
            <w:tcW w:type="dxa" w:w="1399"/>
          </w:tcPr>
          <w:p>
            <w:pPr>
              <w:spacing w:after="20" w:before="20"/>
            </w:pPr>
            <w:r>
              <w:rPr>
                <w:rFonts w:ascii="Calibri" w:hAnsi="Calibri" w:cs="Calibri"/>
                <w:b w:val="0"/>
                <w:sz w:val="20"/>
              </w:rPr>
              <w:t>Remove after the planned parenteral course</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Nausea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5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5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58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Error-bearing</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Family 2</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Insufficient medication supply (f2_insufficient_supply)</w:t>
            </w:r>
          </w:p>
        </w:tc>
      </w:tr>
      <w:tr>
        <w:trPr>
          <w:cantSplit/>
        </w:trPr>
        <w:tc>
          <w:tcPr>
            <w:tcW w:type="dxa" w:w="3744"/>
          </w:tcPr>
          <w:p>
            <w:pPr>
              <w:spacing w:after="20" w:before="20"/>
            </w:pPr>
            <w:r>
              <w:rPr>
                <w:rFonts w:ascii="Calibri" w:hAnsi="Calibri" w:cs="Calibri"/>
                <w:b w:val="0"/>
                <w:sz w:val="20"/>
              </w:rPr>
              <w:t>Intended assessment target</w:t>
            </w:r>
          </w:p>
        </w:tc>
        <w:tc>
          <w:tcPr>
            <w:tcW w:type="dxa" w:w="6048"/>
          </w:tcPr>
          <w:p>
            <w:pPr>
              <w:spacing w:after="20" w:before="20"/>
            </w:pPr>
            <w:r>
              <w:rPr>
                <w:rFonts w:ascii="Calibri" w:hAnsi="Calibri" w:cs="Calibri"/>
                <w:b w:val="0"/>
                <w:sz w:val="20"/>
              </w:rPr>
              <w:t>The prescribed quantity or days' supply is insufficient to cover the patient until the planned follow-up.</w:t>
            </w:r>
          </w:p>
        </w:tc>
      </w:tr>
      <w:tr>
        <w:trPr>
          <w:cantSplit/>
        </w:trPr>
        <w:tc>
          <w:tcPr>
            <w:tcW w:type="dxa" w:w="3744"/>
          </w:tcPr>
          <w:p>
            <w:pPr>
              <w:spacing w:after="20" w:before="20"/>
            </w:pPr>
            <w:r>
              <w:rPr>
                <w:rFonts w:ascii="Calibri" w:hAnsi="Calibri" w:cs="Calibri"/>
                <w:b w:val="0"/>
                <w:sz w:val="20"/>
              </w:rPr>
              <w:t>Medication involved</w:t>
            </w:r>
          </w:p>
        </w:tc>
        <w:tc>
          <w:tcPr>
            <w:tcW w:type="dxa" w:w="6048"/>
          </w:tcPr>
          <w:p>
            <w:pPr>
              <w:spacing w:after="20" w:before="20"/>
            </w:pPr>
            <w:r>
              <w:rPr>
                <w:rFonts w:ascii="Calibri" w:hAnsi="Calibri" w:cs="Calibri"/>
                <w:b w:val="0"/>
                <w:sz w:val="20"/>
              </w:rPr>
              <w:t>ceftriaxone 2000 MG Injection</w:t>
            </w:r>
          </w:p>
        </w:tc>
      </w:tr>
      <w:tr>
        <w:trPr>
          <w:cantSplit/>
        </w:trPr>
        <w:tc>
          <w:tcPr>
            <w:tcW w:type="dxa" w:w="3744"/>
          </w:tcPr>
          <w:p>
            <w:pPr>
              <w:spacing w:after="20" w:before="20"/>
            </w:pPr>
            <w:r>
              <w:rPr>
                <w:rFonts w:ascii="Calibri" w:hAnsi="Calibri" w:cs="Calibri"/>
                <w:b w:val="0"/>
                <w:sz w:val="20"/>
              </w:rPr>
              <w:t>Clean expected state</w:t>
            </w:r>
          </w:p>
        </w:tc>
        <w:tc>
          <w:tcPr>
            <w:tcW w:type="dxa" w:w="6048"/>
          </w:tcPr>
          <w:p>
            <w:pPr>
              <w:spacing w:after="20" w:before="20"/>
            </w:pPr>
            <w:r>
              <w:rPr>
                <w:rFonts w:ascii="Calibri" w:hAnsi="Calibri" w:cs="Calibri"/>
                <w:b w:val="0"/>
                <w:sz w:val="20"/>
              </w:rPr>
              <w:t>Changed field: quantity_or_days</w:t>
              <w:br/>
              <w:t>30 days</w:t>
            </w:r>
          </w:p>
        </w:tc>
      </w:tr>
      <w:tr>
        <w:trPr>
          <w:cantSplit/>
        </w:trPr>
        <w:tc>
          <w:tcPr>
            <w:tcW w:type="dxa" w:w="3744"/>
          </w:tcPr>
          <w:p>
            <w:pPr>
              <w:spacing w:after="20" w:before="20"/>
            </w:pPr>
            <w:r>
              <w:rPr>
                <w:rFonts w:ascii="Calibri" w:hAnsi="Calibri" w:cs="Calibri"/>
                <w:b w:val="0"/>
                <w:sz w:val="20"/>
              </w:rPr>
              <w:t>What appears in this case</w:t>
            </w:r>
          </w:p>
        </w:tc>
        <w:tc>
          <w:tcPr>
            <w:tcW w:type="dxa" w:w="6048"/>
          </w:tcPr>
          <w:p>
            <w:pPr>
              <w:spacing w:after="20" w:before="20"/>
            </w:pPr>
            <w:r>
              <w:rPr>
                <w:rFonts w:ascii="Calibri" w:hAnsi="Calibri" w:cs="Calibri"/>
                <w:b w:val="0"/>
                <w:sz w:val="20"/>
              </w:rPr>
              <w:t>7 days</w:t>
            </w:r>
          </w:p>
        </w:tc>
      </w:tr>
      <w:tr>
        <w:trPr>
          <w:cantSplit/>
        </w:trPr>
        <w:tc>
          <w:tcPr>
            <w:tcW w:type="dxa" w:w="3744"/>
          </w:tcPr>
          <w:p>
            <w:pPr>
              <w:spacing w:after="20" w:before="20"/>
            </w:pPr>
            <w:r>
              <w:rPr>
                <w:rFonts w:ascii="Calibri" w:hAnsi="Calibri" w:cs="Calibri"/>
                <w:b w:val="0"/>
                <w:sz w:val="20"/>
              </w:rPr>
              <w:t>Evidence available in the chart</w:t>
            </w:r>
          </w:p>
        </w:tc>
        <w:tc>
          <w:tcPr>
            <w:tcW w:type="dxa" w:w="6048"/>
          </w:tcPr>
          <w:p>
            <w:pPr>
              <w:spacing w:after="20" w:before="20"/>
            </w:pPr>
            <w:r>
              <w:rPr>
                <w:rFonts w:ascii="Calibri" w:hAnsi="Calibri" w:cs="Calibri"/>
                <w:b w:val="0"/>
                <w:sz w:val="20"/>
              </w:rPr>
              <w:t>Days' supply must cover the scheduled follow-up or treatment endpoint.</w:t>
              <w:br/>
              <w:t>Evidence location: Follow-up appointments, discharge medications.quantity or days</w:t>
              <w:br/>
              <w:t>Detectability location: discharge medications.quantity or days</w:t>
            </w:r>
          </w:p>
        </w:tc>
      </w:tr>
      <w:tr>
        <w:trPr>
          <w:cantSplit/>
        </w:trPr>
        <w:tc>
          <w:tcPr>
            <w:tcW w:type="dxa" w:w="3744"/>
          </w:tcPr>
          <w:p>
            <w:pPr>
              <w:spacing w:after="20" w:before="20"/>
            </w:pPr>
            <w:r>
              <w:rPr>
                <w:rFonts w:ascii="Calibri" w:hAnsi="Calibri" w:cs="Calibri"/>
                <w:b w:val="0"/>
                <w:sz w:val="20"/>
              </w:rPr>
              <w:t>Expected clinical action</w:t>
            </w:r>
          </w:p>
        </w:tc>
        <w:tc>
          <w:tcPr>
            <w:tcW w:type="dxa" w:w="6048"/>
          </w:tcPr>
          <w:p>
            <w:pPr>
              <w:spacing w:after="20" w:before="20"/>
            </w:pPr>
            <w:r>
              <w:rPr>
                <w:rFonts w:ascii="Calibri" w:hAnsi="Calibri" w:cs="Calibri"/>
                <w:b w:val="0"/>
                <w:sz w:val="20"/>
              </w:rPr>
              <w:t>Increase days' supply so treatment continues through the planned follow-up.</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the clinical case actually contain the intended medication-reconciliation or transition-of-care problem described above, and does it match the intended category?</w:t>
      </w:r>
    </w:p>
    <w:p>
      <w:pPr>
        <w:keepLines/>
        <w:spacing w:before="80" w:after="160"/>
      </w:pPr>
      <w:sdt>
        <w:sdtPr>
          <w:rPr>
            <w:rFonts w:ascii="MS Gothic" w:hAnsi="MS Gothic" w:cs="MS Gothic" w:eastAsia="MS Gothic" w:hint="eastAsia"/>
            <w:sz w:val="28"/>
            <w:szCs w:val="28"/>
          </w:rPr>
          <w:alias w:val="C2 result"/>
          <w:tag w:val="c2-result"/>
          <w:id w:val="5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5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59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Could an internal-medicine resident identify and resolve the intended problem using only the clinical information provided in the patient-facing case?</w:t>
      </w:r>
    </w:p>
    <w:p>
      <w:pPr>
        <w:spacing w:after="120"/>
      </w:pPr>
      <w:r>
        <w:rPr>
          <w:rFonts w:ascii="Calibri" w:hAnsi="Calibri" w:cs="Calibri"/>
          <w:b w:val="0"/>
          <w:sz w:val="22"/>
        </w:rPr>
        <w:t>Consider whether the necessary evidence is present, whether key information is missing, whether the target is ambiguous, whether wording gives away the answer, and whether the expected clinical action can reasonably be determined.</w:t>
      </w:r>
    </w:p>
    <w:p>
      <w:pPr>
        <w:keepLines/>
        <w:spacing w:before="80" w:after="160"/>
      </w:pPr>
      <w:sdt>
        <w:sdtPr>
          <w:rPr>
            <w:rFonts w:ascii="MS Gothic" w:hAnsi="MS Gothic" w:cs="MS Gothic" w:eastAsia="MS Gothic" w:hint="eastAsia"/>
            <w:sz w:val="28"/>
            <w:szCs w:val="28"/>
          </w:rPr>
          <w:alias w:val="C3 result"/>
          <w:tag w:val="c3-result"/>
          <w:id w:val="5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5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59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Apart from the intended assessment problem, does the case contain another clinically meaningful medication-reconciliation or transition-of-care problem that a reasonable resident could interpret as an alternative target?</w:t>
      </w:r>
    </w:p>
    <w:p>
      <w:pPr>
        <w:keepLines/>
        <w:spacing w:before="80" w:after="160"/>
      </w:pPr>
      <w:sdt>
        <w:sdtPr>
          <w:rPr>
            <w:rFonts w:ascii="MS Gothic" w:hAnsi="MS Gothic" w:cs="MS Gothic" w:eastAsia="MS Gothic" w:hint="eastAsia"/>
            <w:sz w:val="28"/>
            <w:szCs w:val="28"/>
          </w:rPr>
          <w:alias w:val="C4 result"/>
          <w:tag w:val="c4-result"/>
          <w:id w:val="5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5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59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5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5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5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6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60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6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6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6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60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60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60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20"/>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VAL-812</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75</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75.000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infectious disease</w:t>
      </w:r>
    </w:p>
    <w:p>
      <w:pPr>
        <w:pStyle w:val="ListBullet"/>
        <w:spacing w:after="40" w:before="0"/>
      </w:pPr>
      <w:r>
        <w:rPr>
          <w:rFonts w:ascii="Calibri" w:hAnsi="Calibri" w:cs="Calibri"/>
          <w:b/>
          <w:sz w:val="22"/>
        </w:rPr>
        <w:t xml:space="preserve">Admission diagnosis: </w:t>
      </w:r>
      <w:r>
        <w:rPr>
          <w:rFonts w:ascii="Calibri" w:hAnsi="Calibri" w:cs="Calibri"/>
          <w:b w:val="0"/>
          <w:sz w:val="22"/>
        </w:rPr>
        <w:t>Acute and subacute infective endocarditis</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75-year-old Male with Acute and subacute infective endocarditis</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Fatigue, Nausea in the setting of Acute and subacute infective endocarditis</w:t>
      </w:r>
    </w:p>
    <w:p>
      <w:pPr>
        <w:pStyle w:val="ListBullet"/>
        <w:spacing w:after="40" w:before="0"/>
      </w:pPr>
      <w:r>
        <w:rPr>
          <w:rFonts w:ascii="Calibri" w:hAnsi="Calibri" w:cs="Calibri"/>
          <w:b/>
          <w:sz w:val="22"/>
        </w:rPr>
        <w:t xml:space="preserve">Symptoms: </w:t>
      </w:r>
      <w:r>
        <w:rPr>
          <w:rFonts w:ascii="Calibri" w:hAnsi="Calibri" w:cs="Calibri"/>
          <w:b w:val="0"/>
          <w:sz w:val="22"/>
        </w:rPr>
        <w:t>Fatigue, Nausea</w:t>
      </w:r>
    </w:p>
    <w:p>
      <w:pPr>
        <w:pStyle w:val="ListBullet"/>
        <w:spacing w:after="40" w:before="0"/>
      </w:pPr>
      <w:r>
        <w:rPr>
          <w:rFonts w:ascii="Calibri" w:hAnsi="Calibri" w:cs="Calibri"/>
          <w:b/>
          <w:sz w:val="22"/>
        </w:rPr>
        <w:t xml:space="preserve">Symptom duration: </w:t>
      </w:r>
      <w:r>
        <w:rPr>
          <w:rFonts w:ascii="Calibri" w:hAnsi="Calibri" w:cs="Calibri"/>
          <w:b w:val="0"/>
          <w:sz w:val="22"/>
        </w:rPr>
        <w:t>one week</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 75-year-old Male is admitted with Acute and subacute infective endocarditis. Presenting symptoms include Fatigue, Nausea, present for one week and improving after treatment. Home medications include aspirin 81 MG Chewable Tablet, atorvastatin 40 MG Oral Tablet. Started during this admission: ceftriaxone 2000 MG Injection. Admitted for endocarditis; remaining parenteral duration is a pending outpatient decision. Duration of remaining parenteral ceftriaxone is to be confirmed at infectious-disease follow-up. Cultures cleared on inpatient therapy. Remaining parenteral duration is to be confirmed as an outpatient decision.</w:t>
      </w:r>
    </w:p>
    <w:p>
      <w:pPr>
        <w:pStyle w:val="Heading3"/>
      </w:pPr>
      <w:r>
        <w:rPr>
          <w:rFonts w:ascii="Calibri" w:hAnsi="Calibri"/>
          <w:color w:val="1F3A5F"/>
        </w:rPr>
        <w:t>Admission note</w:t>
      </w:r>
    </w:p>
    <w:p>
      <w:pPr>
        <w:spacing w:after="120"/>
      </w:pPr>
      <w:r>
        <w:rPr>
          <w:rFonts w:ascii="Calibri" w:hAnsi="Calibri" w:cs="Calibri"/>
          <w:b w:val="0"/>
          <w:sz w:val="22"/>
        </w:rPr>
        <w:t>Admission note for a 75-year-old Male with Acute and subacute infective endocarditis. Symptoms: Fatigue, Nausea for one week (improving after treatment). Medications continued from home: aspirin 81 MG Chewable Tablet, atorvastatin 40 MG Oral Tablet. Started during this admission: ceftriaxone 2000 MG Injection. Admitted for endocarditis; remaining parenteral duration is a pending outpatient decision. Duration of remaining parenteral ceftriaxone is to be confirmed at infectious-disease follow-up. Cultures cleared on inpatient therapy. Remaining parenteral duration is to be confirmed as an outpatient decision.</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Mixed hyperlipidemia, Atherosclerotic heart disease of native coronary artery without angina pectoris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Acute and subacute infective endocarditis</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Atherosclerotic heart disease of native coronary artery without angina pectoris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Atherosclerotic heart disease of native coronary artery without angina pectoris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Acute and subacute infective endocarditis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Cultures cleared on inpatient therapy. Remaining parenteral duration is to be confirmed as an outpatient decision.</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129/79</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89</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17</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13.6</w:t>
            </w:r>
          </w:p>
        </w:tc>
        <w:tc>
          <w:tcPr>
            <w:tcW w:type="dxa" w:w="2160"/>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75.000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140/74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74</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18</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11.9</w:t>
            </w:r>
          </w:p>
        </w:tc>
        <w:tc>
          <w:tcPr>
            <w:tcW w:type="dxa" w:w="2160"/>
          </w:tcPr>
          <w:p>
            <w:pPr>
              <w:spacing w:after="20" w:before="20"/>
            </w:pPr>
            <w:r>
              <w:rPr>
                <w:rFonts w:ascii="Calibri" w:hAnsi="Calibri" w:cs="Calibri"/>
                <w:b w:val="0"/>
                <w:sz w:val="20"/>
              </w:rPr>
              <w:t>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aspirin 81 MG Chewable Tablet</w:t>
            </w:r>
          </w:p>
        </w:tc>
        <w:tc>
          <w:tcPr>
            <w:tcW w:type="dxa" w:w="1224"/>
          </w:tcPr>
          <w:p>
            <w:pPr>
              <w:spacing w:after="20" w:before="20"/>
            </w:pPr>
            <w:r>
              <w:rPr>
                <w:rFonts w:ascii="Calibri" w:hAnsi="Calibri" w:cs="Calibri"/>
                <w:b w:val="0"/>
                <w:sz w:val="20"/>
              </w:rPr>
              <w:t>81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Atherosclerotic heart disease of native coronary artery without angina pectoris</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aspirin 81 MG Chewable Tablet</w:t>
            </w:r>
          </w:p>
        </w:tc>
        <w:tc>
          <w:tcPr>
            <w:tcW w:type="dxa" w:w="1224"/>
          </w:tcPr>
          <w:p>
            <w:pPr>
              <w:spacing w:after="20" w:before="20"/>
            </w:pPr>
            <w:r>
              <w:rPr>
                <w:rFonts w:ascii="Calibri" w:hAnsi="Calibri" w:cs="Calibri"/>
                <w:b w:val="0"/>
                <w:sz w:val="20"/>
              </w:rPr>
              <w:t>81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Atherosclerotic heart disease of native coronary artery without angina pectoris</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ceftriaxone 2000 MG Injection</w:t>
            </w:r>
          </w:p>
        </w:tc>
        <w:tc>
          <w:tcPr>
            <w:tcW w:type="dxa" w:w="1224"/>
          </w:tcPr>
          <w:p>
            <w:pPr>
              <w:spacing w:after="20" w:before="20"/>
            </w:pPr>
            <w:r>
              <w:rPr>
                <w:rFonts w:ascii="Calibri" w:hAnsi="Calibri" w:cs="Calibri"/>
                <w:b w:val="0"/>
                <w:sz w:val="20"/>
              </w:rPr>
              <w:t>2000 MG</w:t>
            </w:r>
          </w:p>
        </w:tc>
        <w:tc>
          <w:tcPr>
            <w:tcW w:type="dxa" w:w="1152"/>
          </w:tcPr>
          <w:p>
            <w:pPr>
              <w:spacing w:after="20" w:before="20"/>
            </w:pPr>
            <w:r>
              <w:rPr>
                <w:rFonts w:ascii="Calibri" w:hAnsi="Calibri" w:cs="Calibri"/>
                <w:b w:val="0"/>
                <w:sz w:val="20"/>
              </w:rPr>
              <w:t>intravenous</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and subacute infective endocarditis; Note: Started during this admission.</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aspirin 81 MG Chewable Tablet</w:t>
            </w:r>
          </w:p>
        </w:tc>
        <w:tc>
          <w:tcPr>
            <w:tcW w:type="dxa" w:w="1224"/>
          </w:tcPr>
          <w:p>
            <w:pPr>
              <w:spacing w:after="20" w:before="20"/>
            </w:pPr>
            <w:r>
              <w:rPr>
                <w:rFonts w:ascii="Calibri" w:hAnsi="Calibri" w:cs="Calibri"/>
                <w:b w:val="0"/>
                <w:sz w:val="20"/>
              </w:rPr>
              <w:t>81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Atherosclerotic heart disease of native coronary artery without angina pectoris</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ceftriaxone 2000 MG Injection</w:t>
            </w:r>
          </w:p>
        </w:tc>
        <w:tc>
          <w:tcPr>
            <w:tcW w:type="dxa" w:w="1224"/>
          </w:tcPr>
          <w:p>
            <w:pPr>
              <w:spacing w:after="20" w:before="20"/>
            </w:pPr>
            <w:r>
              <w:rPr>
                <w:rFonts w:ascii="Calibri" w:hAnsi="Calibri" w:cs="Calibri"/>
                <w:b w:val="0"/>
                <w:sz w:val="20"/>
              </w:rPr>
              <w:t>2000 MG</w:t>
            </w:r>
          </w:p>
        </w:tc>
        <w:tc>
          <w:tcPr>
            <w:tcW w:type="dxa" w:w="1152"/>
          </w:tcPr>
          <w:p>
            <w:pPr>
              <w:spacing w:after="20" w:before="20"/>
            </w:pPr>
            <w:r>
              <w:rPr>
                <w:rFonts w:ascii="Calibri" w:hAnsi="Calibri" w:cs="Calibri"/>
                <w:b w:val="0"/>
                <w:sz w:val="20"/>
              </w:rPr>
              <w:t>intravenous</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and subacute infective endocarditis; Note: Started during this admission.</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Parameter</w:t>
            </w:r>
          </w:p>
        </w:tc>
        <w:tc>
          <w:tcPr>
            <w:tcW w:type="dxa" w:w="3264"/>
            <w:shd w:val="clear" w:color="auto" w:fill="D9E2F3"/>
          </w:tcPr>
          <w:p>
            <w:pPr>
              <w:spacing w:after="20" w:before="20"/>
            </w:pPr>
            <w:r>
              <w:rPr>
                <w:rFonts w:ascii="Calibri" w:hAnsi="Calibri" w:cs="Calibri"/>
                <w:b/>
                <w:sz w:val="20"/>
              </w:rPr>
              <w:t>Frequency</w:t>
            </w:r>
          </w:p>
        </w:tc>
        <w:tc>
          <w:tcPr>
            <w:tcW w:type="dxa" w:w="3264"/>
            <w:shd w:val="clear" w:color="auto" w:fill="D9E2F3"/>
          </w:tcPr>
          <w:p>
            <w:pPr>
              <w:spacing w:after="20" w:before="20"/>
            </w:pPr>
            <w:r>
              <w:rPr>
                <w:rFonts w:ascii="Calibri" w:hAnsi="Calibri" w:cs="Calibri"/>
                <w:b/>
                <w:sz w:val="20"/>
              </w:rPr>
              <w:t>Responsible service</w:t>
            </w:r>
          </w:p>
        </w:tc>
      </w:tr>
      <w:tr>
        <w:trPr>
          <w:cantSplit/>
        </w:trPr>
        <w:tc>
          <w:tcPr>
            <w:tcW w:type="dxa" w:w="3264"/>
          </w:tcPr>
          <w:p>
            <w:pPr>
              <w:spacing w:after="20" w:before="20"/>
            </w:pPr>
            <w:r>
              <w:rPr>
                <w:rFonts w:ascii="Calibri" w:hAnsi="Calibri" w:cs="Calibri"/>
                <w:b w:val="0"/>
                <w:sz w:val="20"/>
              </w:rPr>
              <w:t>weekly complete blood count and creatinine during parenteral therapy</w:t>
            </w:r>
          </w:p>
        </w:tc>
        <w:tc>
          <w:tcPr>
            <w:tcW w:type="dxa" w:w="3264"/>
          </w:tcPr>
          <w:p>
            <w:pPr>
              <w:spacing w:after="20" w:before="20"/>
            </w:pPr>
            <w:r>
              <w:rPr>
                <w:rFonts w:ascii="Calibri" w:hAnsi="Calibri" w:cs="Calibri"/>
                <w:b w:val="0"/>
                <w:sz w:val="20"/>
              </w:rPr>
              <w:t>weekly</w:t>
            </w:r>
          </w:p>
        </w:tc>
        <w:tc>
          <w:tcPr>
            <w:tcW w:type="dxa" w:w="3264"/>
          </w:tcPr>
          <w:p>
            <w:pPr>
              <w:spacing w:after="20" w:before="20"/>
            </w:pPr>
            <w:r>
              <w:rPr>
                <w:rFonts w:ascii="Calibri" w:hAnsi="Calibri" w:cs="Calibri"/>
                <w:b w:val="0"/>
                <w:sz w:val="20"/>
              </w:rPr>
              <w:t>infectious disease</w:t>
            </w:r>
          </w:p>
        </w:tc>
      </w:tr>
    </w:tbl>
    <w:p>
      <w:pPr>
        <w:spacing w:after="40"/>
      </w:pPr>
    </w:p>
    <w:p>
      <w:pPr>
        <w:pStyle w:val="Heading2"/>
      </w:pPr>
      <w:r>
        <w:rPr>
          <w:rFonts w:ascii="Calibri" w:hAnsi="Calibri"/>
          <w:color w:val="1F3A5F"/>
        </w:rPr>
        <w:t>Follow-up</w:t>
      </w:r>
    </w:p>
    <w:p>
      <w:pPr>
        <w:spacing w:after="120"/>
      </w:pPr>
      <w:r>
        <w:rPr>
          <w:rFonts w:ascii="Calibri" w:hAnsi="Calibri" w:cs="Calibri"/>
          <w:b w:val="0"/>
          <w:sz w:val="22"/>
        </w:rPr>
        <w:t>No follow-up appointments were specified.</w:t>
      </w: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ListBullet"/>
        <w:spacing w:after="40" w:before="0"/>
      </w:pPr>
      <w:r>
        <w:rPr>
          <w:rFonts w:ascii="Calibri" w:hAnsi="Calibri" w:cs="Calibri"/>
          <w:b/>
          <w:sz w:val="22"/>
        </w:rPr>
        <w:t xml:space="preserve">Category: </w:t>
      </w:r>
      <w:r>
        <w:rPr>
          <w:rFonts w:ascii="Calibri" w:hAnsi="Calibri" w:cs="Calibri"/>
          <w:b w:val="0"/>
          <w:sz w:val="22"/>
        </w:rPr>
        <w:t>followup</w:t>
      </w:r>
    </w:p>
    <w:p>
      <w:pPr>
        <w:spacing w:after="120"/>
      </w:pPr>
      <w:r>
        <w:rPr>
          <w:rFonts w:ascii="Calibri" w:hAnsi="Calibri" w:cs="Calibri"/>
          <w:b w:val="0"/>
          <w:sz w:val="22"/>
        </w:rPr>
        <w:t>A pending therapeutic decision remains. Remaining duration of parenteral ceftriaxone is to be confirmed at infectious-disease follow-up.</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Transthoracic echocardiogram</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heart</w:t>
            </w:r>
          </w:p>
        </w:tc>
        <w:tc>
          <w:tcPr>
            <w:tcW w:type="dxa" w:w="2448"/>
          </w:tcPr>
          <w:p>
            <w:pPr>
              <w:spacing w:after="20" w:before="20"/>
            </w:pPr>
            <w:r>
              <w:rPr>
                <w:rFonts w:ascii="Calibri" w:hAnsi="Calibri" w:cs="Calibri"/>
                <w:b w:val="0"/>
                <w:sz w:val="20"/>
              </w:rPr>
              <w:t>Mobile echodensity consistent with a vegetation; ventricular function preserved.</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infectious disease</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Infectious-disease recommendations were recorded.</w:t>
            </w:r>
          </w:p>
        </w:tc>
        <w:tc>
          <w:tcPr>
            <w:tcW w:type="dxa" w:w="2448"/>
          </w:tcPr>
          <w:p>
            <w:pPr>
              <w:spacing w:after="20" w:before="20"/>
            </w:pPr>
            <w:r>
              <w:rPr>
                <w:rFonts w:ascii="Calibri" w:hAnsi="Calibri" w:cs="Calibri"/>
                <w:b w:val="0"/>
                <w:sz w:val="20"/>
              </w:rPr>
              <w:t>Complete the planned parenteral course with laboratory follow-up.</w:t>
            </w:r>
          </w:p>
        </w:tc>
      </w:tr>
    </w:tbl>
    <w:p>
      <w:pPr>
        <w:spacing w:after="40"/>
      </w:pPr>
    </w:p>
    <w:p>
      <w:pPr>
        <w:pStyle w:val="Heading2"/>
      </w:pPr>
      <w:r>
        <w:rPr>
          <w:rFonts w:ascii="Calibri" w:hAnsi="Calibri"/>
          <w:color w:val="1F3A5F"/>
        </w:rPr>
        <w:t>Microbiology</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399"/>
            <w:shd w:val="clear" w:color="auto" w:fill="D9E2F3"/>
          </w:tcPr>
          <w:p>
            <w:pPr>
              <w:spacing w:after="20" w:before="20"/>
            </w:pPr>
            <w:r>
              <w:rPr>
                <w:rFonts w:ascii="Calibri" w:hAnsi="Calibri" w:cs="Calibri"/>
                <w:b/>
                <w:sz w:val="20"/>
              </w:rPr>
              <w:t>Timepoint</w:t>
            </w:r>
          </w:p>
        </w:tc>
        <w:tc>
          <w:tcPr>
            <w:tcW w:type="dxa" w:w="1399"/>
            <w:shd w:val="clear" w:color="auto" w:fill="D9E2F3"/>
          </w:tcPr>
          <w:p>
            <w:pPr>
              <w:spacing w:after="20" w:before="20"/>
            </w:pPr>
            <w:r>
              <w:rPr>
                <w:rFonts w:ascii="Calibri" w:hAnsi="Calibri" w:cs="Calibri"/>
                <w:b/>
                <w:sz w:val="20"/>
              </w:rPr>
              <w:t>Specimen</w:t>
            </w:r>
          </w:p>
        </w:tc>
        <w:tc>
          <w:tcPr>
            <w:tcW w:type="dxa" w:w="1399"/>
            <w:shd w:val="clear" w:color="auto" w:fill="D9E2F3"/>
          </w:tcPr>
          <w:p>
            <w:pPr>
              <w:spacing w:after="20" w:before="20"/>
            </w:pPr>
            <w:r>
              <w:rPr>
                <w:rFonts w:ascii="Calibri" w:hAnsi="Calibri" w:cs="Calibri"/>
                <w:b/>
                <w:sz w:val="20"/>
              </w:rPr>
              <w:t>Test</w:t>
            </w:r>
          </w:p>
        </w:tc>
        <w:tc>
          <w:tcPr>
            <w:tcW w:type="dxa" w:w="1399"/>
            <w:shd w:val="clear" w:color="auto" w:fill="D9E2F3"/>
          </w:tcPr>
          <w:p>
            <w:pPr>
              <w:spacing w:after="20" w:before="20"/>
            </w:pPr>
            <w:r>
              <w:rPr>
                <w:rFonts w:ascii="Calibri" w:hAnsi="Calibri" w:cs="Calibri"/>
                <w:b/>
                <w:sz w:val="20"/>
              </w:rPr>
              <w:t>Organism</w:t>
            </w:r>
          </w:p>
        </w:tc>
        <w:tc>
          <w:tcPr>
            <w:tcW w:type="dxa" w:w="1399"/>
            <w:shd w:val="clear" w:color="auto" w:fill="D9E2F3"/>
          </w:tcPr>
          <w:p>
            <w:pPr>
              <w:spacing w:after="20" w:before="20"/>
            </w:pPr>
            <w:r>
              <w:rPr>
                <w:rFonts w:ascii="Calibri" w:hAnsi="Calibri" w:cs="Calibri"/>
                <w:b/>
                <w:sz w:val="20"/>
              </w:rPr>
              <w:t>Result</w:t>
            </w:r>
          </w:p>
        </w:tc>
        <w:tc>
          <w:tcPr>
            <w:tcW w:type="dxa" w:w="1399"/>
            <w:shd w:val="clear" w:color="auto" w:fill="D9E2F3"/>
          </w:tcPr>
          <w:p>
            <w:pPr>
              <w:spacing w:after="20" w:before="20"/>
            </w:pPr>
            <w:r>
              <w:rPr>
                <w:rFonts w:ascii="Calibri" w:hAnsi="Calibri" w:cs="Calibri"/>
                <w:b/>
                <w:sz w:val="20"/>
              </w:rPr>
              <w:t>Status</w:t>
            </w:r>
          </w:p>
        </w:tc>
        <w:tc>
          <w:tcPr>
            <w:tcW w:type="dxa" w:w="1399"/>
            <w:shd w:val="clear" w:color="auto" w:fill="D9E2F3"/>
          </w:tcPr>
          <w:p>
            <w:pPr>
              <w:spacing w:after="20" w:before="20"/>
            </w:pPr>
            <w:r>
              <w:rPr>
                <w:rFonts w:ascii="Calibri" w:hAnsi="Calibri" w:cs="Calibri"/>
                <w:b/>
                <w:sz w:val="20"/>
              </w:rPr>
              <w:t>Notes</w:t>
            </w:r>
          </w:p>
        </w:tc>
      </w:tr>
      <w:tr>
        <w:trPr>
          <w:cantSplit/>
        </w:trPr>
        <w:tc>
          <w:tcPr>
            <w:tcW w:type="dxa" w:w="1399"/>
          </w:tcPr>
          <w:p>
            <w:pPr>
              <w:spacing w:after="20" w:before="20"/>
            </w:pPr>
            <w:r>
              <w:rPr>
                <w:rFonts w:ascii="Calibri" w:hAnsi="Calibri" w:cs="Calibri"/>
                <w:b w:val="0"/>
                <w:sz w:val="20"/>
              </w:rPr>
              <w:t>admission</w:t>
            </w:r>
          </w:p>
        </w:tc>
        <w:tc>
          <w:tcPr>
            <w:tcW w:type="dxa" w:w="1399"/>
          </w:tcPr>
          <w:p>
            <w:pPr>
              <w:spacing w:after="20" w:before="20"/>
            </w:pPr>
            <w:r>
              <w:rPr>
                <w:rFonts w:ascii="Calibri" w:hAnsi="Calibri" w:cs="Calibri"/>
                <w:b w:val="0"/>
                <w:sz w:val="20"/>
              </w:rPr>
              <w:t>blood</w:t>
            </w:r>
          </w:p>
        </w:tc>
        <w:tc>
          <w:tcPr>
            <w:tcW w:type="dxa" w:w="1399"/>
          </w:tcPr>
          <w:p>
            <w:pPr>
              <w:spacing w:after="20" w:before="20"/>
            </w:pPr>
            <w:r>
              <w:rPr>
                <w:rFonts w:ascii="Calibri" w:hAnsi="Calibri" w:cs="Calibri"/>
                <w:b w:val="0"/>
                <w:sz w:val="20"/>
              </w:rPr>
              <w:t>blood culture</w:t>
            </w:r>
          </w:p>
        </w:tc>
        <w:tc>
          <w:tcPr>
            <w:tcW w:type="dxa" w:w="1399"/>
          </w:tcPr>
          <w:p>
            <w:pPr>
              <w:spacing w:after="20" w:before="20"/>
            </w:pPr>
            <w:r>
              <w:rPr>
                <w:rFonts w:ascii="Calibri" w:hAnsi="Calibri" w:cs="Calibri"/>
                <w:b w:val="0"/>
                <w:sz w:val="20"/>
              </w:rPr>
              <w:t>gram-positive cocci</w:t>
            </w:r>
          </w:p>
        </w:tc>
        <w:tc>
          <w:tcPr>
            <w:tcW w:type="dxa" w:w="1399"/>
          </w:tcPr>
          <w:p>
            <w:pPr>
              <w:spacing w:after="20" w:before="20"/>
            </w:pPr>
            <w:r>
              <w:rPr>
                <w:rFonts w:ascii="Calibri" w:hAnsi="Calibri" w:cs="Calibri"/>
                <w:b w:val="0"/>
                <w:sz w:val="20"/>
              </w:rPr>
              <w:t>growth</w:t>
            </w:r>
          </w:p>
        </w:tc>
        <w:tc>
          <w:tcPr>
            <w:tcW w:type="dxa" w:w="1399"/>
          </w:tcPr>
          <w:p>
            <w:pPr>
              <w:spacing w:after="20" w:before="20"/>
            </w:pPr>
            <w:r>
              <w:rPr>
                <w:rFonts w:ascii="Calibri" w:hAnsi="Calibri" w:cs="Calibri"/>
                <w:b w:val="0"/>
                <w:sz w:val="20"/>
              </w:rPr>
              <w:t>final</w:t>
            </w:r>
          </w:p>
        </w:tc>
        <w:tc>
          <w:tcPr>
            <w:tcW w:type="dxa" w:w="1399"/>
          </w:tcPr>
          <w:p>
            <w:pPr>
              <w:spacing w:after="20" w:before="20"/>
            </w:pPr>
            <w:r>
              <w:rPr>
                <w:rFonts w:ascii="Calibri" w:hAnsi="Calibri" w:cs="Calibri"/>
                <w:b w:val="0"/>
                <w:sz w:val="20"/>
              </w:rPr>
              <w:t>Initial diagnostic culture.</w:t>
            </w:r>
          </w:p>
        </w:tc>
      </w:tr>
      <w:tr>
        <w:trPr>
          <w:cantSplit/>
        </w:trPr>
        <w:tc>
          <w:tcPr>
            <w:tcW w:type="dxa" w:w="1399"/>
          </w:tcPr>
          <w:p>
            <w:pPr>
              <w:spacing w:after="20" w:before="20"/>
            </w:pPr>
            <w:r>
              <w:rPr>
                <w:rFonts w:ascii="Calibri" w:hAnsi="Calibri" w:cs="Calibri"/>
                <w:b w:val="0"/>
                <w:sz w:val="20"/>
              </w:rPr>
              <w:t>inpatient</w:t>
            </w:r>
          </w:p>
        </w:tc>
        <w:tc>
          <w:tcPr>
            <w:tcW w:type="dxa" w:w="1399"/>
          </w:tcPr>
          <w:p>
            <w:pPr>
              <w:spacing w:after="20" w:before="20"/>
            </w:pPr>
            <w:r>
              <w:rPr>
                <w:rFonts w:ascii="Calibri" w:hAnsi="Calibri" w:cs="Calibri"/>
                <w:b w:val="0"/>
                <w:sz w:val="20"/>
              </w:rPr>
              <w:t>blood</w:t>
            </w:r>
          </w:p>
        </w:tc>
        <w:tc>
          <w:tcPr>
            <w:tcW w:type="dxa" w:w="1399"/>
          </w:tcPr>
          <w:p>
            <w:pPr>
              <w:spacing w:after="20" w:before="20"/>
            </w:pPr>
            <w:r>
              <w:rPr>
                <w:rFonts w:ascii="Calibri" w:hAnsi="Calibri" w:cs="Calibri"/>
                <w:b w:val="0"/>
                <w:sz w:val="20"/>
              </w:rPr>
              <w:t>blood culture</w:t>
            </w:r>
          </w:p>
        </w:tc>
        <w:tc>
          <w:tcPr>
            <w:tcW w:type="dxa" w:w="1399"/>
          </w:tcPr>
          <w:p>
            <w:pPr>
              <w:spacing w:after="20" w:before="20"/>
            </w:pPr>
            <w:r>
              <w:rPr>
                <w:rFonts w:ascii="Calibri" w:hAnsi="Calibri" w:cs="Calibri"/>
                <w:b w:val="0"/>
                <w:sz w:val="20"/>
              </w:rPr>
            </w:r>
          </w:p>
        </w:tc>
        <w:tc>
          <w:tcPr>
            <w:tcW w:type="dxa" w:w="1399"/>
          </w:tcPr>
          <w:p>
            <w:pPr>
              <w:spacing w:after="20" w:before="20"/>
            </w:pPr>
            <w:r>
              <w:rPr>
                <w:rFonts w:ascii="Calibri" w:hAnsi="Calibri" w:cs="Calibri"/>
                <w:b w:val="0"/>
                <w:sz w:val="20"/>
              </w:rPr>
              <w:t>no growth</w:t>
            </w:r>
          </w:p>
        </w:tc>
        <w:tc>
          <w:tcPr>
            <w:tcW w:type="dxa" w:w="1399"/>
          </w:tcPr>
          <w:p>
            <w:pPr>
              <w:spacing w:after="20" w:before="20"/>
            </w:pPr>
            <w:r>
              <w:rPr>
                <w:rFonts w:ascii="Calibri" w:hAnsi="Calibri" w:cs="Calibri"/>
                <w:b w:val="0"/>
                <w:sz w:val="20"/>
              </w:rPr>
              <w:t>final</w:t>
            </w:r>
          </w:p>
        </w:tc>
        <w:tc>
          <w:tcPr>
            <w:tcW w:type="dxa" w:w="1399"/>
          </w:tcPr>
          <w:p>
            <w:pPr>
              <w:spacing w:after="20" w:before="20"/>
            </w:pPr>
            <w:r>
              <w:rPr>
                <w:rFonts w:ascii="Calibri" w:hAnsi="Calibri" w:cs="Calibri"/>
                <w:b w:val="0"/>
                <w:sz w:val="20"/>
              </w:rPr>
              <w:t>Subsequent cultures cleared after treatment.</w:t>
            </w:r>
          </w:p>
        </w:tc>
      </w:tr>
    </w:tbl>
    <w:p>
      <w:pPr>
        <w:spacing w:after="40"/>
      </w:pPr>
    </w:p>
    <w:p>
      <w:pPr>
        <w:pStyle w:val="Heading2"/>
      </w:pPr>
      <w:r>
        <w:rPr>
          <w:rFonts w:ascii="Calibri" w:hAnsi="Calibri"/>
          <w:color w:val="1F3A5F"/>
        </w:rPr>
        <w:t>Devices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399"/>
            <w:shd w:val="clear" w:color="auto" w:fill="D9E2F3"/>
          </w:tcPr>
          <w:p>
            <w:pPr>
              <w:spacing w:after="20" w:before="20"/>
            </w:pPr>
            <w:r>
              <w:rPr>
                <w:rFonts w:ascii="Calibri" w:hAnsi="Calibri" w:cs="Calibri"/>
                <w:b/>
                <w:sz w:val="20"/>
              </w:rPr>
              <w:t>Device</w:t>
            </w:r>
          </w:p>
        </w:tc>
        <w:tc>
          <w:tcPr>
            <w:tcW w:type="dxa" w:w="1399"/>
            <w:shd w:val="clear" w:color="auto" w:fill="D9E2F3"/>
          </w:tcPr>
          <w:p>
            <w:pPr>
              <w:spacing w:after="20" w:before="20"/>
            </w:pPr>
            <w:r>
              <w:rPr>
                <w:rFonts w:ascii="Calibri" w:hAnsi="Calibri" w:cs="Calibri"/>
                <w:b/>
                <w:sz w:val="20"/>
              </w:rPr>
              <w:t>Site</w:t>
            </w:r>
          </w:p>
        </w:tc>
        <w:tc>
          <w:tcPr>
            <w:tcW w:type="dxa" w:w="1399"/>
            <w:shd w:val="clear" w:color="auto" w:fill="D9E2F3"/>
          </w:tcPr>
          <w:p>
            <w:pPr>
              <w:spacing w:after="20" w:before="20"/>
            </w:pPr>
            <w:r>
              <w:rPr>
                <w:rFonts w:ascii="Calibri" w:hAnsi="Calibri" w:cs="Calibri"/>
                <w:b/>
                <w:sz w:val="20"/>
              </w:rPr>
              <w:t>Placement</w:t>
            </w:r>
          </w:p>
        </w:tc>
        <w:tc>
          <w:tcPr>
            <w:tcW w:type="dxa" w:w="1399"/>
            <w:shd w:val="clear" w:color="auto" w:fill="D9E2F3"/>
          </w:tcPr>
          <w:p>
            <w:pPr>
              <w:spacing w:after="20" w:before="20"/>
            </w:pPr>
            <w:r>
              <w:rPr>
                <w:rFonts w:ascii="Calibri" w:hAnsi="Calibri" w:cs="Calibri"/>
                <w:b/>
                <w:sz w:val="20"/>
              </w:rPr>
              <w:t>Status</w:t>
            </w:r>
          </w:p>
        </w:tc>
        <w:tc>
          <w:tcPr>
            <w:tcW w:type="dxa" w:w="1399"/>
            <w:shd w:val="clear" w:color="auto" w:fill="D9E2F3"/>
          </w:tcPr>
          <w:p>
            <w:pPr>
              <w:spacing w:after="20" w:before="20"/>
            </w:pPr>
            <w:r>
              <w:rPr>
                <w:rFonts w:ascii="Calibri" w:hAnsi="Calibri" w:cs="Calibri"/>
                <w:b/>
                <w:sz w:val="20"/>
              </w:rPr>
              <w:t>Confirmation</w:t>
            </w:r>
          </w:p>
        </w:tc>
        <w:tc>
          <w:tcPr>
            <w:tcW w:type="dxa" w:w="1399"/>
            <w:shd w:val="clear" w:color="auto" w:fill="D9E2F3"/>
          </w:tcPr>
          <w:p>
            <w:pPr>
              <w:spacing w:after="20" w:before="20"/>
            </w:pPr>
            <w:r>
              <w:rPr>
                <w:rFonts w:ascii="Calibri" w:hAnsi="Calibri" w:cs="Calibri"/>
                <w:b/>
                <w:sz w:val="20"/>
              </w:rPr>
              <w:t>Care instructions</w:t>
            </w:r>
          </w:p>
        </w:tc>
        <w:tc>
          <w:tcPr>
            <w:tcW w:type="dxa" w:w="1399"/>
            <w:shd w:val="clear" w:color="auto" w:fill="D9E2F3"/>
          </w:tcPr>
          <w:p>
            <w:pPr>
              <w:spacing w:after="20" w:before="20"/>
            </w:pPr>
            <w:r>
              <w:rPr>
                <w:rFonts w:ascii="Calibri" w:hAnsi="Calibri" w:cs="Calibri"/>
                <w:b/>
                <w:sz w:val="20"/>
              </w:rPr>
              <w:t>Removal plan</w:t>
            </w:r>
          </w:p>
        </w:tc>
      </w:tr>
      <w:tr>
        <w:trPr>
          <w:cantSplit/>
        </w:trPr>
        <w:tc>
          <w:tcPr>
            <w:tcW w:type="dxa" w:w="1399"/>
          </w:tcPr>
          <w:p>
            <w:pPr>
              <w:spacing w:after="20" w:before="20"/>
            </w:pPr>
            <w:r>
              <w:rPr>
                <w:rFonts w:ascii="Calibri" w:hAnsi="Calibri" w:cs="Calibri"/>
                <w:b w:val="0"/>
                <w:sz w:val="20"/>
              </w:rPr>
              <w:t>PICC</w:t>
            </w:r>
          </w:p>
        </w:tc>
        <w:tc>
          <w:tcPr>
            <w:tcW w:type="dxa" w:w="1399"/>
          </w:tcPr>
          <w:p>
            <w:pPr>
              <w:spacing w:after="20" w:before="20"/>
            </w:pPr>
            <w:r>
              <w:rPr>
                <w:rFonts w:ascii="Calibri" w:hAnsi="Calibri" w:cs="Calibri"/>
                <w:b w:val="0"/>
                <w:sz w:val="20"/>
              </w:rPr>
              <w:t>right upper arm</w:t>
            </w:r>
          </w:p>
        </w:tc>
        <w:tc>
          <w:tcPr>
            <w:tcW w:type="dxa" w:w="1399"/>
          </w:tcPr>
          <w:p>
            <w:pPr>
              <w:spacing w:after="20" w:before="20"/>
            </w:pPr>
            <w:r>
              <w:rPr>
                <w:rFonts w:ascii="Calibri" w:hAnsi="Calibri" w:cs="Calibri"/>
                <w:b w:val="0"/>
                <w:sz w:val="20"/>
              </w:rPr>
              <w:t>inpatient</w:t>
            </w:r>
          </w:p>
        </w:tc>
        <w:tc>
          <w:tcPr>
            <w:tcW w:type="dxa" w:w="1399"/>
          </w:tcPr>
          <w:p>
            <w:pPr>
              <w:spacing w:after="20" w:before="20"/>
            </w:pPr>
            <w:r>
              <w:rPr>
                <w:rFonts w:ascii="Calibri" w:hAnsi="Calibri" w:cs="Calibri"/>
                <w:b w:val="0"/>
                <w:sz w:val="20"/>
              </w:rPr>
              <w:t>in place</w:t>
            </w:r>
          </w:p>
        </w:tc>
        <w:tc>
          <w:tcPr>
            <w:tcW w:type="dxa" w:w="1399"/>
          </w:tcPr>
          <w:p>
            <w:pPr>
              <w:spacing w:after="20" w:before="20"/>
            </w:pPr>
            <w:r>
              <w:rPr>
                <w:rFonts w:ascii="Calibri" w:hAnsi="Calibri" w:cs="Calibri"/>
                <w:b w:val="0"/>
                <w:sz w:val="20"/>
              </w:rPr>
              <w:t>Tip position confirmed on chest radiograph</w:t>
            </w:r>
          </w:p>
        </w:tc>
        <w:tc>
          <w:tcPr>
            <w:tcW w:type="dxa" w:w="1399"/>
          </w:tcPr>
          <w:p>
            <w:pPr>
              <w:spacing w:after="20" w:before="20"/>
            </w:pPr>
            <w:r>
              <w:rPr>
                <w:rFonts w:ascii="Calibri" w:hAnsi="Calibri" w:cs="Calibri"/>
                <w:b w:val="0"/>
                <w:sz w:val="20"/>
              </w:rPr>
              <w:t>Line precautions and weekly dressing changes</w:t>
            </w:r>
          </w:p>
        </w:tc>
        <w:tc>
          <w:tcPr>
            <w:tcW w:type="dxa" w:w="1399"/>
          </w:tcPr>
          <w:p>
            <w:pPr>
              <w:spacing w:after="20" w:before="20"/>
            </w:pPr>
            <w:r>
              <w:rPr>
                <w:rFonts w:ascii="Calibri" w:hAnsi="Calibri" w:cs="Calibri"/>
                <w:b w:val="0"/>
                <w:sz w:val="20"/>
              </w:rPr>
              <w:t>Remove after the planned parenteral course</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Fatigue</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6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6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64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Error-bearing</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Family 2</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Follow-up missing for an unresolved treatment decision (f2_pending_decision_followup_missing)</w:t>
            </w:r>
          </w:p>
        </w:tc>
      </w:tr>
      <w:tr>
        <w:trPr>
          <w:cantSplit/>
        </w:trPr>
        <w:tc>
          <w:tcPr>
            <w:tcW w:type="dxa" w:w="3744"/>
          </w:tcPr>
          <w:p>
            <w:pPr>
              <w:spacing w:after="20" w:before="20"/>
            </w:pPr>
            <w:r>
              <w:rPr>
                <w:rFonts w:ascii="Calibri" w:hAnsi="Calibri" w:cs="Calibri"/>
                <w:b w:val="0"/>
                <w:sz w:val="20"/>
              </w:rPr>
              <w:t>Intended assessment target</w:t>
            </w:r>
          </w:p>
        </w:tc>
        <w:tc>
          <w:tcPr>
            <w:tcW w:type="dxa" w:w="6048"/>
          </w:tcPr>
          <w:p>
            <w:pPr>
              <w:spacing w:after="20" w:before="20"/>
            </w:pPr>
            <w:r>
              <w:rPr>
                <w:rFonts w:ascii="Calibri" w:hAnsi="Calibri" w:cs="Calibri"/>
                <w:b w:val="0"/>
                <w:sz w:val="20"/>
              </w:rPr>
              <w:t>A pending therapeutic decision remains unresolved and no follow-up visit is arranged to resolve it.</w:t>
            </w:r>
          </w:p>
        </w:tc>
      </w:tr>
      <w:tr>
        <w:trPr>
          <w:cantSplit/>
        </w:trPr>
        <w:tc>
          <w:tcPr>
            <w:tcW w:type="dxa" w:w="3744"/>
          </w:tcPr>
          <w:p>
            <w:pPr>
              <w:spacing w:after="20" w:before="20"/>
            </w:pPr>
            <w:r>
              <w:rPr>
                <w:rFonts w:ascii="Calibri" w:hAnsi="Calibri" w:cs="Calibri"/>
                <w:b w:val="0"/>
                <w:sz w:val="20"/>
              </w:rPr>
              <w:t>Medication involved</w:t>
            </w:r>
          </w:p>
        </w:tc>
        <w:tc>
          <w:tcPr>
            <w:tcW w:type="dxa" w:w="6048"/>
          </w:tcPr>
          <w:p>
            <w:pPr>
              <w:spacing w:after="20" w:before="20"/>
            </w:pPr>
            <w:r>
              <w:rPr>
                <w:rFonts w:ascii="Calibri" w:hAnsi="Calibri" w:cs="Calibri"/>
                <w:b w:val="0"/>
                <w:sz w:val="20"/>
              </w:rPr>
              <w:t>ceftriaxone 2000 MG Injection</w:t>
            </w:r>
          </w:p>
        </w:tc>
      </w:tr>
      <w:tr>
        <w:trPr>
          <w:cantSplit/>
        </w:trPr>
        <w:tc>
          <w:tcPr>
            <w:tcW w:type="dxa" w:w="3744"/>
          </w:tcPr>
          <w:p>
            <w:pPr>
              <w:spacing w:after="20" w:before="20"/>
            </w:pPr>
            <w:r>
              <w:rPr>
                <w:rFonts w:ascii="Calibri" w:hAnsi="Calibri" w:cs="Calibri"/>
                <w:b w:val="0"/>
                <w:sz w:val="20"/>
              </w:rPr>
              <w:t>Clean expected state</w:t>
            </w:r>
          </w:p>
        </w:tc>
        <w:tc>
          <w:tcPr>
            <w:tcW w:type="dxa" w:w="6048"/>
          </w:tcPr>
          <w:p>
            <w:pPr>
              <w:spacing w:after="20" w:before="20"/>
            </w:pPr>
            <w:r>
              <w:rPr>
                <w:rFonts w:ascii="Calibri" w:hAnsi="Calibri" w:cs="Calibri"/>
                <w:b w:val="0"/>
                <w:sz w:val="20"/>
              </w:rPr>
              <w:t>Changed field: followup</w:t>
              <w:br/>
              <w:t>item: Reassess pending therapeutic decision; timing: 14 days; with service: infectious disease</w:t>
            </w:r>
          </w:p>
        </w:tc>
      </w:tr>
      <w:tr>
        <w:trPr>
          <w:cantSplit/>
        </w:trPr>
        <w:tc>
          <w:tcPr>
            <w:tcW w:type="dxa" w:w="3744"/>
          </w:tcPr>
          <w:p>
            <w:pPr>
              <w:spacing w:after="20" w:before="20"/>
            </w:pPr>
            <w:r>
              <w:rPr>
                <w:rFonts w:ascii="Calibri" w:hAnsi="Calibri" w:cs="Calibri"/>
                <w:b w:val="0"/>
                <w:sz w:val="20"/>
              </w:rPr>
              <w:t>What appears in this case</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Evidence available in the chart</w:t>
            </w:r>
          </w:p>
        </w:tc>
        <w:tc>
          <w:tcPr>
            <w:tcW w:type="dxa" w:w="6048"/>
          </w:tcPr>
          <w:p>
            <w:pPr>
              <w:spacing w:after="20" w:before="20"/>
            </w:pPr>
            <w:r>
              <w:rPr>
                <w:rFonts w:ascii="Calibri" w:hAnsi="Calibri" w:cs="Calibri"/>
                <w:b w:val="0"/>
                <w:sz w:val="20"/>
              </w:rPr>
              <w:t>A pending therapeutic decision remains unresolved and requires scheduled follow-up.</w:t>
              <w:br/>
              <w:t>Evidence location: Discharge instructions, Follow-up appointments</w:t>
              <w:br/>
              <w:t>Detectability location: Follow-up appointments</w:t>
            </w:r>
          </w:p>
        </w:tc>
      </w:tr>
      <w:tr>
        <w:trPr>
          <w:cantSplit/>
        </w:trPr>
        <w:tc>
          <w:tcPr>
            <w:tcW w:type="dxa" w:w="3744"/>
          </w:tcPr>
          <w:p>
            <w:pPr>
              <w:spacing w:after="20" w:before="20"/>
            </w:pPr>
            <w:r>
              <w:rPr>
                <w:rFonts w:ascii="Calibri" w:hAnsi="Calibri" w:cs="Calibri"/>
                <w:b w:val="0"/>
                <w:sz w:val="20"/>
              </w:rPr>
              <w:t>Expected clinical action</w:t>
            </w:r>
          </w:p>
        </w:tc>
        <w:tc>
          <w:tcPr>
            <w:tcW w:type="dxa" w:w="6048"/>
          </w:tcPr>
          <w:p>
            <w:pPr>
              <w:spacing w:after="20" w:before="20"/>
            </w:pPr>
            <w:r>
              <w:rPr>
                <w:rFonts w:ascii="Calibri" w:hAnsi="Calibri" w:cs="Calibri"/>
                <w:b w:val="0"/>
                <w:sz w:val="20"/>
              </w:rPr>
              <w:t>Arrange follow-up to resolve the pending therapeutic decision.</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the clinical case actually contain the intended medication-reconciliation or transition-of-care problem described above, and does it match the intended category?</w:t>
      </w:r>
    </w:p>
    <w:p>
      <w:pPr>
        <w:keepLines/>
        <w:spacing w:before="80" w:after="160"/>
      </w:pPr>
      <w:sdt>
        <w:sdtPr>
          <w:rPr>
            <w:rFonts w:ascii="MS Gothic" w:hAnsi="MS Gothic" w:cs="MS Gothic" w:eastAsia="MS Gothic" w:hint="eastAsia"/>
            <w:sz w:val="28"/>
            <w:szCs w:val="28"/>
          </w:rPr>
          <w:alias w:val="C2 result"/>
          <w:tag w:val="c2-result"/>
          <w:id w:val="6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6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64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Could an internal-medicine resident identify and resolve the intended problem using only the clinical information provided in the patient-facing case?</w:t>
      </w:r>
    </w:p>
    <w:p>
      <w:pPr>
        <w:spacing w:after="120"/>
      </w:pPr>
      <w:r>
        <w:rPr>
          <w:rFonts w:ascii="Calibri" w:hAnsi="Calibri" w:cs="Calibri"/>
          <w:b w:val="0"/>
          <w:sz w:val="22"/>
        </w:rPr>
        <w:t>Consider whether the necessary evidence is present, whether key information is missing, whether the target is ambiguous, whether wording gives away the answer, and whether the expected clinical action can reasonably be determined.</w:t>
      </w:r>
    </w:p>
    <w:p>
      <w:pPr>
        <w:keepLines/>
        <w:spacing w:before="80" w:after="160"/>
      </w:pPr>
      <w:sdt>
        <w:sdtPr>
          <w:rPr>
            <w:rFonts w:ascii="MS Gothic" w:hAnsi="MS Gothic" w:cs="MS Gothic" w:eastAsia="MS Gothic" w:hint="eastAsia"/>
            <w:sz w:val="28"/>
            <w:szCs w:val="28"/>
          </w:rPr>
          <w:alias w:val="C3 result"/>
          <w:tag w:val="c3-result"/>
          <w:id w:val="6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6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64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Apart from the intended assessment problem, does the case contain another clinically meaningful medication-reconciliation or transition-of-care problem that a reasonable resident could interpret as an alternative target?</w:t>
      </w:r>
    </w:p>
    <w:p>
      <w:pPr>
        <w:keepLines/>
        <w:spacing w:before="80" w:after="160"/>
      </w:pPr>
      <w:sdt>
        <w:sdtPr>
          <w:rPr>
            <w:rFonts w:ascii="MS Gothic" w:hAnsi="MS Gothic" w:cs="MS Gothic" w:eastAsia="MS Gothic" w:hint="eastAsia"/>
            <w:sz w:val="28"/>
            <w:szCs w:val="28"/>
          </w:rPr>
          <w:alias w:val="C4 result"/>
          <w:tag w:val="c4-result"/>
          <w:id w:val="6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6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65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6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6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6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6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65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6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6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6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66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66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66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21"/>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VAL-813</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64</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68.000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nephrology</w:t>
      </w:r>
    </w:p>
    <w:p>
      <w:pPr>
        <w:pStyle w:val="ListBullet"/>
        <w:spacing w:after="40" w:before="0"/>
      </w:pPr>
      <w:r>
        <w:rPr>
          <w:rFonts w:ascii="Calibri" w:hAnsi="Calibri" w:cs="Calibri"/>
          <w:b/>
          <w:sz w:val="22"/>
        </w:rPr>
        <w:t xml:space="preserve">Admission diagnosis: </w:t>
      </w:r>
      <w:r>
        <w:rPr>
          <w:rFonts w:ascii="Calibri" w:hAnsi="Calibri" w:cs="Calibri"/>
          <w:b w:val="0"/>
          <w:sz w:val="22"/>
        </w:rPr>
        <w:t>Other cytomegaloviral diseases</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64-year-old Female with Other cytomegaloviral diseases</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Diarrhea in the setting of Other cytomegaloviral diseases</w:t>
      </w:r>
    </w:p>
    <w:p>
      <w:pPr>
        <w:pStyle w:val="ListBullet"/>
        <w:spacing w:after="40" w:before="0"/>
      </w:pPr>
      <w:r>
        <w:rPr>
          <w:rFonts w:ascii="Calibri" w:hAnsi="Calibri" w:cs="Calibri"/>
          <w:b/>
          <w:sz w:val="22"/>
        </w:rPr>
        <w:t xml:space="preserve">Symptoms: </w:t>
      </w:r>
      <w:r>
        <w:rPr>
          <w:rFonts w:ascii="Calibri" w:hAnsi="Calibri" w:cs="Calibri"/>
          <w:b w:val="0"/>
          <w:sz w:val="22"/>
        </w:rPr>
        <w:t>Diarrhea</w:t>
      </w:r>
    </w:p>
    <w:p>
      <w:pPr>
        <w:pStyle w:val="ListBullet"/>
        <w:spacing w:after="40" w:before="0"/>
      </w:pPr>
      <w:r>
        <w:rPr>
          <w:rFonts w:ascii="Calibri" w:hAnsi="Calibri" w:cs="Calibri"/>
          <w:b/>
          <w:sz w:val="22"/>
        </w:rPr>
        <w:t xml:space="preserve">Symptom duration: </w:t>
      </w:r>
      <w:r>
        <w:rPr>
          <w:rFonts w:ascii="Calibri" w:hAnsi="Calibri" w:cs="Calibri"/>
          <w:b w:val="0"/>
          <w:sz w:val="22"/>
        </w:rPr>
        <w:t>several days</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 64-year-old Female is admitted with Other cytomegaloviral diseases. Presenting symptoms include Diarrhea, present for several days and improving after treatment. Home medications include amlodipine 5 MG Oral Tablet, BX Rating tacrolimus 1 MG Oral Capsule, valganciclovir 450 MG Oral Tablet, atorvastatin 40 MG Oral Tablet. Admitted for cytomegalovirus disease after kidney transplantation. Gastrointestinal symptoms improved on antiviral therapy. Outpatient valganciclovir is the intended continuation. Kidney-transplant immunosuppression continues separately from CMV treatment. Infectious symptoms improved. Antiviral therapy was reviewed during the stay.</w:t>
      </w:r>
    </w:p>
    <w:p>
      <w:pPr>
        <w:pStyle w:val="Heading3"/>
      </w:pPr>
      <w:r>
        <w:rPr>
          <w:rFonts w:ascii="Calibri" w:hAnsi="Calibri"/>
          <w:color w:val="1F3A5F"/>
        </w:rPr>
        <w:t>Admission note</w:t>
      </w:r>
    </w:p>
    <w:p>
      <w:pPr>
        <w:spacing w:after="120"/>
      </w:pPr>
      <w:r>
        <w:rPr>
          <w:rFonts w:ascii="Calibri" w:hAnsi="Calibri" w:cs="Calibri"/>
          <w:b w:val="0"/>
          <w:sz w:val="22"/>
        </w:rPr>
        <w:t>Admission note for a 64-year-old Female with Other cytomegaloviral diseases. Symptoms: Diarrhea for several days (improving after treatment). Medications continued from home: amlodipine 5 MG Oral Tablet, BX Rating tacrolimus 1 MG Oral Capsule, valganciclovir 450 MG Oral Tablet, atorvastatin 40 MG Oral Tablet. Admitted for cytomegalovirus disease after kidney transplantation. Gastrointestinal symptoms improved on antiviral therapy. Outpatient valganciclovir is the intended continuation. Kidney-transplant immunosuppression continues separately from CMV treatment. Infectious symptoms improved. Antiviral therapy was reviewed during the stay.</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Kidney transplant status, Essential (primary) hypertension,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Other cytomegaloviral diseases</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Kidney transplant status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Kidney transplant status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Other cytomegaloviral diseases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Infectious symptoms improved. Antiviral therapy was reviewed during the stay.</w:t>
      </w:r>
    </w:p>
    <w:p>
      <w:pPr>
        <w:pStyle w:val="Heading3"/>
      </w:pPr>
      <w:r>
        <w:rPr>
          <w:rFonts w:ascii="Calibri" w:hAnsi="Calibri"/>
          <w:color w:val="1F3A5F"/>
        </w:rPr>
        <w:t>Intake and output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Intake (mL)</w:t>
            </w:r>
          </w:p>
        </w:tc>
        <w:tc>
          <w:tcPr>
            <w:tcW w:type="dxa" w:w="2448"/>
            <w:shd w:val="clear" w:color="auto" w:fill="D9E2F3"/>
          </w:tcPr>
          <w:p>
            <w:pPr>
              <w:spacing w:after="20" w:before="20"/>
            </w:pPr>
            <w:r>
              <w:rPr>
                <w:rFonts w:ascii="Calibri" w:hAnsi="Calibri" w:cs="Calibri"/>
                <w:b/>
                <w:sz w:val="20"/>
              </w:rPr>
              <w:t>Output (mL)</w:t>
            </w:r>
          </w:p>
        </w:tc>
        <w:tc>
          <w:tcPr>
            <w:tcW w:type="dxa" w:w="2448"/>
            <w:shd w:val="clear" w:color="auto" w:fill="D9E2F3"/>
          </w:tcPr>
          <w:p>
            <w:pPr>
              <w:spacing w:after="20" w:before="20"/>
            </w:pPr>
            <w:r>
              <w:rPr>
                <w:rFonts w:ascii="Calibri" w:hAnsi="Calibri" w:cs="Calibri"/>
                <w:b/>
                <w:sz w:val="20"/>
              </w:rPr>
              <w:t>Net (mL)</w:t>
            </w:r>
          </w:p>
        </w:tc>
      </w:tr>
      <w:tr>
        <w:trPr>
          <w:cantSplit/>
        </w:trPr>
        <w:tc>
          <w:tcPr>
            <w:tcW w:type="dxa" w:w="2448"/>
          </w:tcPr>
          <w:p>
            <w:pPr>
              <w:spacing w:after="20" w:before="20"/>
            </w:pPr>
            <w:r>
              <w:rPr>
                <w:rFonts w:ascii="Calibri" w:hAnsi="Calibri" w:cs="Calibri"/>
                <w:b w:val="0"/>
                <w:sz w:val="20"/>
              </w:rPr>
              <w:t>hospital day 5</w:t>
            </w:r>
          </w:p>
        </w:tc>
        <w:tc>
          <w:tcPr>
            <w:tcW w:type="dxa" w:w="2448"/>
          </w:tcPr>
          <w:p>
            <w:pPr>
              <w:spacing w:after="20" w:before="20"/>
            </w:pPr>
            <w:r>
              <w:rPr>
                <w:rFonts w:ascii="Calibri" w:hAnsi="Calibri" w:cs="Calibri"/>
                <w:b w:val="0"/>
                <w:sz w:val="20"/>
              </w:rPr>
              <w:t>1655</w:t>
            </w:r>
          </w:p>
        </w:tc>
        <w:tc>
          <w:tcPr>
            <w:tcW w:type="dxa" w:w="2448"/>
          </w:tcPr>
          <w:p>
            <w:pPr>
              <w:spacing w:after="20" w:before="20"/>
            </w:pPr>
            <w:r>
              <w:rPr>
                <w:rFonts w:ascii="Calibri" w:hAnsi="Calibri" w:cs="Calibri"/>
                <w:b w:val="0"/>
                <w:sz w:val="20"/>
              </w:rPr>
              <w:t>1812</w:t>
            </w:r>
          </w:p>
        </w:tc>
        <w:tc>
          <w:tcPr>
            <w:tcW w:type="dxa" w:w="2448"/>
          </w:tcPr>
          <w:p>
            <w:pPr>
              <w:spacing w:after="20" w:before="20"/>
            </w:pPr>
            <w:r>
              <w:rPr>
                <w:rFonts w:ascii="Calibri" w:hAnsi="Calibri" w:cs="Calibri"/>
                <w:b w:val="0"/>
                <w:sz w:val="20"/>
              </w:rPr>
              <w:t>-157</w:t>
            </w:r>
          </w:p>
        </w:tc>
      </w:tr>
    </w:tbl>
    <w:p>
      <w:pPr>
        <w:spacing w:after="40"/>
      </w:pP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147/80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73</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19</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1.2</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4.7</w:t>
            </w:r>
          </w:p>
        </w:tc>
        <w:tc>
          <w:tcPr>
            <w:tcW w:type="dxa" w:w="2160"/>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68.000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134/80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84</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17</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3.9</w:t>
            </w:r>
          </w:p>
        </w:tc>
        <w:tc>
          <w:tcPr>
            <w:tcW w:type="dxa" w:w="2160"/>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896"/>
            <w:shd w:val="clear" w:color="auto" w:fill="D9E2F3"/>
          </w:tcPr>
          <w:p>
            <w:pPr>
              <w:spacing w:after="20" w:before="20"/>
            </w:pPr>
            <w:r>
              <w:rPr>
                <w:rFonts w:ascii="Calibri" w:hAnsi="Calibri" w:cs="Calibri"/>
                <w:b/>
                <w:sz w:val="20"/>
              </w:rPr>
              <w:t>Weight (kg)</w:t>
            </w:r>
          </w:p>
        </w:tc>
        <w:tc>
          <w:tcPr>
            <w:tcW w:type="dxa" w:w="4896"/>
            <w:shd w:val="clear" w:color="auto" w:fill="D9E2F3"/>
          </w:tcPr>
          <w:p>
            <w:pPr>
              <w:spacing w:after="20" w:before="20"/>
            </w:pPr>
            <w:r>
              <w:rPr>
                <w:rFonts w:ascii="Calibri" w:hAnsi="Calibri" w:cs="Calibri"/>
                <w:b/>
                <w:sz w:val="20"/>
              </w:rPr>
              <w:t>Dry weight (kg)</w:t>
            </w:r>
          </w:p>
        </w:tc>
      </w:tr>
      <w:tr>
        <w:trPr>
          <w:cantSplit/>
        </w:trPr>
        <w:tc>
          <w:tcPr>
            <w:tcW w:type="dxa" w:w="4896"/>
          </w:tcPr>
          <w:p>
            <w:pPr>
              <w:spacing w:after="20" w:before="20"/>
            </w:pPr>
            <w:r>
              <w:rPr>
                <w:rFonts w:ascii="Calibri" w:hAnsi="Calibri" w:cs="Calibri"/>
                <w:b w:val="0"/>
                <w:sz w:val="20"/>
              </w:rPr>
              <w:t>66.000</w:t>
            </w:r>
          </w:p>
        </w:tc>
        <w:tc>
          <w:tcPr>
            <w:tcW w:type="dxa" w:w="4896"/>
          </w:tcPr>
          <w:p>
            <w:pPr>
              <w:spacing w:after="20" w:before="20"/>
            </w:pPr>
            <w:r>
              <w:rPr>
                <w:rFonts w:ascii="Calibri" w:hAnsi="Calibri" w:cs="Calibri"/>
                <w:b w:val="0"/>
                <w:sz w:val="20"/>
              </w:rPr>
              <w:t>63.000</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BX Rating tacrolimus 1 MG Oral Capsule</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12 hours</w:t>
            </w:r>
          </w:p>
        </w:tc>
        <w:tc>
          <w:tcPr>
            <w:tcW w:type="dxa" w:w="2520"/>
          </w:tcPr>
          <w:p>
            <w:pPr>
              <w:spacing w:after="20" w:before="20"/>
            </w:pPr>
            <w:r>
              <w:rPr>
                <w:rFonts w:ascii="Calibri" w:hAnsi="Calibri" w:cs="Calibri"/>
                <w:b w:val="0"/>
                <w:sz w:val="20"/>
              </w:rPr>
              <w:t>Indication: Kidney transplant status</w:t>
            </w:r>
          </w:p>
        </w:tc>
      </w:tr>
      <w:tr>
        <w:trPr>
          <w:cantSplit/>
        </w:trPr>
        <w:tc>
          <w:tcPr>
            <w:tcW w:type="dxa" w:w="3384"/>
          </w:tcPr>
          <w:p>
            <w:pPr>
              <w:spacing w:after="20" w:before="20"/>
            </w:pPr>
            <w:r>
              <w:rPr>
                <w:rFonts w:ascii="Calibri" w:hAnsi="Calibri" w:cs="Calibri"/>
                <w:b w:val="0"/>
                <w:sz w:val="20"/>
              </w:rPr>
              <w:t>amlodipine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valganciclovir 450 MG Oral Tablet</w:t>
            </w:r>
          </w:p>
        </w:tc>
        <w:tc>
          <w:tcPr>
            <w:tcW w:type="dxa" w:w="1224"/>
          </w:tcPr>
          <w:p>
            <w:pPr>
              <w:spacing w:after="20" w:before="20"/>
            </w:pPr>
            <w:r>
              <w:rPr>
                <w:rFonts w:ascii="Calibri" w:hAnsi="Calibri" w:cs="Calibri"/>
                <w:b w:val="0"/>
                <w:sz w:val="20"/>
              </w:rPr>
              <w:t>900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Other cytomegaloviral diseases; Note: Given as 450 MG tablets.</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BX Rating tacrolimus 1 MG Oral Capsule</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12 hours</w:t>
            </w:r>
          </w:p>
        </w:tc>
        <w:tc>
          <w:tcPr>
            <w:tcW w:type="dxa" w:w="2520"/>
          </w:tcPr>
          <w:p>
            <w:pPr>
              <w:spacing w:after="20" w:before="20"/>
            </w:pPr>
            <w:r>
              <w:rPr>
                <w:rFonts w:ascii="Calibri" w:hAnsi="Calibri" w:cs="Calibri"/>
                <w:b w:val="0"/>
                <w:sz w:val="20"/>
              </w:rPr>
              <w:t>Indication: Kidney transplant status</w:t>
            </w:r>
          </w:p>
        </w:tc>
      </w:tr>
      <w:tr>
        <w:trPr>
          <w:cantSplit/>
        </w:trPr>
        <w:tc>
          <w:tcPr>
            <w:tcW w:type="dxa" w:w="3384"/>
          </w:tcPr>
          <w:p>
            <w:pPr>
              <w:spacing w:after="20" w:before="20"/>
            </w:pPr>
            <w:r>
              <w:rPr>
                <w:rFonts w:ascii="Calibri" w:hAnsi="Calibri" w:cs="Calibri"/>
                <w:b w:val="0"/>
                <w:sz w:val="20"/>
              </w:rPr>
              <w:t>amlodipine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valganciclovir 450 MG Oral Tablet</w:t>
            </w:r>
          </w:p>
        </w:tc>
        <w:tc>
          <w:tcPr>
            <w:tcW w:type="dxa" w:w="1224"/>
          </w:tcPr>
          <w:p>
            <w:pPr>
              <w:spacing w:after="20" w:before="20"/>
            </w:pPr>
            <w:r>
              <w:rPr>
                <w:rFonts w:ascii="Calibri" w:hAnsi="Calibri" w:cs="Calibri"/>
                <w:b w:val="0"/>
                <w:sz w:val="20"/>
              </w:rPr>
              <w:t>900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Other cytomegaloviral diseases; Note: Given as 450 MG tablets.</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BX Rating tacrolimus 1 MG Oral Capsule</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12 hours</w:t>
            </w:r>
          </w:p>
        </w:tc>
        <w:tc>
          <w:tcPr>
            <w:tcW w:type="dxa" w:w="2520"/>
          </w:tcPr>
          <w:p>
            <w:pPr>
              <w:spacing w:after="20" w:before="20"/>
            </w:pPr>
            <w:r>
              <w:rPr>
                <w:rFonts w:ascii="Calibri" w:hAnsi="Calibri" w:cs="Calibri"/>
                <w:b w:val="0"/>
                <w:sz w:val="20"/>
              </w:rPr>
              <w:t>Indication: Kidney transplant status</w:t>
            </w:r>
          </w:p>
        </w:tc>
      </w:tr>
      <w:tr>
        <w:trPr>
          <w:cantSplit/>
        </w:trPr>
        <w:tc>
          <w:tcPr>
            <w:tcW w:type="dxa" w:w="3384"/>
          </w:tcPr>
          <w:p>
            <w:pPr>
              <w:spacing w:after="20" w:before="20"/>
            </w:pPr>
            <w:r>
              <w:rPr>
                <w:rFonts w:ascii="Calibri" w:hAnsi="Calibri" w:cs="Calibri"/>
                <w:b w:val="0"/>
                <w:sz w:val="20"/>
              </w:rPr>
              <w:t>amlodipine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valganciclovir 450 MG Oral Tablet</w:t>
            </w:r>
          </w:p>
        </w:tc>
        <w:tc>
          <w:tcPr>
            <w:tcW w:type="dxa" w:w="1224"/>
          </w:tcPr>
          <w:p>
            <w:pPr>
              <w:spacing w:after="20" w:before="20"/>
            </w:pPr>
            <w:r>
              <w:rPr>
                <w:rFonts w:ascii="Calibri" w:hAnsi="Calibri" w:cs="Calibri"/>
                <w:b w:val="0"/>
                <w:sz w:val="20"/>
              </w:rPr>
              <w:t>900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Other cytomegaloviral diseases; Note: Given as 450 MG tablets.</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Parameter</w:t>
            </w:r>
          </w:p>
        </w:tc>
        <w:tc>
          <w:tcPr>
            <w:tcW w:type="dxa" w:w="3264"/>
            <w:shd w:val="clear" w:color="auto" w:fill="D9E2F3"/>
          </w:tcPr>
          <w:p>
            <w:pPr>
              <w:spacing w:after="20" w:before="20"/>
            </w:pPr>
            <w:r>
              <w:rPr>
                <w:rFonts w:ascii="Calibri" w:hAnsi="Calibri" w:cs="Calibri"/>
                <w:b/>
                <w:sz w:val="20"/>
              </w:rPr>
              <w:t>Frequency</w:t>
            </w:r>
          </w:p>
        </w:tc>
        <w:tc>
          <w:tcPr>
            <w:tcW w:type="dxa" w:w="3264"/>
            <w:shd w:val="clear" w:color="auto" w:fill="D9E2F3"/>
          </w:tcPr>
          <w:p>
            <w:pPr>
              <w:spacing w:after="20" w:before="20"/>
            </w:pPr>
            <w:r>
              <w:rPr>
                <w:rFonts w:ascii="Calibri" w:hAnsi="Calibri" w:cs="Calibri"/>
                <w:b/>
                <w:sz w:val="20"/>
              </w:rPr>
              <w:t>Responsible service</w:t>
            </w:r>
          </w:p>
        </w:tc>
      </w:tr>
      <w:tr>
        <w:trPr>
          <w:cantSplit/>
        </w:trPr>
        <w:tc>
          <w:tcPr>
            <w:tcW w:type="dxa" w:w="3264"/>
          </w:tcPr>
          <w:p>
            <w:pPr>
              <w:spacing w:after="20" w:before="20"/>
            </w:pPr>
            <w:r>
              <w:rPr>
                <w:rFonts w:ascii="Calibri" w:hAnsi="Calibri" w:cs="Calibri"/>
                <w:b w:val="0"/>
                <w:sz w:val="20"/>
              </w:rPr>
              <w:t>tacrolimus trough and serum creatinine</w:t>
            </w:r>
          </w:p>
        </w:tc>
        <w:tc>
          <w:tcPr>
            <w:tcW w:type="dxa" w:w="3264"/>
          </w:tcPr>
          <w:p>
            <w:pPr>
              <w:spacing w:after="20" w:before="20"/>
            </w:pPr>
            <w:r>
              <w:rPr>
                <w:rFonts w:ascii="Calibri" w:hAnsi="Calibri" w:cs="Calibri"/>
                <w:b w:val="0"/>
                <w:sz w:val="20"/>
              </w:rPr>
              <w:t>as directed by the transplant service</w:t>
            </w:r>
          </w:p>
        </w:tc>
        <w:tc>
          <w:tcPr>
            <w:tcW w:type="dxa" w:w="3264"/>
          </w:tcPr>
          <w:p>
            <w:pPr>
              <w:spacing w:after="20" w:before="20"/>
            </w:pPr>
            <w:r>
              <w:rPr>
                <w:rFonts w:ascii="Calibri" w:hAnsi="Calibri" w:cs="Calibri"/>
                <w:b w:val="0"/>
                <w:sz w:val="20"/>
              </w:rPr>
              <w:t>transplant</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Transplant clinic follow-up after antiviral conversion</w:t>
            </w:r>
          </w:p>
        </w:tc>
        <w:tc>
          <w:tcPr>
            <w:tcW w:type="dxa" w:w="3264"/>
          </w:tcPr>
          <w:p>
            <w:pPr>
              <w:spacing w:after="20" w:before="20"/>
            </w:pPr>
            <w:r>
              <w:rPr>
                <w:rFonts w:ascii="Calibri" w:hAnsi="Calibri" w:cs="Calibri"/>
                <w:b w:val="0"/>
                <w:sz w:val="20"/>
              </w:rPr>
              <w:t>7 days</w:t>
            </w:r>
          </w:p>
        </w:tc>
        <w:tc>
          <w:tcPr>
            <w:tcW w:type="dxa" w:w="3264"/>
          </w:tcPr>
          <w:p>
            <w:pPr>
              <w:spacing w:after="20" w:before="20"/>
            </w:pPr>
            <w:r>
              <w:rPr>
                <w:rFonts w:ascii="Calibri" w:hAnsi="Calibri" w:cs="Calibri"/>
                <w:b w:val="0"/>
                <w:sz w:val="20"/>
              </w:rPr>
              <w:t>transplant</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Procedure</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Time</w:t>
            </w:r>
          </w:p>
        </w:tc>
        <w:tc>
          <w:tcPr>
            <w:tcW w:type="dxa" w:w="2448"/>
            <w:shd w:val="clear" w:color="auto" w:fill="D9E2F3"/>
          </w:tcPr>
          <w:p>
            <w:pPr>
              <w:spacing w:after="20" w:before="20"/>
            </w:pPr>
            <w:r>
              <w:rPr>
                <w:rFonts w:ascii="Calibri" w:hAnsi="Calibri" w:cs="Calibri"/>
                <w:b/>
                <w:sz w:val="20"/>
              </w:rPr>
              <w:t>Findings</w:t>
            </w:r>
          </w:p>
        </w:tc>
      </w:tr>
      <w:tr>
        <w:trPr>
          <w:cantSplit/>
        </w:trPr>
        <w:tc>
          <w:tcPr>
            <w:tcW w:type="dxa" w:w="2448"/>
          </w:tcPr>
          <w:p>
            <w:pPr>
              <w:spacing w:after="20" w:before="20"/>
            </w:pPr>
            <w:r>
              <w:rPr>
                <w:rFonts w:ascii="Calibri" w:hAnsi="Calibri" w:cs="Calibri"/>
                <w:b w:val="0"/>
                <w:sz w:val="20"/>
              </w:rPr>
              <w:t>CMV viral-load review</w:t>
            </w:r>
          </w:p>
        </w:tc>
        <w:tc>
          <w:tcPr>
            <w:tcW w:type="dxa" w:w="2448"/>
          </w:tcPr>
          <w:p>
            <w:pPr>
              <w:spacing w:after="20" w:before="20"/>
            </w:pPr>
            <w:r>
              <w:rPr>
                <w:rFonts w:ascii="Calibri" w:hAnsi="Calibri" w:cs="Calibri"/>
                <w:b w:val="0"/>
                <w:sz w:val="20"/>
              </w:rPr>
              <w:t>diagnostic</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CMV viral burden was detected and supported antiviral treatment.</w:t>
            </w:r>
          </w:p>
        </w:tc>
      </w:tr>
      <w:tr>
        <w:trPr>
          <w:cantSplit/>
        </w:trPr>
        <w:tc>
          <w:tcPr>
            <w:tcW w:type="dxa" w:w="2448"/>
          </w:tcPr>
          <w:p>
            <w:pPr>
              <w:spacing w:after="20" w:before="20"/>
            </w:pPr>
            <w:r>
              <w:rPr>
                <w:rFonts w:ascii="Calibri" w:hAnsi="Calibri" w:cs="Calibri"/>
                <w:b w:val="0"/>
                <w:sz w:val="20"/>
              </w:rPr>
              <w:t>CMV viral-load review</w:t>
            </w:r>
          </w:p>
        </w:tc>
        <w:tc>
          <w:tcPr>
            <w:tcW w:type="dxa" w:w="2448"/>
          </w:tcPr>
          <w:p>
            <w:pPr>
              <w:spacing w:after="20" w:before="20"/>
            </w:pPr>
            <w:r>
              <w:rPr>
                <w:rFonts w:ascii="Calibri" w:hAnsi="Calibri" w:cs="Calibri"/>
                <w:b w:val="0"/>
                <w:sz w:val="20"/>
              </w:rPr>
              <w:t>diagnostic</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CMV viral burden was lower than the admission result.</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transplant</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Transplant-service recommendations were recorded.</w:t>
            </w:r>
          </w:p>
        </w:tc>
        <w:tc>
          <w:tcPr>
            <w:tcW w:type="dxa" w:w="2448"/>
          </w:tcPr>
          <w:p>
            <w:pPr>
              <w:spacing w:after="20" w:before="20"/>
            </w:pPr>
            <w:r>
              <w:rPr>
                <w:rFonts w:ascii="Calibri" w:hAnsi="Calibri" w:cs="Calibri"/>
                <w:b w:val="0"/>
                <w:sz w:val="20"/>
              </w:rPr>
              <w:t>Continue immunosuppression with infection-related adjustments as documented.</w:t>
            </w:r>
          </w:p>
        </w:tc>
      </w:tr>
      <w:tr>
        <w:trPr>
          <w:cantSplit/>
        </w:trPr>
        <w:tc>
          <w:tcPr>
            <w:tcW w:type="dxa" w:w="2448"/>
          </w:tcPr>
          <w:p>
            <w:pPr>
              <w:spacing w:after="20" w:before="20"/>
            </w:pPr>
            <w:r>
              <w:rPr>
                <w:rFonts w:ascii="Calibri" w:hAnsi="Calibri" w:cs="Calibri"/>
                <w:b w:val="0"/>
                <w:sz w:val="20"/>
              </w:rPr>
              <w:t>infectious disease</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Infectious-disease recommendations were recorded.</w:t>
            </w:r>
          </w:p>
        </w:tc>
        <w:tc>
          <w:tcPr>
            <w:tcW w:type="dxa" w:w="2448"/>
          </w:tcPr>
          <w:p>
            <w:pPr>
              <w:spacing w:after="20" w:before="20"/>
            </w:pPr>
            <w:r>
              <w:rPr>
                <w:rFonts w:ascii="Calibri" w:hAnsi="Calibri" w:cs="Calibri"/>
                <w:b w:val="0"/>
                <w:sz w:val="20"/>
              </w:rPr>
              <w:t>Continue antiviral therapy and infection-related monitoring as documented.</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Diarrhea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6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6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69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6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6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70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7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7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70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7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7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70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7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7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7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7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71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7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7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7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71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71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71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22"/>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VAL-814</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71</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90.000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nephrology</w:t>
      </w:r>
    </w:p>
    <w:p>
      <w:pPr>
        <w:pStyle w:val="ListBullet"/>
        <w:spacing w:after="40" w:before="0"/>
      </w:pPr>
      <w:r>
        <w:rPr>
          <w:rFonts w:ascii="Calibri" w:hAnsi="Calibri" w:cs="Calibri"/>
          <w:b/>
          <w:sz w:val="22"/>
        </w:rPr>
        <w:t xml:space="preserve">Admission diagnosis: </w:t>
      </w:r>
      <w:r>
        <w:rPr>
          <w:rFonts w:ascii="Calibri" w:hAnsi="Calibri" w:cs="Calibri"/>
          <w:b w:val="0"/>
          <w:sz w:val="22"/>
        </w:rPr>
        <w:t>Other cytomegaloviral diseases</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71-year-old Male with Other cytomegaloviral diseases</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Diarrhea, Nausea in the setting of Other cytomegaloviral diseases</w:t>
      </w:r>
    </w:p>
    <w:p>
      <w:pPr>
        <w:pStyle w:val="ListBullet"/>
        <w:spacing w:after="40" w:before="0"/>
      </w:pPr>
      <w:r>
        <w:rPr>
          <w:rFonts w:ascii="Calibri" w:hAnsi="Calibri" w:cs="Calibri"/>
          <w:b/>
          <w:sz w:val="22"/>
        </w:rPr>
        <w:t xml:space="preserve">Symptoms: </w:t>
      </w:r>
      <w:r>
        <w:rPr>
          <w:rFonts w:ascii="Calibri" w:hAnsi="Calibri" w:cs="Calibri"/>
          <w:b w:val="0"/>
          <w:sz w:val="22"/>
        </w:rPr>
        <w:t>Diarrhea, Nausea</w:t>
      </w:r>
    </w:p>
    <w:p>
      <w:pPr>
        <w:pStyle w:val="ListBullet"/>
        <w:spacing w:after="40" w:before="0"/>
      </w:pPr>
      <w:r>
        <w:rPr>
          <w:rFonts w:ascii="Calibri" w:hAnsi="Calibri" w:cs="Calibri"/>
          <w:b/>
          <w:sz w:val="22"/>
        </w:rPr>
        <w:t xml:space="preserve">Symptom duration: </w:t>
      </w:r>
      <w:r>
        <w:rPr>
          <w:rFonts w:ascii="Calibri" w:hAnsi="Calibri" w:cs="Calibri"/>
          <w:b w:val="0"/>
          <w:sz w:val="22"/>
        </w:rPr>
        <w:t>one week</w:t>
      </w:r>
    </w:p>
    <w:p>
      <w:pPr>
        <w:pStyle w:val="ListBullet"/>
        <w:spacing w:after="40" w:before="0"/>
      </w:pPr>
      <w:r>
        <w:rPr>
          <w:rFonts w:ascii="Calibri" w:hAnsi="Calibri" w:cs="Calibri"/>
          <w:b/>
          <w:sz w:val="22"/>
        </w:rPr>
        <w:t xml:space="preserve">Symptom course: </w:t>
      </w:r>
      <w:r>
        <w:rPr>
          <w:rFonts w:ascii="Calibri" w:hAnsi="Calibri" w:cs="Calibri"/>
          <w:b w:val="0"/>
          <w:sz w:val="22"/>
        </w:rPr>
        <w:t>progressive</w:t>
      </w:r>
    </w:p>
    <w:p>
      <w:pPr>
        <w:pStyle w:val="Heading3"/>
      </w:pPr>
      <w:r>
        <w:rPr>
          <w:rFonts w:ascii="Calibri" w:hAnsi="Calibri"/>
          <w:color w:val="1F3A5F"/>
        </w:rPr>
        <w:t>History of present illness</w:t>
      </w:r>
    </w:p>
    <w:p>
      <w:pPr>
        <w:spacing w:after="120"/>
      </w:pPr>
      <w:r>
        <w:rPr>
          <w:rFonts w:ascii="Calibri" w:hAnsi="Calibri" w:cs="Calibri"/>
          <w:b w:val="0"/>
          <w:sz w:val="22"/>
        </w:rPr>
        <w:t>A 71-year-old Male is admitted with Other cytomegaloviral diseases. Presenting symptoms include Diarrhea, Nausea, present for one week and progressive. Home medications include amlodipine 5 MG Oral Tablet, BX Rating tacrolimus 1 MG Oral Capsule, valganciclovir 450 MG Oral Tablet. mycophenolate mofetil 500 MG Oral Tablet was held during the admission (Held during active infection as an immunosuppression adjustment; intended to restart.). Admitted for cytomegalovirus disease after kidney transplantation with an infection-related mycophenolate hold. Mycophenolate was held during infection as an immunosuppression adjustment. Tacrolimus continues for transplant immunosuppression. Volume-related kidney injury led to temporary holds of selected immunosuppression.</w:t>
      </w:r>
    </w:p>
    <w:p>
      <w:pPr>
        <w:pStyle w:val="Heading3"/>
      </w:pPr>
      <w:r>
        <w:rPr>
          <w:rFonts w:ascii="Calibri" w:hAnsi="Calibri"/>
          <w:color w:val="1F3A5F"/>
        </w:rPr>
        <w:t>Admission note</w:t>
      </w:r>
    </w:p>
    <w:p>
      <w:pPr>
        <w:spacing w:after="120"/>
      </w:pPr>
      <w:r>
        <w:rPr>
          <w:rFonts w:ascii="Calibri" w:hAnsi="Calibri" w:cs="Calibri"/>
          <w:b w:val="0"/>
          <w:sz w:val="22"/>
        </w:rPr>
        <w:t>Admission note for a 71-year-old Male with Other cytomegaloviral diseases. Symptoms: Diarrhea, Nausea for one week (progressive). Medications continued from home: amlodipine 5 MG Oral Tablet, BX Rating tacrolimus 1 MG Oral Capsule, valganciclovir 450 MG Oral Tablet. mycophenolate mofetil 500 MG Oral Tablet was held during the admission (Held during active infection as an immunosuppression adjustment; intended to restart.). Admitted for cytomegalovirus disease after kidney transplantation with an infection-related mycophenolate hold. Mycophenolate was held during infection as an immunosuppression adjustment. Tacrolimus continues for transplant immunosuppression. Volume-related kidney injury led to temporary holds of selected immunosuppression.</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Kidney transplant status, Essential (primary) hypertension</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Other cytomegaloviral diseases</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Kidney transplant status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Kidney transplant status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Other cytomegaloviral diseases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Volume-related kidney injury led to temporary holds of selected immunosuppression.</w:t>
      </w:r>
    </w:p>
    <w:p>
      <w:pPr>
        <w:pStyle w:val="Heading3"/>
      </w:pPr>
      <w:r>
        <w:rPr>
          <w:rFonts w:ascii="Calibri" w:hAnsi="Calibri"/>
          <w:color w:val="1F3A5F"/>
        </w:rPr>
        <w:t>Intake and output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Intake (mL)</w:t>
            </w:r>
          </w:p>
        </w:tc>
        <w:tc>
          <w:tcPr>
            <w:tcW w:type="dxa" w:w="2448"/>
            <w:shd w:val="clear" w:color="auto" w:fill="D9E2F3"/>
          </w:tcPr>
          <w:p>
            <w:pPr>
              <w:spacing w:after="20" w:before="20"/>
            </w:pPr>
            <w:r>
              <w:rPr>
                <w:rFonts w:ascii="Calibri" w:hAnsi="Calibri" w:cs="Calibri"/>
                <w:b/>
                <w:sz w:val="20"/>
              </w:rPr>
              <w:t>Output (mL)</w:t>
            </w:r>
          </w:p>
        </w:tc>
        <w:tc>
          <w:tcPr>
            <w:tcW w:type="dxa" w:w="2448"/>
            <w:shd w:val="clear" w:color="auto" w:fill="D9E2F3"/>
          </w:tcPr>
          <w:p>
            <w:pPr>
              <w:spacing w:after="20" w:before="20"/>
            </w:pPr>
            <w:r>
              <w:rPr>
                <w:rFonts w:ascii="Calibri" w:hAnsi="Calibri" w:cs="Calibri"/>
                <w:b/>
                <w:sz w:val="20"/>
              </w:rPr>
              <w:t>Net (mL)</w:t>
            </w:r>
          </w:p>
        </w:tc>
      </w:tr>
      <w:tr>
        <w:trPr>
          <w:cantSplit/>
        </w:trPr>
        <w:tc>
          <w:tcPr>
            <w:tcW w:type="dxa" w:w="2448"/>
          </w:tcPr>
          <w:p>
            <w:pPr>
              <w:spacing w:after="20" w:before="20"/>
            </w:pPr>
            <w:r>
              <w:rPr>
                <w:rFonts w:ascii="Calibri" w:hAnsi="Calibri" w:cs="Calibri"/>
                <w:b w:val="0"/>
                <w:sz w:val="20"/>
              </w:rPr>
              <w:t>hospital day 4</w:t>
            </w:r>
          </w:p>
        </w:tc>
        <w:tc>
          <w:tcPr>
            <w:tcW w:type="dxa" w:w="2448"/>
          </w:tcPr>
          <w:p>
            <w:pPr>
              <w:spacing w:after="20" w:before="20"/>
            </w:pPr>
            <w:r>
              <w:rPr>
                <w:rFonts w:ascii="Calibri" w:hAnsi="Calibri" w:cs="Calibri"/>
                <w:b w:val="0"/>
                <w:sz w:val="20"/>
              </w:rPr>
              <w:t>1441</w:t>
            </w:r>
          </w:p>
        </w:tc>
        <w:tc>
          <w:tcPr>
            <w:tcW w:type="dxa" w:w="2448"/>
          </w:tcPr>
          <w:p>
            <w:pPr>
              <w:spacing w:after="20" w:before="20"/>
            </w:pPr>
            <w:r>
              <w:rPr>
                <w:rFonts w:ascii="Calibri" w:hAnsi="Calibri" w:cs="Calibri"/>
                <w:b w:val="0"/>
                <w:sz w:val="20"/>
              </w:rPr>
              <w:t>1515</w:t>
            </w:r>
          </w:p>
        </w:tc>
        <w:tc>
          <w:tcPr>
            <w:tcW w:type="dxa" w:w="2448"/>
          </w:tcPr>
          <w:p>
            <w:pPr>
              <w:spacing w:after="20" w:before="20"/>
            </w:pPr>
            <w:r>
              <w:rPr>
                <w:rFonts w:ascii="Calibri" w:hAnsi="Calibri" w:cs="Calibri"/>
                <w:b w:val="0"/>
                <w:sz w:val="20"/>
              </w:rPr>
              <w:t>-74</w:t>
            </w:r>
          </w:p>
        </w:tc>
      </w:tr>
    </w:tbl>
    <w:p>
      <w:pPr>
        <w:spacing w:after="40"/>
      </w:pP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120/78</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83</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17</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2.5</w:t>
            </w:r>
          </w:p>
        </w:tc>
        <w:tc>
          <w:tcPr>
            <w:tcW w:type="dxa" w:w="2160"/>
          </w:tcPr>
          <w:p>
            <w:pPr>
              <w:spacing w:after="20" w:before="20"/>
            </w:pPr>
            <w:r>
              <w:rPr>
                <w:rFonts w:ascii="Calibri" w:hAnsi="Calibri" w:cs="Calibri"/>
                <w:b w:val="0"/>
                <w:sz w:val="20"/>
              </w:rPr>
              <w:t>mg/dL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90.000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120/86</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17</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1.6</w:t>
            </w:r>
          </w:p>
        </w:tc>
        <w:tc>
          <w:tcPr>
            <w:tcW w:type="dxa" w:w="2160"/>
          </w:tcPr>
          <w:p>
            <w:pPr>
              <w:spacing w:after="20" w:before="20"/>
            </w:pPr>
            <w:r>
              <w:rPr>
                <w:rFonts w:ascii="Calibri" w:hAnsi="Calibri" w:cs="Calibri"/>
                <w:b w:val="0"/>
                <w:sz w:val="20"/>
              </w:rPr>
              <w:t>mg/dL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896"/>
            <w:shd w:val="clear" w:color="auto" w:fill="D9E2F3"/>
          </w:tcPr>
          <w:p>
            <w:pPr>
              <w:spacing w:after="20" w:before="20"/>
            </w:pPr>
            <w:r>
              <w:rPr>
                <w:rFonts w:ascii="Calibri" w:hAnsi="Calibri" w:cs="Calibri"/>
                <w:b/>
                <w:sz w:val="20"/>
              </w:rPr>
              <w:t>Weight (kg)</w:t>
            </w:r>
          </w:p>
        </w:tc>
        <w:tc>
          <w:tcPr>
            <w:tcW w:type="dxa" w:w="4896"/>
            <w:shd w:val="clear" w:color="auto" w:fill="D9E2F3"/>
          </w:tcPr>
          <w:p>
            <w:pPr>
              <w:spacing w:after="20" w:before="20"/>
            </w:pPr>
            <w:r>
              <w:rPr>
                <w:rFonts w:ascii="Calibri" w:hAnsi="Calibri" w:cs="Calibri"/>
                <w:b/>
                <w:sz w:val="20"/>
              </w:rPr>
              <w:t>Dry weight (kg)</w:t>
            </w:r>
          </w:p>
        </w:tc>
      </w:tr>
      <w:tr>
        <w:trPr>
          <w:cantSplit/>
        </w:trPr>
        <w:tc>
          <w:tcPr>
            <w:tcW w:type="dxa" w:w="4896"/>
          </w:tcPr>
          <w:p>
            <w:pPr>
              <w:spacing w:after="20" w:before="20"/>
            </w:pPr>
            <w:r>
              <w:rPr>
                <w:rFonts w:ascii="Calibri" w:hAnsi="Calibri" w:cs="Calibri"/>
                <w:b w:val="0"/>
                <w:sz w:val="20"/>
              </w:rPr>
              <w:t>84.000</w:t>
            </w:r>
          </w:p>
        </w:tc>
        <w:tc>
          <w:tcPr>
            <w:tcW w:type="dxa" w:w="4896"/>
          </w:tcPr>
          <w:p>
            <w:pPr>
              <w:spacing w:after="20" w:before="20"/>
            </w:pPr>
            <w:r>
              <w:rPr>
                <w:rFonts w:ascii="Calibri" w:hAnsi="Calibri" w:cs="Calibri"/>
                <w:b w:val="0"/>
                <w:sz w:val="20"/>
              </w:rPr>
              <w:t>85.000</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BX Rating tacrolimus 1 MG Oral Capsule</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12 hours</w:t>
            </w:r>
          </w:p>
        </w:tc>
        <w:tc>
          <w:tcPr>
            <w:tcW w:type="dxa" w:w="2520"/>
          </w:tcPr>
          <w:p>
            <w:pPr>
              <w:spacing w:after="20" w:before="20"/>
            </w:pPr>
            <w:r>
              <w:rPr>
                <w:rFonts w:ascii="Calibri" w:hAnsi="Calibri" w:cs="Calibri"/>
                <w:b w:val="0"/>
                <w:sz w:val="20"/>
              </w:rPr>
              <w:t>Indication: Kidney transplant status</w:t>
            </w:r>
          </w:p>
        </w:tc>
      </w:tr>
      <w:tr>
        <w:trPr>
          <w:cantSplit/>
        </w:trPr>
        <w:tc>
          <w:tcPr>
            <w:tcW w:type="dxa" w:w="3384"/>
          </w:tcPr>
          <w:p>
            <w:pPr>
              <w:spacing w:after="20" w:before="20"/>
            </w:pPr>
            <w:r>
              <w:rPr>
                <w:rFonts w:ascii="Calibri" w:hAnsi="Calibri" w:cs="Calibri"/>
                <w:b w:val="0"/>
                <w:sz w:val="20"/>
              </w:rPr>
              <w:t>amlodipine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mycophenolate mofetil 500 MG Oral Tablet</w:t>
            </w:r>
          </w:p>
        </w:tc>
        <w:tc>
          <w:tcPr>
            <w:tcW w:type="dxa" w:w="1224"/>
          </w:tcPr>
          <w:p>
            <w:pPr>
              <w:spacing w:after="20" w:before="20"/>
            </w:pPr>
            <w:r>
              <w:rPr>
                <w:rFonts w:ascii="Calibri" w:hAnsi="Calibri" w:cs="Calibri"/>
                <w:b w:val="0"/>
                <w:sz w:val="20"/>
              </w:rPr>
              <w:t>1000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Kidney transplant status</w:t>
            </w:r>
          </w:p>
        </w:tc>
      </w:tr>
      <w:tr>
        <w:trPr>
          <w:cantSplit/>
        </w:trPr>
        <w:tc>
          <w:tcPr>
            <w:tcW w:type="dxa" w:w="3384"/>
          </w:tcPr>
          <w:p>
            <w:pPr>
              <w:spacing w:after="20" w:before="20"/>
            </w:pPr>
            <w:r>
              <w:rPr>
                <w:rFonts w:ascii="Calibri" w:hAnsi="Calibri" w:cs="Calibri"/>
                <w:b w:val="0"/>
                <w:sz w:val="20"/>
              </w:rPr>
              <w:t>valganciclovir 450 MG Oral Tablet</w:t>
            </w:r>
          </w:p>
        </w:tc>
        <w:tc>
          <w:tcPr>
            <w:tcW w:type="dxa" w:w="1224"/>
          </w:tcPr>
          <w:p>
            <w:pPr>
              <w:spacing w:after="20" w:before="20"/>
            </w:pPr>
            <w:r>
              <w:rPr>
                <w:rFonts w:ascii="Calibri" w:hAnsi="Calibri" w:cs="Calibri"/>
                <w:b w:val="0"/>
                <w:sz w:val="20"/>
              </w:rPr>
              <w:t>900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Other cytomegaloviral diseases; Note: Given as 450 MG tablets.</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BX Rating tacrolimus 1 MG Oral Capsule</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12 hours</w:t>
            </w:r>
          </w:p>
        </w:tc>
        <w:tc>
          <w:tcPr>
            <w:tcW w:type="dxa" w:w="2520"/>
          </w:tcPr>
          <w:p>
            <w:pPr>
              <w:spacing w:after="20" w:before="20"/>
            </w:pPr>
            <w:r>
              <w:rPr>
                <w:rFonts w:ascii="Calibri" w:hAnsi="Calibri" w:cs="Calibri"/>
                <w:b w:val="0"/>
                <w:sz w:val="20"/>
              </w:rPr>
              <w:t>Indication: Kidney transplant status</w:t>
            </w:r>
          </w:p>
        </w:tc>
      </w:tr>
      <w:tr>
        <w:trPr>
          <w:cantSplit/>
        </w:trPr>
        <w:tc>
          <w:tcPr>
            <w:tcW w:type="dxa" w:w="3384"/>
          </w:tcPr>
          <w:p>
            <w:pPr>
              <w:spacing w:after="20" w:before="20"/>
            </w:pPr>
            <w:r>
              <w:rPr>
                <w:rFonts w:ascii="Calibri" w:hAnsi="Calibri" w:cs="Calibri"/>
                <w:b w:val="0"/>
                <w:sz w:val="20"/>
              </w:rPr>
              <w:t>amlodipine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mycophenolate mofetil 500 MG Oral Tablet</w:t>
            </w:r>
          </w:p>
        </w:tc>
        <w:tc>
          <w:tcPr>
            <w:tcW w:type="dxa" w:w="1224"/>
          </w:tcPr>
          <w:p>
            <w:pPr>
              <w:spacing w:after="20" w:before="20"/>
            </w:pPr>
            <w:r>
              <w:rPr>
                <w:rFonts w:ascii="Calibri" w:hAnsi="Calibri" w:cs="Calibri"/>
                <w:b w:val="0"/>
                <w:sz w:val="20"/>
              </w:rPr>
              <w:t>1000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Status: held; Indication: Kidney transplant status; Held reason: Held during active infection as an immunosuppression adjustment; intended to restart.</w:t>
            </w:r>
          </w:p>
        </w:tc>
      </w:tr>
      <w:tr>
        <w:trPr>
          <w:cantSplit/>
        </w:trPr>
        <w:tc>
          <w:tcPr>
            <w:tcW w:type="dxa" w:w="3384"/>
          </w:tcPr>
          <w:p>
            <w:pPr>
              <w:spacing w:after="20" w:before="20"/>
            </w:pPr>
            <w:r>
              <w:rPr>
                <w:rFonts w:ascii="Calibri" w:hAnsi="Calibri" w:cs="Calibri"/>
                <w:b w:val="0"/>
                <w:sz w:val="20"/>
              </w:rPr>
              <w:t>valganciclovir 450 MG Oral Tablet</w:t>
            </w:r>
          </w:p>
        </w:tc>
        <w:tc>
          <w:tcPr>
            <w:tcW w:type="dxa" w:w="1224"/>
          </w:tcPr>
          <w:p>
            <w:pPr>
              <w:spacing w:after="20" w:before="20"/>
            </w:pPr>
            <w:r>
              <w:rPr>
                <w:rFonts w:ascii="Calibri" w:hAnsi="Calibri" w:cs="Calibri"/>
                <w:b w:val="0"/>
                <w:sz w:val="20"/>
              </w:rPr>
              <w:t>900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Other cytomegaloviral diseases; Note: Given as 450 MG tablets.</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BX Rating tacrolimus 1 MG Oral Capsule</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12 hours</w:t>
            </w:r>
          </w:p>
        </w:tc>
        <w:tc>
          <w:tcPr>
            <w:tcW w:type="dxa" w:w="2520"/>
          </w:tcPr>
          <w:p>
            <w:pPr>
              <w:spacing w:after="20" w:before="20"/>
            </w:pPr>
            <w:r>
              <w:rPr>
                <w:rFonts w:ascii="Calibri" w:hAnsi="Calibri" w:cs="Calibri"/>
                <w:b w:val="0"/>
                <w:sz w:val="20"/>
              </w:rPr>
              <w:t>Indication: Kidney transplant status</w:t>
            </w:r>
          </w:p>
        </w:tc>
      </w:tr>
      <w:tr>
        <w:trPr>
          <w:cantSplit/>
        </w:trPr>
        <w:tc>
          <w:tcPr>
            <w:tcW w:type="dxa" w:w="3384"/>
          </w:tcPr>
          <w:p>
            <w:pPr>
              <w:spacing w:after="20" w:before="20"/>
            </w:pPr>
            <w:r>
              <w:rPr>
                <w:rFonts w:ascii="Calibri" w:hAnsi="Calibri" w:cs="Calibri"/>
                <w:b w:val="0"/>
                <w:sz w:val="20"/>
              </w:rPr>
              <w:t>amlodipine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mycophenolate mofetil 500 MG Oral Tablet</w:t>
            </w:r>
          </w:p>
        </w:tc>
        <w:tc>
          <w:tcPr>
            <w:tcW w:type="dxa" w:w="1224"/>
          </w:tcPr>
          <w:p>
            <w:pPr>
              <w:spacing w:after="20" w:before="20"/>
            </w:pPr>
            <w:r>
              <w:rPr>
                <w:rFonts w:ascii="Calibri" w:hAnsi="Calibri" w:cs="Calibri"/>
                <w:b w:val="0"/>
                <w:sz w:val="20"/>
              </w:rPr>
              <w:t>1000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Status: held; Indication: Kidney transplant status; Held reason: Held during active infection as an immunosuppression adjustment; intended to restart.</w:t>
            </w:r>
          </w:p>
        </w:tc>
      </w:tr>
      <w:tr>
        <w:trPr>
          <w:cantSplit/>
        </w:trPr>
        <w:tc>
          <w:tcPr>
            <w:tcW w:type="dxa" w:w="3384"/>
          </w:tcPr>
          <w:p>
            <w:pPr>
              <w:spacing w:after="20" w:before="20"/>
            </w:pPr>
            <w:r>
              <w:rPr>
                <w:rFonts w:ascii="Calibri" w:hAnsi="Calibri" w:cs="Calibri"/>
                <w:b w:val="0"/>
                <w:sz w:val="20"/>
              </w:rPr>
              <w:t>valganciclovir 450 MG Oral Tablet</w:t>
            </w:r>
          </w:p>
        </w:tc>
        <w:tc>
          <w:tcPr>
            <w:tcW w:type="dxa" w:w="1224"/>
          </w:tcPr>
          <w:p>
            <w:pPr>
              <w:spacing w:after="20" w:before="20"/>
            </w:pPr>
            <w:r>
              <w:rPr>
                <w:rFonts w:ascii="Calibri" w:hAnsi="Calibri" w:cs="Calibri"/>
                <w:b w:val="0"/>
                <w:sz w:val="20"/>
              </w:rPr>
              <w:t>900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Other cytomegaloviral diseases; Note: Given as 450 MG tablets.</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Parameter</w:t>
            </w:r>
          </w:p>
        </w:tc>
        <w:tc>
          <w:tcPr>
            <w:tcW w:type="dxa" w:w="3264"/>
            <w:shd w:val="clear" w:color="auto" w:fill="D9E2F3"/>
          </w:tcPr>
          <w:p>
            <w:pPr>
              <w:spacing w:after="20" w:before="20"/>
            </w:pPr>
            <w:r>
              <w:rPr>
                <w:rFonts w:ascii="Calibri" w:hAnsi="Calibri" w:cs="Calibri"/>
                <w:b/>
                <w:sz w:val="20"/>
              </w:rPr>
              <w:t>Frequency</w:t>
            </w:r>
          </w:p>
        </w:tc>
        <w:tc>
          <w:tcPr>
            <w:tcW w:type="dxa" w:w="3264"/>
            <w:shd w:val="clear" w:color="auto" w:fill="D9E2F3"/>
          </w:tcPr>
          <w:p>
            <w:pPr>
              <w:spacing w:after="20" w:before="20"/>
            </w:pPr>
            <w:r>
              <w:rPr>
                <w:rFonts w:ascii="Calibri" w:hAnsi="Calibri" w:cs="Calibri"/>
                <w:b/>
                <w:sz w:val="20"/>
              </w:rPr>
              <w:t>Responsible service</w:t>
            </w:r>
          </w:p>
        </w:tc>
      </w:tr>
      <w:tr>
        <w:trPr>
          <w:cantSplit/>
        </w:trPr>
        <w:tc>
          <w:tcPr>
            <w:tcW w:type="dxa" w:w="3264"/>
          </w:tcPr>
          <w:p>
            <w:pPr>
              <w:spacing w:after="20" w:before="20"/>
            </w:pPr>
            <w:r>
              <w:rPr>
                <w:rFonts w:ascii="Calibri" w:hAnsi="Calibri" w:cs="Calibri"/>
                <w:b w:val="0"/>
                <w:sz w:val="20"/>
              </w:rPr>
              <w:t>tacrolimus trough and serum creatinine</w:t>
            </w:r>
          </w:p>
        </w:tc>
        <w:tc>
          <w:tcPr>
            <w:tcW w:type="dxa" w:w="3264"/>
          </w:tcPr>
          <w:p>
            <w:pPr>
              <w:spacing w:after="20" w:before="20"/>
            </w:pPr>
            <w:r>
              <w:rPr>
                <w:rFonts w:ascii="Calibri" w:hAnsi="Calibri" w:cs="Calibri"/>
                <w:b w:val="0"/>
                <w:sz w:val="20"/>
              </w:rPr>
              <w:t>as directed by the transplant service</w:t>
            </w:r>
          </w:p>
        </w:tc>
        <w:tc>
          <w:tcPr>
            <w:tcW w:type="dxa" w:w="3264"/>
          </w:tcPr>
          <w:p>
            <w:pPr>
              <w:spacing w:after="20" w:before="20"/>
            </w:pPr>
            <w:r>
              <w:rPr>
                <w:rFonts w:ascii="Calibri" w:hAnsi="Calibri" w:cs="Calibri"/>
                <w:b w:val="0"/>
                <w:sz w:val="20"/>
              </w:rPr>
              <w:t>transplant</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Transplant follow-up to reassess held immunosuppression</w:t>
            </w:r>
          </w:p>
        </w:tc>
        <w:tc>
          <w:tcPr>
            <w:tcW w:type="dxa" w:w="3264"/>
          </w:tcPr>
          <w:p>
            <w:pPr>
              <w:spacing w:after="20" w:before="20"/>
            </w:pPr>
            <w:r>
              <w:rPr>
                <w:rFonts w:ascii="Calibri" w:hAnsi="Calibri" w:cs="Calibri"/>
                <w:b w:val="0"/>
                <w:sz w:val="20"/>
              </w:rPr>
              <w:t>5 days</w:t>
            </w:r>
          </w:p>
        </w:tc>
        <w:tc>
          <w:tcPr>
            <w:tcW w:type="dxa" w:w="3264"/>
          </w:tcPr>
          <w:p>
            <w:pPr>
              <w:spacing w:after="20" w:before="20"/>
            </w:pPr>
            <w:r>
              <w:rPr>
                <w:rFonts w:ascii="Calibri" w:hAnsi="Calibri" w:cs="Calibri"/>
                <w:b w:val="0"/>
                <w:sz w:val="20"/>
              </w:rPr>
              <w:t>transplant</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Procedure</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Time</w:t>
            </w:r>
          </w:p>
        </w:tc>
        <w:tc>
          <w:tcPr>
            <w:tcW w:type="dxa" w:w="2448"/>
            <w:shd w:val="clear" w:color="auto" w:fill="D9E2F3"/>
          </w:tcPr>
          <w:p>
            <w:pPr>
              <w:spacing w:after="20" w:before="20"/>
            </w:pPr>
            <w:r>
              <w:rPr>
                <w:rFonts w:ascii="Calibri" w:hAnsi="Calibri" w:cs="Calibri"/>
                <w:b/>
                <w:sz w:val="20"/>
              </w:rPr>
              <w:t>Findings</w:t>
            </w:r>
          </w:p>
        </w:tc>
      </w:tr>
      <w:tr>
        <w:trPr>
          <w:cantSplit/>
        </w:trPr>
        <w:tc>
          <w:tcPr>
            <w:tcW w:type="dxa" w:w="2448"/>
          </w:tcPr>
          <w:p>
            <w:pPr>
              <w:spacing w:after="20" w:before="20"/>
            </w:pPr>
            <w:r>
              <w:rPr>
                <w:rFonts w:ascii="Calibri" w:hAnsi="Calibri" w:cs="Calibri"/>
                <w:b w:val="0"/>
                <w:sz w:val="20"/>
              </w:rPr>
              <w:t>CMV viral-load review</w:t>
            </w:r>
          </w:p>
        </w:tc>
        <w:tc>
          <w:tcPr>
            <w:tcW w:type="dxa" w:w="2448"/>
          </w:tcPr>
          <w:p>
            <w:pPr>
              <w:spacing w:after="20" w:before="20"/>
            </w:pPr>
            <w:r>
              <w:rPr>
                <w:rFonts w:ascii="Calibri" w:hAnsi="Calibri" w:cs="Calibri"/>
                <w:b w:val="0"/>
                <w:sz w:val="20"/>
              </w:rPr>
              <w:t>diagnostic</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CMV viral burden was detected and supported antiviral treatment.</w:t>
            </w:r>
          </w:p>
        </w:tc>
      </w:tr>
      <w:tr>
        <w:trPr>
          <w:cantSplit/>
        </w:trPr>
        <w:tc>
          <w:tcPr>
            <w:tcW w:type="dxa" w:w="2448"/>
          </w:tcPr>
          <w:p>
            <w:pPr>
              <w:spacing w:after="20" w:before="20"/>
            </w:pPr>
            <w:r>
              <w:rPr>
                <w:rFonts w:ascii="Calibri" w:hAnsi="Calibri" w:cs="Calibri"/>
                <w:b w:val="0"/>
                <w:sz w:val="20"/>
              </w:rPr>
              <w:t>CMV viral-load review</w:t>
            </w:r>
          </w:p>
        </w:tc>
        <w:tc>
          <w:tcPr>
            <w:tcW w:type="dxa" w:w="2448"/>
          </w:tcPr>
          <w:p>
            <w:pPr>
              <w:spacing w:after="20" w:before="20"/>
            </w:pPr>
            <w:r>
              <w:rPr>
                <w:rFonts w:ascii="Calibri" w:hAnsi="Calibri" w:cs="Calibri"/>
                <w:b w:val="0"/>
                <w:sz w:val="20"/>
              </w:rPr>
              <w:t>diagnostic</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CMV viral burden was lower than the admission result.</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transplant</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Transplant-service recommendations were recorded.</w:t>
            </w:r>
          </w:p>
        </w:tc>
        <w:tc>
          <w:tcPr>
            <w:tcW w:type="dxa" w:w="2448"/>
          </w:tcPr>
          <w:p>
            <w:pPr>
              <w:spacing w:after="20" w:before="20"/>
            </w:pPr>
            <w:r>
              <w:rPr>
                <w:rFonts w:ascii="Calibri" w:hAnsi="Calibri" w:cs="Calibri"/>
                <w:b w:val="0"/>
                <w:sz w:val="20"/>
              </w:rPr>
              <w:t>Continue immunosuppression with infection-related adjustments as documented.</w:t>
            </w:r>
          </w:p>
        </w:tc>
      </w:tr>
      <w:tr>
        <w:trPr>
          <w:cantSplit/>
        </w:trPr>
        <w:tc>
          <w:tcPr>
            <w:tcW w:type="dxa" w:w="2448"/>
          </w:tcPr>
          <w:p>
            <w:pPr>
              <w:spacing w:after="20" w:before="20"/>
            </w:pPr>
            <w:r>
              <w:rPr>
                <w:rFonts w:ascii="Calibri" w:hAnsi="Calibri" w:cs="Calibri"/>
                <w:b w:val="0"/>
                <w:sz w:val="20"/>
              </w:rPr>
              <w:t>infectious disease</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Infectious-disease recommendations were recorded.</w:t>
            </w:r>
          </w:p>
        </w:tc>
        <w:tc>
          <w:tcPr>
            <w:tcW w:type="dxa" w:w="2448"/>
          </w:tcPr>
          <w:p>
            <w:pPr>
              <w:spacing w:after="20" w:before="20"/>
            </w:pPr>
            <w:r>
              <w:rPr>
                <w:rFonts w:ascii="Calibri" w:hAnsi="Calibri" w:cs="Calibri"/>
                <w:b w:val="0"/>
                <w:sz w:val="20"/>
              </w:rPr>
              <w:t>Continue antiviral therapy and infection-related monitoring as documented.</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Diarrhea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7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7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75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Error-bearing</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Family 2</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Held medication without a restart plan (f2_held_med_no_restart_plan)</w:t>
            </w:r>
          </w:p>
        </w:tc>
      </w:tr>
      <w:tr>
        <w:trPr>
          <w:cantSplit/>
        </w:trPr>
        <w:tc>
          <w:tcPr>
            <w:tcW w:type="dxa" w:w="3744"/>
          </w:tcPr>
          <w:p>
            <w:pPr>
              <w:spacing w:after="20" w:before="20"/>
            </w:pPr>
            <w:r>
              <w:rPr>
                <w:rFonts w:ascii="Calibri" w:hAnsi="Calibri" w:cs="Calibri"/>
                <w:b w:val="0"/>
                <w:sz w:val="20"/>
              </w:rPr>
              <w:t>Intended assessment target</w:t>
            </w:r>
          </w:p>
        </w:tc>
        <w:tc>
          <w:tcPr>
            <w:tcW w:type="dxa" w:w="6048"/>
          </w:tcPr>
          <w:p>
            <w:pPr>
              <w:spacing w:after="20" w:before="20"/>
            </w:pPr>
            <w:r>
              <w:rPr>
                <w:rFonts w:ascii="Calibri" w:hAnsi="Calibri" w:cs="Calibri"/>
                <w:b w:val="0"/>
                <w:sz w:val="20"/>
              </w:rPr>
              <w:t>A home medication legitimately held during hospitalization has no documented resumption criterion or timing at discharge.</w:t>
            </w:r>
          </w:p>
        </w:tc>
      </w:tr>
      <w:tr>
        <w:trPr>
          <w:cantSplit/>
        </w:trPr>
        <w:tc>
          <w:tcPr>
            <w:tcW w:type="dxa" w:w="3744"/>
          </w:tcPr>
          <w:p>
            <w:pPr>
              <w:spacing w:after="20" w:before="20"/>
            </w:pPr>
            <w:r>
              <w:rPr>
                <w:rFonts w:ascii="Calibri" w:hAnsi="Calibri" w:cs="Calibri"/>
                <w:b w:val="0"/>
                <w:sz w:val="20"/>
              </w:rPr>
              <w:t>Medication involved</w:t>
            </w:r>
          </w:p>
        </w:tc>
        <w:tc>
          <w:tcPr>
            <w:tcW w:type="dxa" w:w="6048"/>
          </w:tcPr>
          <w:p>
            <w:pPr>
              <w:spacing w:after="20" w:before="20"/>
            </w:pPr>
            <w:r>
              <w:rPr>
                <w:rFonts w:ascii="Calibri" w:hAnsi="Calibri" w:cs="Calibri"/>
                <w:b w:val="0"/>
                <w:sz w:val="20"/>
              </w:rPr>
              <w:t>mycophenolate mofetil 500 MG Oral Tablet</w:t>
            </w:r>
          </w:p>
        </w:tc>
      </w:tr>
      <w:tr>
        <w:trPr>
          <w:cantSplit/>
        </w:trPr>
        <w:tc>
          <w:tcPr>
            <w:tcW w:type="dxa" w:w="3744"/>
          </w:tcPr>
          <w:p>
            <w:pPr>
              <w:spacing w:after="20" w:before="20"/>
            </w:pPr>
            <w:r>
              <w:rPr>
                <w:rFonts w:ascii="Calibri" w:hAnsi="Calibri" w:cs="Calibri"/>
                <w:b w:val="0"/>
                <w:sz w:val="20"/>
              </w:rPr>
              <w:t>Clean expected state</w:t>
            </w:r>
          </w:p>
        </w:tc>
        <w:tc>
          <w:tcPr>
            <w:tcW w:type="dxa" w:w="6048"/>
          </w:tcPr>
          <w:p>
            <w:pPr>
              <w:spacing w:after="20" w:before="20"/>
            </w:pPr>
            <w:r>
              <w:rPr>
                <w:rFonts w:ascii="Calibri" w:hAnsi="Calibri" w:cs="Calibri"/>
                <w:b w:val="0"/>
                <w:sz w:val="20"/>
              </w:rPr>
              <w:t>Changed field: restart_plan</w:t>
              <w:br/>
              <w:t>instructions: Resume when holding mycophenolate mofetil 500 MG Oral Tablet: Resume mycophenolate when diarrhea has resolved and the transplant team confirms restart.; target or goal: Resume mycophenolate when diarrhea has resolved and the transplant team confirms restart.; Resume mycophenolate when diarrhea has resolved and the transplant team confirms restart.</w:t>
            </w:r>
          </w:p>
        </w:tc>
      </w:tr>
      <w:tr>
        <w:trPr>
          <w:cantSplit/>
        </w:trPr>
        <w:tc>
          <w:tcPr>
            <w:tcW w:type="dxa" w:w="3744"/>
          </w:tcPr>
          <w:p>
            <w:pPr>
              <w:spacing w:after="20" w:before="20"/>
            </w:pPr>
            <w:r>
              <w:rPr>
                <w:rFonts w:ascii="Calibri" w:hAnsi="Calibri" w:cs="Calibri"/>
                <w:b w:val="0"/>
                <w:sz w:val="20"/>
              </w:rPr>
              <w:t>What appears in this case</w:t>
            </w:r>
          </w:p>
        </w:tc>
        <w:tc>
          <w:tcPr>
            <w:tcW w:type="dxa" w:w="6048"/>
          </w:tcPr>
          <w:p>
            <w:pPr>
              <w:spacing w:after="20" w:before="20"/>
            </w:pPr>
            <w:r>
              <w:rPr>
                <w:rFonts w:ascii="Calibri" w:hAnsi="Calibri" w:cs="Calibri"/>
                <w:b w:val="0"/>
                <w:sz w:val="20"/>
              </w:rPr>
              <w:t>instructions: none; target or goal: none</w:t>
            </w:r>
          </w:p>
        </w:tc>
      </w:tr>
      <w:tr>
        <w:trPr>
          <w:cantSplit/>
        </w:trPr>
        <w:tc>
          <w:tcPr>
            <w:tcW w:type="dxa" w:w="3744"/>
          </w:tcPr>
          <w:p>
            <w:pPr>
              <w:spacing w:after="20" w:before="20"/>
            </w:pPr>
            <w:r>
              <w:rPr>
                <w:rFonts w:ascii="Calibri" w:hAnsi="Calibri" w:cs="Calibri"/>
                <w:b w:val="0"/>
                <w:sz w:val="20"/>
              </w:rPr>
              <w:t>Evidence available in the chart</w:t>
            </w:r>
          </w:p>
        </w:tc>
        <w:tc>
          <w:tcPr>
            <w:tcW w:type="dxa" w:w="6048"/>
          </w:tcPr>
          <w:p>
            <w:pPr>
              <w:spacing w:after="20" w:before="20"/>
            </w:pPr>
            <w:r>
              <w:rPr>
                <w:rFonts w:ascii="Calibri" w:hAnsi="Calibri" w:cs="Calibri"/>
                <w:b w:val="0"/>
                <w:sz w:val="20"/>
              </w:rPr>
              <w:t>The medication was held for a documented reason and needs a restart plan.</w:t>
              <w:br/>
              <w:t>Evidence location: Home medications, Medications during hospitalization, Discharge instructions</w:t>
              <w:br/>
              <w:t>Detectability location: Discharge instructions, CaseMedication.target or goal</w:t>
            </w:r>
          </w:p>
        </w:tc>
      </w:tr>
      <w:tr>
        <w:trPr>
          <w:cantSplit/>
        </w:trPr>
        <w:tc>
          <w:tcPr>
            <w:tcW w:type="dxa" w:w="3744"/>
          </w:tcPr>
          <w:p>
            <w:pPr>
              <w:spacing w:after="20" w:before="20"/>
            </w:pPr>
            <w:r>
              <w:rPr>
                <w:rFonts w:ascii="Calibri" w:hAnsi="Calibri" w:cs="Calibri"/>
                <w:b w:val="0"/>
                <w:sz w:val="20"/>
              </w:rPr>
              <w:t>Expected clinical action</w:t>
            </w:r>
          </w:p>
        </w:tc>
        <w:tc>
          <w:tcPr>
            <w:tcW w:type="dxa" w:w="6048"/>
          </w:tcPr>
          <w:p>
            <w:pPr>
              <w:spacing w:after="20" w:before="20"/>
            </w:pPr>
            <w:r>
              <w:rPr>
                <w:rFonts w:ascii="Calibri" w:hAnsi="Calibri" w:cs="Calibri"/>
                <w:b w:val="0"/>
                <w:sz w:val="20"/>
              </w:rPr>
              <w:t>Document when and under what criteria the held medication should be restarted.</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the clinical case actually contain the intended medication-reconciliation or transition-of-care problem described above, and does it match the intended category?</w:t>
      </w:r>
    </w:p>
    <w:p>
      <w:pPr>
        <w:keepLines/>
        <w:spacing w:before="80" w:after="160"/>
      </w:pPr>
      <w:sdt>
        <w:sdtPr>
          <w:rPr>
            <w:rFonts w:ascii="MS Gothic" w:hAnsi="MS Gothic" w:cs="MS Gothic" w:eastAsia="MS Gothic" w:hint="eastAsia"/>
            <w:sz w:val="28"/>
            <w:szCs w:val="28"/>
          </w:rPr>
          <w:alias w:val="C2 result"/>
          <w:tag w:val="c2-result"/>
          <w:id w:val="7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7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75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Could an internal-medicine resident identify and resolve the intended problem using only the clinical information provided in the patient-facing case?</w:t>
      </w:r>
    </w:p>
    <w:p>
      <w:pPr>
        <w:spacing w:after="120"/>
      </w:pPr>
      <w:r>
        <w:rPr>
          <w:rFonts w:ascii="Calibri" w:hAnsi="Calibri" w:cs="Calibri"/>
          <w:b w:val="0"/>
          <w:sz w:val="22"/>
        </w:rPr>
        <w:t>Consider whether the necessary evidence is present, whether key information is missing, whether the target is ambiguous, whether wording gives away the answer, and whether the expected clinical action can reasonably be determined.</w:t>
      </w:r>
    </w:p>
    <w:p>
      <w:pPr>
        <w:keepLines/>
        <w:spacing w:before="80" w:after="160"/>
      </w:pPr>
      <w:sdt>
        <w:sdtPr>
          <w:rPr>
            <w:rFonts w:ascii="MS Gothic" w:hAnsi="MS Gothic" w:cs="MS Gothic" w:eastAsia="MS Gothic" w:hint="eastAsia"/>
            <w:sz w:val="28"/>
            <w:szCs w:val="28"/>
          </w:rPr>
          <w:alias w:val="C3 result"/>
          <w:tag w:val="c3-result"/>
          <w:id w:val="7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7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75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Apart from the intended assessment problem, does the case contain another clinically meaningful medication-reconciliation or transition-of-care problem that a reasonable resident could interpret as an alternative target?</w:t>
      </w:r>
    </w:p>
    <w:p>
      <w:pPr>
        <w:keepLines/>
        <w:spacing w:before="80" w:after="160"/>
      </w:pPr>
      <w:sdt>
        <w:sdtPr>
          <w:rPr>
            <w:rFonts w:ascii="MS Gothic" w:hAnsi="MS Gothic" w:cs="MS Gothic" w:eastAsia="MS Gothic" w:hint="eastAsia"/>
            <w:sz w:val="28"/>
            <w:szCs w:val="28"/>
          </w:rPr>
          <w:alias w:val="C4 result"/>
          <w:tag w:val="c4-result"/>
          <w:id w:val="7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7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76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7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7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7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7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76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7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7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7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77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77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77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23"/>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VAL-815</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68</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74.000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nephrology</w:t>
      </w:r>
    </w:p>
    <w:p>
      <w:pPr>
        <w:pStyle w:val="ListBullet"/>
        <w:spacing w:after="40" w:before="0"/>
      </w:pPr>
      <w:r>
        <w:rPr>
          <w:rFonts w:ascii="Calibri" w:hAnsi="Calibri" w:cs="Calibri"/>
          <w:b/>
          <w:sz w:val="22"/>
        </w:rPr>
        <w:t xml:space="preserve">Admission diagnosis: </w:t>
      </w:r>
      <w:r>
        <w:rPr>
          <w:rFonts w:ascii="Calibri" w:hAnsi="Calibri" w:cs="Calibri"/>
          <w:b w:val="0"/>
          <w:sz w:val="22"/>
        </w:rPr>
        <w:t>Other cytomegaloviral diseases</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68-year-old Female with Other cytomegaloviral diseases</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Nausea in the setting of Other cytomegaloviral diseases</w:t>
      </w:r>
    </w:p>
    <w:p>
      <w:pPr>
        <w:pStyle w:val="ListBullet"/>
        <w:spacing w:after="40" w:before="0"/>
      </w:pPr>
      <w:r>
        <w:rPr>
          <w:rFonts w:ascii="Calibri" w:hAnsi="Calibri" w:cs="Calibri"/>
          <w:b/>
          <w:sz w:val="22"/>
        </w:rPr>
        <w:t xml:space="preserve">Symptoms: </w:t>
      </w:r>
      <w:r>
        <w:rPr>
          <w:rFonts w:ascii="Calibri" w:hAnsi="Calibri" w:cs="Calibri"/>
          <w:b w:val="0"/>
          <w:sz w:val="22"/>
        </w:rPr>
        <w:t>Nausea</w:t>
      </w:r>
    </w:p>
    <w:p>
      <w:pPr>
        <w:pStyle w:val="ListBullet"/>
        <w:spacing w:after="40" w:before="0"/>
      </w:pPr>
      <w:r>
        <w:rPr>
          <w:rFonts w:ascii="Calibri" w:hAnsi="Calibri" w:cs="Calibri"/>
          <w:b/>
          <w:sz w:val="22"/>
        </w:rPr>
        <w:t xml:space="preserve">Symptom duration: </w:t>
      </w:r>
      <w:r>
        <w:rPr>
          <w:rFonts w:ascii="Calibri" w:hAnsi="Calibri" w:cs="Calibri"/>
          <w:b w:val="0"/>
          <w:sz w:val="22"/>
        </w:rPr>
        <w:t>two days</w:t>
      </w:r>
    </w:p>
    <w:p>
      <w:pPr>
        <w:pStyle w:val="ListBullet"/>
        <w:spacing w:after="40" w:before="0"/>
      </w:pPr>
      <w:r>
        <w:rPr>
          <w:rFonts w:ascii="Calibri" w:hAnsi="Calibri" w:cs="Calibri"/>
          <w:b/>
          <w:sz w:val="22"/>
        </w:rPr>
        <w:t xml:space="preserve">Symptom course: </w:t>
      </w:r>
      <w:r>
        <w:rPr>
          <w:rFonts w:ascii="Calibri" w:hAnsi="Calibri" w:cs="Calibri"/>
          <w:b w:val="0"/>
          <w:sz w:val="22"/>
        </w:rPr>
        <w:t>intermittent</w:t>
      </w:r>
    </w:p>
    <w:p>
      <w:pPr>
        <w:pStyle w:val="Heading3"/>
      </w:pPr>
      <w:r>
        <w:rPr>
          <w:rFonts w:ascii="Calibri" w:hAnsi="Calibri"/>
          <w:color w:val="1F3A5F"/>
        </w:rPr>
        <w:t>History of present illness</w:t>
      </w:r>
    </w:p>
    <w:p>
      <w:pPr>
        <w:spacing w:after="120"/>
      </w:pPr>
      <w:r>
        <w:rPr>
          <w:rFonts w:ascii="Calibri" w:hAnsi="Calibri" w:cs="Calibri"/>
          <w:b w:val="0"/>
          <w:sz w:val="22"/>
        </w:rPr>
        <w:t>A 68-year-old Female is admitted with Other cytomegaloviral diseases. Presenting symptoms include Nausea, present for two days and intermittent. Home medications include amlodipine 5 MG Oral Tablet, BX Rating tacrolimus 1 MG Oral Capsule, valganciclovir 450 MG Oral Tablet, lisinopril 10 MG Oral Tablet, atorvastatin 40 MG Oral Tablet. Admitted for cytomegalovirus disease after kidney transplantation with a tacrolimus dose adjustment. Tacrolimus was continued at the intended adjusted outpatient dose for transplant immunosuppression, not as treatment for CMV. Home therapy was reviewed during the stay after the inpatient response was observed.</w:t>
      </w:r>
    </w:p>
    <w:p>
      <w:pPr>
        <w:pStyle w:val="Heading3"/>
      </w:pPr>
      <w:r>
        <w:rPr>
          <w:rFonts w:ascii="Calibri" w:hAnsi="Calibri"/>
          <w:color w:val="1F3A5F"/>
        </w:rPr>
        <w:t>Admission note</w:t>
      </w:r>
    </w:p>
    <w:p>
      <w:pPr>
        <w:spacing w:after="120"/>
      </w:pPr>
      <w:r>
        <w:rPr>
          <w:rFonts w:ascii="Calibri" w:hAnsi="Calibri" w:cs="Calibri"/>
          <w:b w:val="0"/>
          <w:sz w:val="22"/>
        </w:rPr>
        <w:t>Admission note for a 68-year-old Female with Other cytomegaloviral diseases. Symptoms: Nausea for two days (intermittent). Medications continued from home: amlodipine 5 MG Oral Tablet, BX Rating tacrolimus 1 MG Oral Capsule, valganciclovir 450 MG Oral Tablet, lisinopril 10 MG Oral Tablet, atorvastatin 40 MG Oral Tablet. Admitted for cytomegalovirus disease after kidney transplantation with a tacrolimus dose adjustment. Tacrolimus was continued at the intended adjusted outpatient dose for transplant immunosuppression, not as treatment for CMV. Home therapy was reviewed during the stay after the inpatient response was observed.</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Kidney transplant status, Essential (primary) hypertension,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Other cytomegaloviral diseases</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Kidney transplant status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Kidney transplant status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Other cytomegaloviral diseases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Home therapy was reviewed during the stay after the inpatient response was observed.</w:t>
      </w:r>
    </w:p>
    <w:p>
      <w:pPr>
        <w:pStyle w:val="Heading3"/>
      </w:pPr>
      <w:r>
        <w:rPr>
          <w:rFonts w:ascii="Calibri" w:hAnsi="Calibri"/>
          <w:color w:val="1F3A5F"/>
        </w:rPr>
        <w:t>Intake and output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Intake (mL)</w:t>
            </w:r>
          </w:p>
        </w:tc>
        <w:tc>
          <w:tcPr>
            <w:tcW w:type="dxa" w:w="2448"/>
            <w:shd w:val="clear" w:color="auto" w:fill="D9E2F3"/>
          </w:tcPr>
          <w:p>
            <w:pPr>
              <w:spacing w:after="20" w:before="20"/>
            </w:pPr>
            <w:r>
              <w:rPr>
                <w:rFonts w:ascii="Calibri" w:hAnsi="Calibri" w:cs="Calibri"/>
                <w:b/>
                <w:sz w:val="20"/>
              </w:rPr>
              <w:t>Output (mL)</w:t>
            </w:r>
          </w:p>
        </w:tc>
        <w:tc>
          <w:tcPr>
            <w:tcW w:type="dxa" w:w="2448"/>
            <w:shd w:val="clear" w:color="auto" w:fill="D9E2F3"/>
          </w:tcPr>
          <w:p>
            <w:pPr>
              <w:spacing w:after="20" w:before="20"/>
            </w:pPr>
            <w:r>
              <w:rPr>
                <w:rFonts w:ascii="Calibri" w:hAnsi="Calibri" w:cs="Calibri"/>
                <w:b/>
                <w:sz w:val="20"/>
              </w:rPr>
              <w:t>Net (mL)</w:t>
            </w:r>
          </w:p>
        </w:tc>
      </w:tr>
      <w:tr>
        <w:trPr>
          <w:cantSplit/>
        </w:trPr>
        <w:tc>
          <w:tcPr>
            <w:tcW w:type="dxa" w:w="2448"/>
          </w:tcPr>
          <w:p>
            <w:pPr>
              <w:spacing w:after="20" w:before="20"/>
            </w:pPr>
            <w:r>
              <w:rPr>
                <w:rFonts w:ascii="Calibri" w:hAnsi="Calibri" w:cs="Calibri"/>
                <w:b w:val="0"/>
                <w:sz w:val="20"/>
              </w:rPr>
              <w:t>hospital day 3</w:t>
            </w:r>
          </w:p>
        </w:tc>
        <w:tc>
          <w:tcPr>
            <w:tcW w:type="dxa" w:w="2448"/>
          </w:tcPr>
          <w:p>
            <w:pPr>
              <w:spacing w:after="20" w:before="20"/>
            </w:pPr>
            <w:r>
              <w:rPr>
                <w:rFonts w:ascii="Calibri" w:hAnsi="Calibri" w:cs="Calibri"/>
                <w:b w:val="0"/>
                <w:sz w:val="20"/>
              </w:rPr>
              <w:t>1623</w:t>
            </w:r>
          </w:p>
        </w:tc>
        <w:tc>
          <w:tcPr>
            <w:tcW w:type="dxa" w:w="2448"/>
          </w:tcPr>
          <w:p>
            <w:pPr>
              <w:spacing w:after="20" w:before="20"/>
            </w:pPr>
            <w:r>
              <w:rPr>
                <w:rFonts w:ascii="Calibri" w:hAnsi="Calibri" w:cs="Calibri"/>
                <w:b w:val="0"/>
                <w:sz w:val="20"/>
              </w:rPr>
              <w:t>1966</w:t>
            </w:r>
          </w:p>
        </w:tc>
        <w:tc>
          <w:tcPr>
            <w:tcW w:type="dxa" w:w="2448"/>
          </w:tcPr>
          <w:p>
            <w:pPr>
              <w:spacing w:after="20" w:before="20"/>
            </w:pPr>
            <w:r>
              <w:rPr>
                <w:rFonts w:ascii="Calibri" w:hAnsi="Calibri" w:cs="Calibri"/>
                <w:b w:val="0"/>
                <w:sz w:val="20"/>
              </w:rPr>
              <w:t>-343</w:t>
            </w:r>
          </w:p>
        </w:tc>
      </w:tr>
    </w:tbl>
    <w:p>
      <w:pPr>
        <w:spacing w:after="40"/>
      </w:pP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118/79</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72</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14</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97.00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0.8</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4.6</w:t>
            </w:r>
          </w:p>
        </w:tc>
        <w:tc>
          <w:tcPr>
            <w:tcW w:type="dxa" w:w="2160"/>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74.000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138/80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70</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14</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97.00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4.5</w:t>
            </w:r>
          </w:p>
        </w:tc>
        <w:tc>
          <w:tcPr>
            <w:tcW w:type="dxa" w:w="2160"/>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896"/>
            <w:shd w:val="clear" w:color="auto" w:fill="D9E2F3"/>
          </w:tcPr>
          <w:p>
            <w:pPr>
              <w:spacing w:after="20" w:before="20"/>
            </w:pPr>
            <w:r>
              <w:rPr>
                <w:rFonts w:ascii="Calibri" w:hAnsi="Calibri" w:cs="Calibri"/>
                <w:b/>
                <w:sz w:val="20"/>
              </w:rPr>
              <w:t>Weight (kg)</w:t>
            </w:r>
          </w:p>
        </w:tc>
        <w:tc>
          <w:tcPr>
            <w:tcW w:type="dxa" w:w="4896"/>
            <w:shd w:val="clear" w:color="auto" w:fill="D9E2F3"/>
          </w:tcPr>
          <w:p>
            <w:pPr>
              <w:spacing w:after="20" w:before="20"/>
            </w:pPr>
            <w:r>
              <w:rPr>
                <w:rFonts w:ascii="Calibri" w:hAnsi="Calibri" w:cs="Calibri"/>
                <w:b/>
                <w:sz w:val="20"/>
              </w:rPr>
              <w:t>Dry weight (kg)</w:t>
            </w:r>
          </w:p>
        </w:tc>
      </w:tr>
      <w:tr>
        <w:trPr>
          <w:cantSplit/>
        </w:trPr>
        <w:tc>
          <w:tcPr>
            <w:tcW w:type="dxa" w:w="4896"/>
          </w:tcPr>
          <w:p>
            <w:pPr>
              <w:spacing w:after="20" w:before="20"/>
            </w:pPr>
            <w:r>
              <w:rPr>
                <w:rFonts w:ascii="Calibri" w:hAnsi="Calibri" w:cs="Calibri"/>
                <w:b w:val="0"/>
                <w:sz w:val="20"/>
              </w:rPr>
              <w:t>68.000</w:t>
            </w:r>
          </w:p>
        </w:tc>
        <w:tc>
          <w:tcPr>
            <w:tcW w:type="dxa" w:w="4896"/>
          </w:tcPr>
          <w:p>
            <w:pPr>
              <w:spacing w:after="20" w:before="20"/>
            </w:pPr>
            <w:r>
              <w:rPr>
                <w:rFonts w:ascii="Calibri" w:hAnsi="Calibri" w:cs="Calibri"/>
                <w:b w:val="0"/>
                <w:sz w:val="20"/>
              </w:rPr>
              <w:t>70.000</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BX Rating tacrolimus 1 MG Oral Capsule</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12 hours</w:t>
            </w:r>
          </w:p>
        </w:tc>
        <w:tc>
          <w:tcPr>
            <w:tcW w:type="dxa" w:w="2520"/>
          </w:tcPr>
          <w:p>
            <w:pPr>
              <w:spacing w:after="20" w:before="20"/>
            </w:pPr>
            <w:r>
              <w:rPr>
                <w:rFonts w:ascii="Calibri" w:hAnsi="Calibri" w:cs="Calibri"/>
                <w:b w:val="0"/>
                <w:sz w:val="20"/>
              </w:rPr>
              <w:t>Indication: Kidney transplant status</w:t>
            </w:r>
          </w:p>
        </w:tc>
      </w:tr>
      <w:tr>
        <w:trPr>
          <w:cantSplit/>
        </w:trPr>
        <w:tc>
          <w:tcPr>
            <w:tcW w:type="dxa" w:w="3384"/>
          </w:tcPr>
          <w:p>
            <w:pPr>
              <w:spacing w:after="20" w:before="20"/>
            </w:pPr>
            <w:r>
              <w:rPr>
                <w:rFonts w:ascii="Calibri" w:hAnsi="Calibri" w:cs="Calibri"/>
                <w:b w:val="0"/>
                <w:sz w:val="20"/>
              </w:rPr>
              <w:t>amlodipine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valganciclovir 450 MG Oral Tablet</w:t>
            </w:r>
          </w:p>
        </w:tc>
        <w:tc>
          <w:tcPr>
            <w:tcW w:type="dxa" w:w="1224"/>
          </w:tcPr>
          <w:p>
            <w:pPr>
              <w:spacing w:after="20" w:before="20"/>
            </w:pPr>
            <w:r>
              <w:rPr>
                <w:rFonts w:ascii="Calibri" w:hAnsi="Calibri" w:cs="Calibri"/>
                <w:b w:val="0"/>
                <w:sz w:val="20"/>
              </w:rPr>
              <w:t>900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Other cytomegaloviral diseases; Note: Given as 450 MG tablets.</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BX Rating tacrolimus 1 MG Oral Capsule</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12 hours</w:t>
            </w:r>
          </w:p>
        </w:tc>
        <w:tc>
          <w:tcPr>
            <w:tcW w:type="dxa" w:w="2520"/>
          </w:tcPr>
          <w:p>
            <w:pPr>
              <w:spacing w:after="20" w:before="20"/>
            </w:pPr>
            <w:r>
              <w:rPr>
                <w:rFonts w:ascii="Calibri" w:hAnsi="Calibri" w:cs="Calibri"/>
                <w:b w:val="0"/>
                <w:sz w:val="20"/>
              </w:rPr>
              <w:t>Indication: Kidney transplant status</w:t>
            </w:r>
          </w:p>
        </w:tc>
      </w:tr>
      <w:tr>
        <w:trPr>
          <w:cantSplit/>
        </w:trPr>
        <w:tc>
          <w:tcPr>
            <w:tcW w:type="dxa" w:w="3384"/>
          </w:tcPr>
          <w:p>
            <w:pPr>
              <w:spacing w:after="20" w:before="20"/>
            </w:pPr>
            <w:r>
              <w:rPr>
                <w:rFonts w:ascii="Calibri" w:hAnsi="Calibri" w:cs="Calibri"/>
                <w:b w:val="0"/>
                <w:sz w:val="20"/>
              </w:rPr>
              <w:t>amlodipine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valganciclovir 450 MG Oral Tablet</w:t>
            </w:r>
          </w:p>
        </w:tc>
        <w:tc>
          <w:tcPr>
            <w:tcW w:type="dxa" w:w="1224"/>
          </w:tcPr>
          <w:p>
            <w:pPr>
              <w:spacing w:after="20" w:before="20"/>
            </w:pPr>
            <w:r>
              <w:rPr>
                <w:rFonts w:ascii="Calibri" w:hAnsi="Calibri" w:cs="Calibri"/>
                <w:b w:val="0"/>
                <w:sz w:val="20"/>
              </w:rPr>
              <w:t>900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Other cytomegaloviral diseases; Note: Given as 450 MG tablets.</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BX Rating tacrolimus 1 MG Oral Capsule</w:t>
            </w:r>
          </w:p>
        </w:tc>
        <w:tc>
          <w:tcPr>
            <w:tcW w:type="dxa" w:w="1224"/>
          </w:tcPr>
          <w:p>
            <w:pPr>
              <w:spacing w:after="20" w:before="20"/>
            </w:pPr>
            <w:r>
              <w:rPr>
                <w:rFonts w:ascii="Calibri" w:hAnsi="Calibri" w:cs="Calibri"/>
                <w:b w:val="0"/>
                <w:sz w:val="20"/>
              </w:rPr>
              <w:t>2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12 hours</w:t>
            </w:r>
          </w:p>
        </w:tc>
        <w:tc>
          <w:tcPr>
            <w:tcW w:type="dxa" w:w="2520"/>
          </w:tcPr>
          <w:p>
            <w:pPr>
              <w:spacing w:after="20" w:before="20"/>
            </w:pPr>
            <w:r>
              <w:rPr>
                <w:rFonts w:ascii="Calibri" w:hAnsi="Calibri" w:cs="Calibri"/>
                <w:b w:val="0"/>
                <w:sz w:val="20"/>
              </w:rPr>
              <w:t>Indication: Kidney transplant status</w:t>
            </w:r>
          </w:p>
        </w:tc>
      </w:tr>
      <w:tr>
        <w:trPr>
          <w:cantSplit/>
        </w:trPr>
        <w:tc>
          <w:tcPr>
            <w:tcW w:type="dxa" w:w="3384"/>
          </w:tcPr>
          <w:p>
            <w:pPr>
              <w:spacing w:after="20" w:before="20"/>
            </w:pPr>
            <w:r>
              <w:rPr>
                <w:rFonts w:ascii="Calibri" w:hAnsi="Calibri" w:cs="Calibri"/>
                <w:b w:val="0"/>
                <w:sz w:val="20"/>
              </w:rPr>
              <w:t>amlodipine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valganciclovir 450 MG Oral Tablet</w:t>
            </w:r>
          </w:p>
        </w:tc>
        <w:tc>
          <w:tcPr>
            <w:tcW w:type="dxa" w:w="1224"/>
          </w:tcPr>
          <w:p>
            <w:pPr>
              <w:spacing w:after="20" w:before="20"/>
            </w:pPr>
            <w:r>
              <w:rPr>
                <w:rFonts w:ascii="Calibri" w:hAnsi="Calibri" w:cs="Calibri"/>
                <w:b w:val="0"/>
                <w:sz w:val="20"/>
              </w:rPr>
              <w:t>900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Other cytomegaloviral diseases; Note: Given as 450 MG tablets.</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Parameter</w:t>
            </w:r>
          </w:p>
        </w:tc>
        <w:tc>
          <w:tcPr>
            <w:tcW w:type="dxa" w:w="3264"/>
            <w:shd w:val="clear" w:color="auto" w:fill="D9E2F3"/>
          </w:tcPr>
          <w:p>
            <w:pPr>
              <w:spacing w:after="20" w:before="20"/>
            </w:pPr>
            <w:r>
              <w:rPr>
                <w:rFonts w:ascii="Calibri" w:hAnsi="Calibri" w:cs="Calibri"/>
                <w:b/>
                <w:sz w:val="20"/>
              </w:rPr>
              <w:t>Frequency</w:t>
            </w:r>
          </w:p>
        </w:tc>
        <w:tc>
          <w:tcPr>
            <w:tcW w:type="dxa" w:w="3264"/>
            <w:shd w:val="clear" w:color="auto" w:fill="D9E2F3"/>
          </w:tcPr>
          <w:p>
            <w:pPr>
              <w:spacing w:after="20" w:before="20"/>
            </w:pPr>
            <w:r>
              <w:rPr>
                <w:rFonts w:ascii="Calibri" w:hAnsi="Calibri" w:cs="Calibri"/>
                <w:b/>
                <w:sz w:val="20"/>
              </w:rPr>
              <w:t>Responsible service</w:t>
            </w:r>
          </w:p>
        </w:tc>
      </w:tr>
      <w:tr>
        <w:trPr>
          <w:cantSplit/>
        </w:trPr>
        <w:tc>
          <w:tcPr>
            <w:tcW w:type="dxa" w:w="3264"/>
          </w:tcPr>
          <w:p>
            <w:pPr>
              <w:spacing w:after="20" w:before="20"/>
            </w:pPr>
            <w:r>
              <w:rPr>
                <w:rFonts w:ascii="Calibri" w:hAnsi="Calibri" w:cs="Calibri"/>
                <w:b w:val="0"/>
                <w:sz w:val="20"/>
              </w:rPr>
              <w:t>tacrolimus trough and serum creatinine</w:t>
            </w:r>
          </w:p>
        </w:tc>
        <w:tc>
          <w:tcPr>
            <w:tcW w:type="dxa" w:w="3264"/>
          </w:tcPr>
          <w:p>
            <w:pPr>
              <w:spacing w:after="20" w:before="20"/>
            </w:pPr>
            <w:r>
              <w:rPr>
                <w:rFonts w:ascii="Calibri" w:hAnsi="Calibri" w:cs="Calibri"/>
                <w:b w:val="0"/>
                <w:sz w:val="20"/>
              </w:rPr>
              <w:t>as directed by the transplant service</w:t>
            </w:r>
          </w:p>
        </w:tc>
        <w:tc>
          <w:tcPr>
            <w:tcW w:type="dxa" w:w="3264"/>
          </w:tcPr>
          <w:p>
            <w:pPr>
              <w:spacing w:after="20" w:before="20"/>
            </w:pPr>
            <w:r>
              <w:rPr>
                <w:rFonts w:ascii="Calibri" w:hAnsi="Calibri" w:cs="Calibri"/>
                <w:b w:val="0"/>
                <w:sz w:val="20"/>
              </w:rPr>
              <w:t>transplant</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Transplant medication-dose follow-up</w:t>
            </w:r>
          </w:p>
        </w:tc>
        <w:tc>
          <w:tcPr>
            <w:tcW w:type="dxa" w:w="3264"/>
          </w:tcPr>
          <w:p>
            <w:pPr>
              <w:spacing w:after="20" w:before="20"/>
            </w:pPr>
            <w:r>
              <w:rPr>
                <w:rFonts w:ascii="Calibri" w:hAnsi="Calibri" w:cs="Calibri"/>
                <w:b w:val="0"/>
                <w:sz w:val="20"/>
              </w:rPr>
              <w:t>7 days</w:t>
            </w:r>
          </w:p>
        </w:tc>
        <w:tc>
          <w:tcPr>
            <w:tcW w:type="dxa" w:w="3264"/>
          </w:tcPr>
          <w:p>
            <w:pPr>
              <w:spacing w:after="20" w:before="20"/>
            </w:pPr>
            <w:r>
              <w:rPr>
                <w:rFonts w:ascii="Calibri" w:hAnsi="Calibri" w:cs="Calibri"/>
                <w:b w:val="0"/>
                <w:sz w:val="20"/>
              </w:rPr>
              <w:t>transplant</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Procedure</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Time</w:t>
            </w:r>
          </w:p>
        </w:tc>
        <w:tc>
          <w:tcPr>
            <w:tcW w:type="dxa" w:w="2448"/>
            <w:shd w:val="clear" w:color="auto" w:fill="D9E2F3"/>
          </w:tcPr>
          <w:p>
            <w:pPr>
              <w:spacing w:after="20" w:before="20"/>
            </w:pPr>
            <w:r>
              <w:rPr>
                <w:rFonts w:ascii="Calibri" w:hAnsi="Calibri" w:cs="Calibri"/>
                <w:b/>
                <w:sz w:val="20"/>
              </w:rPr>
              <w:t>Findings</w:t>
            </w:r>
          </w:p>
        </w:tc>
      </w:tr>
      <w:tr>
        <w:trPr>
          <w:cantSplit/>
        </w:trPr>
        <w:tc>
          <w:tcPr>
            <w:tcW w:type="dxa" w:w="2448"/>
          </w:tcPr>
          <w:p>
            <w:pPr>
              <w:spacing w:after="20" w:before="20"/>
            </w:pPr>
            <w:r>
              <w:rPr>
                <w:rFonts w:ascii="Calibri" w:hAnsi="Calibri" w:cs="Calibri"/>
                <w:b w:val="0"/>
                <w:sz w:val="20"/>
              </w:rPr>
              <w:t>CMV viral-load review</w:t>
            </w:r>
          </w:p>
        </w:tc>
        <w:tc>
          <w:tcPr>
            <w:tcW w:type="dxa" w:w="2448"/>
          </w:tcPr>
          <w:p>
            <w:pPr>
              <w:spacing w:after="20" w:before="20"/>
            </w:pPr>
            <w:r>
              <w:rPr>
                <w:rFonts w:ascii="Calibri" w:hAnsi="Calibri" w:cs="Calibri"/>
                <w:b w:val="0"/>
                <w:sz w:val="20"/>
              </w:rPr>
              <w:t>diagnostic</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CMV viral burden was detected and supported antiviral treatment.</w:t>
            </w:r>
          </w:p>
        </w:tc>
      </w:tr>
      <w:tr>
        <w:trPr>
          <w:cantSplit/>
        </w:trPr>
        <w:tc>
          <w:tcPr>
            <w:tcW w:type="dxa" w:w="2448"/>
          </w:tcPr>
          <w:p>
            <w:pPr>
              <w:spacing w:after="20" w:before="20"/>
            </w:pPr>
            <w:r>
              <w:rPr>
                <w:rFonts w:ascii="Calibri" w:hAnsi="Calibri" w:cs="Calibri"/>
                <w:b w:val="0"/>
                <w:sz w:val="20"/>
              </w:rPr>
              <w:t>CMV viral-load review</w:t>
            </w:r>
          </w:p>
        </w:tc>
        <w:tc>
          <w:tcPr>
            <w:tcW w:type="dxa" w:w="2448"/>
          </w:tcPr>
          <w:p>
            <w:pPr>
              <w:spacing w:after="20" w:before="20"/>
            </w:pPr>
            <w:r>
              <w:rPr>
                <w:rFonts w:ascii="Calibri" w:hAnsi="Calibri" w:cs="Calibri"/>
                <w:b w:val="0"/>
                <w:sz w:val="20"/>
              </w:rPr>
              <w:t>diagnostic</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CMV viral burden was lower than the admission result.</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transplant</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Transplant-service recommendations were recorded.</w:t>
            </w:r>
          </w:p>
        </w:tc>
        <w:tc>
          <w:tcPr>
            <w:tcW w:type="dxa" w:w="2448"/>
          </w:tcPr>
          <w:p>
            <w:pPr>
              <w:spacing w:after="20" w:before="20"/>
            </w:pPr>
            <w:r>
              <w:rPr>
                <w:rFonts w:ascii="Calibri" w:hAnsi="Calibri" w:cs="Calibri"/>
                <w:b w:val="0"/>
                <w:sz w:val="20"/>
              </w:rPr>
              <w:t>Continue immunosuppression with infection-related adjustments as documented.</w:t>
            </w:r>
          </w:p>
        </w:tc>
      </w:tr>
      <w:tr>
        <w:trPr>
          <w:cantSplit/>
        </w:trPr>
        <w:tc>
          <w:tcPr>
            <w:tcW w:type="dxa" w:w="2448"/>
          </w:tcPr>
          <w:p>
            <w:pPr>
              <w:spacing w:after="20" w:before="20"/>
            </w:pPr>
            <w:r>
              <w:rPr>
                <w:rFonts w:ascii="Calibri" w:hAnsi="Calibri" w:cs="Calibri"/>
                <w:b w:val="0"/>
                <w:sz w:val="20"/>
              </w:rPr>
              <w:t>infectious disease</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Infectious-disease recommendations were recorded.</w:t>
            </w:r>
          </w:p>
        </w:tc>
        <w:tc>
          <w:tcPr>
            <w:tcW w:type="dxa" w:w="2448"/>
          </w:tcPr>
          <w:p>
            <w:pPr>
              <w:spacing w:after="20" w:before="20"/>
            </w:pPr>
            <w:r>
              <w:rPr>
                <w:rFonts w:ascii="Calibri" w:hAnsi="Calibri" w:cs="Calibri"/>
                <w:b w:val="0"/>
                <w:sz w:val="20"/>
              </w:rPr>
              <w:t>Continue antiviral therapy and infection-related monitoring as documented.</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Nausea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8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8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80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Error-bearing</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Family 1</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Unexplained dose discrepancy (f1_dose_mismatch)</w:t>
            </w:r>
          </w:p>
        </w:tc>
      </w:tr>
      <w:tr>
        <w:trPr>
          <w:cantSplit/>
        </w:trPr>
        <w:tc>
          <w:tcPr>
            <w:tcW w:type="dxa" w:w="3744"/>
          </w:tcPr>
          <w:p>
            <w:pPr>
              <w:spacing w:after="20" w:before="20"/>
            </w:pPr>
            <w:r>
              <w:rPr>
                <w:rFonts w:ascii="Calibri" w:hAnsi="Calibri" w:cs="Calibri"/>
                <w:b w:val="0"/>
                <w:sz w:val="20"/>
              </w:rPr>
              <w:t>Intended assessment target</w:t>
            </w:r>
          </w:p>
        </w:tc>
        <w:tc>
          <w:tcPr>
            <w:tcW w:type="dxa" w:w="6048"/>
          </w:tcPr>
          <w:p>
            <w:pPr>
              <w:spacing w:after="20" w:before="20"/>
            </w:pPr>
            <w:r>
              <w:rPr>
                <w:rFonts w:ascii="Calibri" w:hAnsi="Calibri" w:cs="Calibri"/>
                <w:b w:val="0"/>
                <w:sz w:val="20"/>
              </w:rPr>
              <w:t>The discharge dose differs from the intended medication plan without a documented clinical rationale.</w:t>
            </w:r>
          </w:p>
        </w:tc>
      </w:tr>
      <w:tr>
        <w:trPr>
          <w:cantSplit/>
        </w:trPr>
        <w:tc>
          <w:tcPr>
            <w:tcW w:type="dxa" w:w="3744"/>
          </w:tcPr>
          <w:p>
            <w:pPr>
              <w:spacing w:after="20" w:before="20"/>
            </w:pPr>
            <w:r>
              <w:rPr>
                <w:rFonts w:ascii="Calibri" w:hAnsi="Calibri" w:cs="Calibri"/>
                <w:b w:val="0"/>
                <w:sz w:val="20"/>
              </w:rPr>
              <w:t>Medication involved</w:t>
            </w:r>
          </w:p>
        </w:tc>
        <w:tc>
          <w:tcPr>
            <w:tcW w:type="dxa" w:w="6048"/>
          </w:tcPr>
          <w:p>
            <w:pPr>
              <w:spacing w:after="20" w:before="20"/>
            </w:pPr>
            <w:r>
              <w:rPr>
                <w:rFonts w:ascii="Calibri" w:hAnsi="Calibri" w:cs="Calibri"/>
                <w:b w:val="0"/>
                <w:sz w:val="20"/>
              </w:rPr>
              <w:t>BX Rating tacrolimus 1 MG Oral Capsule</w:t>
            </w:r>
          </w:p>
        </w:tc>
      </w:tr>
      <w:tr>
        <w:trPr>
          <w:cantSplit/>
        </w:trPr>
        <w:tc>
          <w:tcPr>
            <w:tcW w:type="dxa" w:w="3744"/>
          </w:tcPr>
          <w:p>
            <w:pPr>
              <w:spacing w:after="20" w:before="20"/>
            </w:pPr>
            <w:r>
              <w:rPr>
                <w:rFonts w:ascii="Calibri" w:hAnsi="Calibri" w:cs="Calibri"/>
                <w:b w:val="0"/>
                <w:sz w:val="20"/>
              </w:rPr>
              <w:t>Clean expected state</w:t>
            </w:r>
          </w:p>
        </w:tc>
        <w:tc>
          <w:tcPr>
            <w:tcW w:type="dxa" w:w="6048"/>
          </w:tcPr>
          <w:p>
            <w:pPr>
              <w:spacing w:after="20" w:before="20"/>
            </w:pPr>
            <w:r>
              <w:rPr>
                <w:rFonts w:ascii="Calibri" w:hAnsi="Calibri" w:cs="Calibri"/>
                <w:b w:val="0"/>
                <w:sz w:val="20"/>
              </w:rPr>
              <w:t>Changed field: dose</w:t>
              <w:br/>
              <w:t>1 MG</w:t>
            </w:r>
          </w:p>
        </w:tc>
      </w:tr>
      <w:tr>
        <w:trPr>
          <w:cantSplit/>
        </w:trPr>
        <w:tc>
          <w:tcPr>
            <w:tcW w:type="dxa" w:w="3744"/>
          </w:tcPr>
          <w:p>
            <w:pPr>
              <w:spacing w:after="20" w:before="20"/>
            </w:pPr>
            <w:r>
              <w:rPr>
                <w:rFonts w:ascii="Calibri" w:hAnsi="Calibri" w:cs="Calibri"/>
                <w:b w:val="0"/>
                <w:sz w:val="20"/>
              </w:rPr>
              <w:t>What appears in this case</w:t>
            </w:r>
          </w:p>
        </w:tc>
        <w:tc>
          <w:tcPr>
            <w:tcW w:type="dxa" w:w="6048"/>
          </w:tcPr>
          <w:p>
            <w:pPr>
              <w:spacing w:after="20" w:before="20"/>
            </w:pPr>
            <w:r>
              <w:rPr>
                <w:rFonts w:ascii="Calibri" w:hAnsi="Calibri" w:cs="Calibri"/>
                <w:b w:val="0"/>
                <w:sz w:val="20"/>
              </w:rPr>
              <w:t>2 MG</w:t>
            </w:r>
          </w:p>
        </w:tc>
      </w:tr>
      <w:tr>
        <w:trPr>
          <w:cantSplit/>
        </w:trPr>
        <w:tc>
          <w:tcPr>
            <w:tcW w:type="dxa" w:w="3744"/>
          </w:tcPr>
          <w:p>
            <w:pPr>
              <w:spacing w:after="20" w:before="20"/>
            </w:pPr>
            <w:r>
              <w:rPr>
                <w:rFonts w:ascii="Calibri" w:hAnsi="Calibri" w:cs="Calibri"/>
                <w:b w:val="0"/>
                <w:sz w:val="20"/>
              </w:rPr>
              <w:t>Evidence available in the chart</w:t>
            </w:r>
          </w:p>
        </w:tc>
        <w:tc>
          <w:tcPr>
            <w:tcW w:type="dxa" w:w="6048"/>
          </w:tcPr>
          <w:p>
            <w:pPr>
              <w:spacing w:after="20" w:before="20"/>
            </w:pPr>
            <w:r>
              <w:rPr>
                <w:rFonts w:ascii="Calibri" w:hAnsi="Calibri" w:cs="Calibri"/>
                <w:b w:val="0"/>
                <w:sz w:val="20"/>
              </w:rPr>
              <w:t>Intended dose on the home/inpatient medication plan.</w:t>
              <w:br/>
              <w:t>Evidence location: Home medications, Discharge medications</w:t>
              <w:br/>
              <w:t>Detectability location: Discharge medications</w:t>
            </w:r>
          </w:p>
        </w:tc>
      </w:tr>
      <w:tr>
        <w:trPr>
          <w:cantSplit/>
        </w:trPr>
        <w:tc>
          <w:tcPr>
            <w:tcW w:type="dxa" w:w="3744"/>
          </w:tcPr>
          <w:p>
            <w:pPr>
              <w:spacing w:after="20" w:before="20"/>
            </w:pPr>
            <w:r>
              <w:rPr>
                <w:rFonts w:ascii="Calibri" w:hAnsi="Calibri" w:cs="Calibri"/>
                <w:b w:val="0"/>
                <w:sz w:val="20"/>
              </w:rPr>
              <w:t>Expected clinical action</w:t>
            </w:r>
          </w:p>
        </w:tc>
        <w:tc>
          <w:tcPr>
            <w:tcW w:type="dxa" w:w="6048"/>
          </w:tcPr>
          <w:p>
            <w:pPr>
              <w:spacing w:after="20" w:before="20"/>
            </w:pPr>
            <w:r>
              <w:rPr>
                <w:rFonts w:ascii="Calibri" w:hAnsi="Calibri" w:cs="Calibri"/>
                <w:b w:val="0"/>
                <w:sz w:val="20"/>
              </w:rPr>
              <w:t>Restore the correct continued discharge dose.</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the clinical case actually contain the intended medication-reconciliation or transition-of-care problem described above, and does it match the intended category?</w:t>
      </w:r>
    </w:p>
    <w:p>
      <w:pPr>
        <w:keepLines/>
        <w:spacing w:before="80" w:after="160"/>
      </w:pPr>
      <w:sdt>
        <w:sdtPr>
          <w:rPr>
            <w:rFonts w:ascii="MS Gothic" w:hAnsi="MS Gothic" w:cs="MS Gothic" w:eastAsia="MS Gothic" w:hint="eastAsia"/>
            <w:sz w:val="28"/>
            <w:szCs w:val="28"/>
          </w:rPr>
          <w:alias w:val="C2 result"/>
          <w:tag w:val="c2-result"/>
          <w:id w:val="8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8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81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Could an internal-medicine resident identify and resolve the intended problem using only the clinical information provided in the patient-facing case?</w:t>
      </w:r>
    </w:p>
    <w:p>
      <w:pPr>
        <w:spacing w:after="120"/>
      </w:pPr>
      <w:r>
        <w:rPr>
          <w:rFonts w:ascii="Calibri" w:hAnsi="Calibri" w:cs="Calibri"/>
          <w:b w:val="0"/>
          <w:sz w:val="22"/>
        </w:rPr>
        <w:t>Consider whether the necessary evidence is present, whether key information is missing, whether the target is ambiguous, whether wording gives away the answer, and whether the expected clinical action can reasonably be determined.</w:t>
      </w:r>
    </w:p>
    <w:p>
      <w:pPr>
        <w:keepLines/>
        <w:spacing w:before="80" w:after="160"/>
      </w:pPr>
      <w:sdt>
        <w:sdtPr>
          <w:rPr>
            <w:rFonts w:ascii="MS Gothic" w:hAnsi="MS Gothic" w:cs="MS Gothic" w:eastAsia="MS Gothic" w:hint="eastAsia"/>
            <w:sz w:val="28"/>
            <w:szCs w:val="28"/>
          </w:rPr>
          <w:alias w:val="C3 result"/>
          <w:tag w:val="c3-result"/>
          <w:id w:val="8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8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81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Apart from the intended assessment problem, does the case contain another clinically meaningful medication-reconciliation or transition-of-care problem that a reasonable resident could interpret as an alternative target?</w:t>
      </w:r>
    </w:p>
    <w:p>
      <w:pPr>
        <w:keepLines/>
        <w:spacing w:before="80" w:after="160"/>
      </w:pPr>
      <w:sdt>
        <w:sdtPr>
          <w:rPr>
            <w:rFonts w:ascii="MS Gothic" w:hAnsi="MS Gothic" w:cs="MS Gothic" w:eastAsia="MS Gothic" w:hint="eastAsia"/>
            <w:sz w:val="28"/>
            <w:szCs w:val="28"/>
          </w:rPr>
          <w:alias w:val="C4 result"/>
          <w:tag w:val="c4-result"/>
          <w:id w:val="8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8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81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8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8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8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8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82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8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8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8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82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82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82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24"/>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VAL-816</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57</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102.000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nephrology</w:t>
      </w:r>
    </w:p>
    <w:p>
      <w:pPr>
        <w:pStyle w:val="ListBullet"/>
        <w:spacing w:after="40" w:before="0"/>
      </w:pPr>
      <w:r>
        <w:rPr>
          <w:rFonts w:ascii="Calibri" w:hAnsi="Calibri" w:cs="Calibri"/>
          <w:b/>
          <w:sz w:val="22"/>
        </w:rPr>
        <w:t xml:space="preserve">Admission diagnosis: </w:t>
      </w:r>
      <w:r>
        <w:rPr>
          <w:rFonts w:ascii="Calibri" w:hAnsi="Calibri" w:cs="Calibri"/>
          <w:b w:val="0"/>
          <w:sz w:val="22"/>
        </w:rPr>
        <w:t>Other cytomegaloviral diseases</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57-year-old Male with Other cytomegaloviral diseases</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Diarrhea, Fatigue in the setting of Other cytomegaloviral diseases</w:t>
      </w:r>
    </w:p>
    <w:p>
      <w:pPr>
        <w:pStyle w:val="ListBullet"/>
        <w:spacing w:after="40" w:before="0"/>
      </w:pPr>
      <w:r>
        <w:rPr>
          <w:rFonts w:ascii="Calibri" w:hAnsi="Calibri" w:cs="Calibri"/>
          <w:b/>
          <w:sz w:val="22"/>
        </w:rPr>
        <w:t xml:space="preserve">Symptoms: </w:t>
      </w:r>
      <w:r>
        <w:rPr>
          <w:rFonts w:ascii="Calibri" w:hAnsi="Calibri" w:cs="Calibri"/>
          <w:b w:val="0"/>
          <w:sz w:val="22"/>
        </w:rPr>
        <w:t>Diarrhea, Fatigue</w:t>
      </w:r>
    </w:p>
    <w:p>
      <w:pPr>
        <w:pStyle w:val="ListBullet"/>
        <w:spacing w:after="40" w:before="0"/>
      </w:pPr>
      <w:r>
        <w:rPr>
          <w:rFonts w:ascii="Calibri" w:hAnsi="Calibri" w:cs="Calibri"/>
          <w:b/>
          <w:sz w:val="22"/>
        </w:rPr>
        <w:t xml:space="preserve">Symptom duration: </w:t>
      </w:r>
      <w:r>
        <w:rPr>
          <w:rFonts w:ascii="Calibri" w:hAnsi="Calibri" w:cs="Calibri"/>
          <w:b w:val="0"/>
          <w:sz w:val="22"/>
        </w:rPr>
        <w:t>one day</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 57-year-old Male is admitted with Other cytomegaloviral diseases. Presenting symptoms include Diarrhea, Fatigue, present for one day and improving after treatment. Home medications include BX Rating tacrolimus 1 MG Oral Capsule, valganciclovir 450 MG Oral Tablet, atorvastatin 40 MG Oral Tablet. Admitted for cytomegalovirus disease after kidney transplantation; antiviral duration remains pending. Antiviral duration after conversion remains a pending outpatient decision. Tacrolimus continues for immunosuppression. Infectious symptoms improved. Antiviral therapy was reviewed during the stay.</w:t>
      </w:r>
    </w:p>
    <w:p>
      <w:pPr>
        <w:pStyle w:val="Heading3"/>
      </w:pPr>
      <w:r>
        <w:rPr>
          <w:rFonts w:ascii="Calibri" w:hAnsi="Calibri"/>
          <w:color w:val="1F3A5F"/>
        </w:rPr>
        <w:t>Admission note</w:t>
      </w:r>
    </w:p>
    <w:p>
      <w:pPr>
        <w:spacing w:after="120"/>
      </w:pPr>
      <w:r>
        <w:rPr>
          <w:rFonts w:ascii="Calibri" w:hAnsi="Calibri" w:cs="Calibri"/>
          <w:b w:val="0"/>
          <w:sz w:val="22"/>
        </w:rPr>
        <w:t>Admission note for a 57-year-old Male with Other cytomegaloviral diseases. Symptoms: Diarrhea, Fatigue for one day (improving after treatment). Medications continued from home: BX Rating tacrolimus 1 MG Oral Capsule, valganciclovir 450 MG Oral Tablet, atorvastatin 40 MG Oral Tablet. Admitted for cytomegalovirus disease after kidney transplantation; antiviral duration remains pending. Antiviral duration after conversion remains a pending outpatient decision. Tacrolimus continues for immunosuppression. Infectious symptoms improved. Antiviral therapy was reviewed during the stay.</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Kidney transplant status,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Other cytomegaloviral diseases</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Kidney transplant status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Kidney transplant status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Other cytomegaloviral diseases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Infectious symptoms improved. Antiviral therapy was reviewed during the stay.</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147/81</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73</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18</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94.00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1.0</w:t>
            </w:r>
          </w:p>
        </w:tc>
        <w:tc>
          <w:tcPr>
            <w:tcW w:type="dxa" w:w="2160"/>
          </w:tcPr>
          <w:p>
            <w:pPr>
              <w:spacing w:after="20" w:before="20"/>
            </w:pPr>
            <w:r>
              <w:rPr>
                <w:rFonts w:ascii="Calibri" w:hAnsi="Calibri" w:cs="Calibri"/>
                <w:b w:val="0"/>
                <w:sz w:val="20"/>
              </w:rPr>
              <w:t>mg/dL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102.000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125/70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76</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18</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BX Rating tacrolimus 1 MG Oral Capsule</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12 hours</w:t>
            </w:r>
          </w:p>
        </w:tc>
        <w:tc>
          <w:tcPr>
            <w:tcW w:type="dxa" w:w="2520"/>
          </w:tcPr>
          <w:p>
            <w:pPr>
              <w:spacing w:after="20" w:before="20"/>
            </w:pPr>
            <w:r>
              <w:rPr>
                <w:rFonts w:ascii="Calibri" w:hAnsi="Calibri" w:cs="Calibri"/>
                <w:b w:val="0"/>
                <w:sz w:val="20"/>
              </w:rPr>
              <w:t>Indication: Kidney transplant status</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valganciclovir 450 MG Oral Tablet</w:t>
            </w:r>
          </w:p>
        </w:tc>
        <w:tc>
          <w:tcPr>
            <w:tcW w:type="dxa" w:w="1224"/>
          </w:tcPr>
          <w:p>
            <w:pPr>
              <w:spacing w:after="20" w:before="20"/>
            </w:pPr>
            <w:r>
              <w:rPr>
                <w:rFonts w:ascii="Calibri" w:hAnsi="Calibri" w:cs="Calibri"/>
                <w:b w:val="0"/>
                <w:sz w:val="20"/>
              </w:rPr>
              <w:t>900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Other cytomegaloviral diseases; Note: Given as 450 MG tablets.</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BX Rating tacrolimus 1 MG Oral Capsule</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12 hours</w:t>
            </w:r>
          </w:p>
        </w:tc>
        <w:tc>
          <w:tcPr>
            <w:tcW w:type="dxa" w:w="2520"/>
          </w:tcPr>
          <w:p>
            <w:pPr>
              <w:spacing w:after="20" w:before="20"/>
            </w:pPr>
            <w:r>
              <w:rPr>
                <w:rFonts w:ascii="Calibri" w:hAnsi="Calibri" w:cs="Calibri"/>
                <w:b w:val="0"/>
                <w:sz w:val="20"/>
              </w:rPr>
              <w:t>Indication: Kidney transplant status</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valganciclovir 450 MG Oral Tablet</w:t>
            </w:r>
          </w:p>
        </w:tc>
        <w:tc>
          <w:tcPr>
            <w:tcW w:type="dxa" w:w="1224"/>
          </w:tcPr>
          <w:p>
            <w:pPr>
              <w:spacing w:after="20" w:before="20"/>
            </w:pPr>
            <w:r>
              <w:rPr>
                <w:rFonts w:ascii="Calibri" w:hAnsi="Calibri" w:cs="Calibri"/>
                <w:b w:val="0"/>
                <w:sz w:val="20"/>
              </w:rPr>
              <w:t>900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Other cytomegaloviral diseases; Note: Given as 450 MG tablets.</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BX Rating tacrolimus 1 MG Oral Capsule</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12 hours</w:t>
            </w:r>
          </w:p>
        </w:tc>
        <w:tc>
          <w:tcPr>
            <w:tcW w:type="dxa" w:w="2520"/>
          </w:tcPr>
          <w:p>
            <w:pPr>
              <w:spacing w:after="20" w:before="20"/>
            </w:pPr>
            <w:r>
              <w:rPr>
                <w:rFonts w:ascii="Calibri" w:hAnsi="Calibri" w:cs="Calibri"/>
                <w:b w:val="0"/>
                <w:sz w:val="20"/>
              </w:rPr>
              <w:t>Indication: Kidney transplant status</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valganciclovir 450 MG Oral Tablet</w:t>
            </w:r>
          </w:p>
        </w:tc>
        <w:tc>
          <w:tcPr>
            <w:tcW w:type="dxa" w:w="1224"/>
          </w:tcPr>
          <w:p>
            <w:pPr>
              <w:spacing w:after="20" w:before="20"/>
            </w:pPr>
            <w:r>
              <w:rPr>
                <w:rFonts w:ascii="Calibri" w:hAnsi="Calibri" w:cs="Calibri"/>
                <w:b w:val="0"/>
                <w:sz w:val="20"/>
              </w:rPr>
              <w:t>900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Other cytomegaloviral diseases; Note: Given as 450 MG tablets.</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Parameter</w:t>
            </w:r>
          </w:p>
        </w:tc>
        <w:tc>
          <w:tcPr>
            <w:tcW w:type="dxa" w:w="3264"/>
            <w:shd w:val="clear" w:color="auto" w:fill="D9E2F3"/>
          </w:tcPr>
          <w:p>
            <w:pPr>
              <w:spacing w:after="20" w:before="20"/>
            </w:pPr>
            <w:r>
              <w:rPr>
                <w:rFonts w:ascii="Calibri" w:hAnsi="Calibri" w:cs="Calibri"/>
                <w:b/>
                <w:sz w:val="20"/>
              </w:rPr>
              <w:t>Frequency</w:t>
            </w:r>
          </w:p>
        </w:tc>
        <w:tc>
          <w:tcPr>
            <w:tcW w:type="dxa" w:w="3264"/>
            <w:shd w:val="clear" w:color="auto" w:fill="D9E2F3"/>
          </w:tcPr>
          <w:p>
            <w:pPr>
              <w:spacing w:after="20" w:before="20"/>
            </w:pPr>
            <w:r>
              <w:rPr>
                <w:rFonts w:ascii="Calibri" w:hAnsi="Calibri" w:cs="Calibri"/>
                <w:b/>
                <w:sz w:val="20"/>
              </w:rPr>
              <w:t>Responsible service</w:t>
            </w:r>
          </w:p>
        </w:tc>
      </w:tr>
      <w:tr>
        <w:trPr>
          <w:cantSplit/>
        </w:trPr>
        <w:tc>
          <w:tcPr>
            <w:tcW w:type="dxa" w:w="3264"/>
          </w:tcPr>
          <w:p>
            <w:pPr>
              <w:spacing w:after="20" w:before="20"/>
            </w:pPr>
            <w:r>
              <w:rPr>
                <w:rFonts w:ascii="Calibri" w:hAnsi="Calibri" w:cs="Calibri"/>
                <w:b w:val="0"/>
                <w:sz w:val="20"/>
              </w:rPr>
              <w:t>tacrolimus trough and serum creatinine</w:t>
            </w:r>
          </w:p>
        </w:tc>
        <w:tc>
          <w:tcPr>
            <w:tcW w:type="dxa" w:w="3264"/>
          </w:tcPr>
          <w:p>
            <w:pPr>
              <w:spacing w:after="20" w:before="20"/>
            </w:pPr>
            <w:r>
              <w:rPr>
                <w:rFonts w:ascii="Calibri" w:hAnsi="Calibri" w:cs="Calibri"/>
                <w:b w:val="0"/>
                <w:sz w:val="20"/>
              </w:rPr>
              <w:t>as directed by the transplant service</w:t>
            </w:r>
          </w:p>
        </w:tc>
        <w:tc>
          <w:tcPr>
            <w:tcW w:type="dxa" w:w="3264"/>
          </w:tcPr>
          <w:p>
            <w:pPr>
              <w:spacing w:after="20" w:before="20"/>
            </w:pPr>
            <w:r>
              <w:rPr>
                <w:rFonts w:ascii="Calibri" w:hAnsi="Calibri" w:cs="Calibri"/>
                <w:b w:val="0"/>
                <w:sz w:val="20"/>
              </w:rPr>
              <w:t>transplant</w:t>
            </w:r>
          </w:p>
        </w:tc>
      </w:tr>
    </w:tbl>
    <w:p>
      <w:pPr>
        <w:spacing w:after="40"/>
      </w:pPr>
    </w:p>
    <w:p>
      <w:pPr>
        <w:pStyle w:val="Heading2"/>
      </w:pPr>
      <w:r>
        <w:rPr>
          <w:rFonts w:ascii="Calibri" w:hAnsi="Calibri"/>
          <w:color w:val="1F3A5F"/>
        </w:rPr>
        <w:t>Follow-up</w:t>
      </w:r>
    </w:p>
    <w:p>
      <w:pPr>
        <w:spacing w:after="120"/>
      </w:pPr>
      <w:r>
        <w:rPr>
          <w:rFonts w:ascii="Calibri" w:hAnsi="Calibri" w:cs="Calibri"/>
          <w:b w:val="0"/>
          <w:sz w:val="22"/>
        </w:rPr>
        <w:t>No follow-up appointments were specified.</w:t>
      </w: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ListBullet"/>
        <w:spacing w:after="40" w:before="0"/>
      </w:pPr>
      <w:r>
        <w:rPr>
          <w:rFonts w:ascii="Calibri" w:hAnsi="Calibri" w:cs="Calibri"/>
          <w:b/>
          <w:sz w:val="22"/>
        </w:rPr>
        <w:t xml:space="preserve">Category: </w:t>
      </w:r>
      <w:r>
        <w:rPr>
          <w:rFonts w:ascii="Calibri" w:hAnsi="Calibri" w:cs="Calibri"/>
          <w:b w:val="0"/>
          <w:sz w:val="22"/>
        </w:rPr>
        <w:t>followup</w:t>
      </w:r>
    </w:p>
    <w:p>
      <w:pPr>
        <w:spacing w:after="120"/>
      </w:pPr>
      <w:r>
        <w:rPr>
          <w:rFonts w:ascii="Calibri" w:hAnsi="Calibri" w:cs="Calibri"/>
          <w:b w:val="0"/>
          <w:sz w:val="22"/>
        </w:rPr>
        <w:t>A pending therapeutic decision remains. Remaining duration of valganciclovir is to be confirmed at infectious-disease follow-up.</w:t>
      </w: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Procedure</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Time</w:t>
            </w:r>
          </w:p>
        </w:tc>
        <w:tc>
          <w:tcPr>
            <w:tcW w:type="dxa" w:w="2448"/>
            <w:shd w:val="clear" w:color="auto" w:fill="D9E2F3"/>
          </w:tcPr>
          <w:p>
            <w:pPr>
              <w:spacing w:after="20" w:before="20"/>
            </w:pPr>
            <w:r>
              <w:rPr>
                <w:rFonts w:ascii="Calibri" w:hAnsi="Calibri" w:cs="Calibri"/>
                <w:b/>
                <w:sz w:val="20"/>
              </w:rPr>
              <w:t>Findings</w:t>
            </w:r>
          </w:p>
        </w:tc>
      </w:tr>
      <w:tr>
        <w:trPr>
          <w:cantSplit/>
        </w:trPr>
        <w:tc>
          <w:tcPr>
            <w:tcW w:type="dxa" w:w="2448"/>
          </w:tcPr>
          <w:p>
            <w:pPr>
              <w:spacing w:after="20" w:before="20"/>
            </w:pPr>
            <w:r>
              <w:rPr>
                <w:rFonts w:ascii="Calibri" w:hAnsi="Calibri" w:cs="Calibri"/>
                <w:b w:val="0"/>
                <w:sz w:val="20"/>
              </w:rPr>
              <w:t>CMV viral-load review</w:t>
            </w:r>
          </w:p>
        </w:tc>
        <w:tc>
          <w:tcPr>
            <w:tcW w:type="dxa" w:w="2448"/>
          </w:tcPr>
          <w:p>
            <w:pPr>
              <w:spacing w:after="20" w:before="20"/>
            </w:pPr>
            <w:r>
              <w:rPr>
                <w:rFonts w:ascii="Calibri" w:hAnsi="Calibri" w:cs="Calibri"/>
                <w:b w:val="0"/>
                <w:sz w:val="20"/>
              </w:rPr>
              <w:t>diagnostic</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CMV viral burden was detected and supported antiviral treatment.</w:t>
            </w:r>
          </w:p>
        </w:tc>
      </w:tr>
      <w:tr>
        <w:trPr>
          <w:cantSplit/>
        </w:trPr>
        <w:tc>
          <w:tcPr>
            <w:tcW w:type="dxa" w:w="2448"/>
          </w:tcPr>
          <w:p>
            <w:pPr>
              <w:spacing w:after="20" w:before="20"/>
            </w:pPr>
            <w:r>
              <w:rPr>
                <w:rFonts w:ascii="Calibri" w:hAnsi="Calibri" w:cs="Calibri"/>
                <w:b w:val="0"/>
                <w:sz w:val="20"/>
              </w:rPr>
              <w:t>CMV viral-load review</w:t>
            </w:r>
          </w:p>
        </w:tc>
        <w:tc>
          <w:tcPr>
            <w:tcW w:type="dxa" w:w="2448"/>
          </w:tcPr>
          <w:p>
            <w:pPr>
              <w:spacing w:after="20" w:before="20"/>
            </w:pPr>
            <w:r>
              <w:rPr>
                <w:rFonts w:ascii="Calibri" w:hAnsi="Calibri" w:cs="Calibri"/>
                <w:b w:val="0"/>
                <w:sz w:val="20"/>
              </w:rPr>
              <w:t>diagnostic</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CMV viral burden was lower than the admission result.</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transplant</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Transplant-service recommendations were recorded.</w:t>
            </w:r>
          </w:p>
        </w:tc>
        <w:tc>
          <w:tcPr>
            <w:tcW w:type="dxa" w:w="2448"/>
          </w:tcPr>
          <w:p>
            <w:pPr>
              <w:spacing w:after="20" w:before="20"/>
            </w:pPr>
            <w:r>
              <w:rPr>
                <w:rFonts w:ascii="Calibri" w:hAnsi="Calibri" w:cs="Calibri"/>
                <w:b w:val="0"/>
                <w:sz w:val="20"/>
              </w:rPr>
              <w:t>Continue immunosuppression with infection-related adjustments as documented.</w:t>
            </w:r>
          </w:p>
        </w:tc>
      </w:tr>
      <w:tr>
        <w:trPr>
          <w:cantSplit/>
        </w:trPr>
        <w:tc>
          <w:tcPr>
            <w:tcW w:type="dxa" w:w="2448"/>
          </w:tcPr>
          <w:p>
            <w:pPr>
              <w:spacing w:after="20" w:before="20"/>
            </w:pPr>
            <w:r>
              <w:rPr>
                <w:rFonts w:ascii="Calibri" w:hAnsi="Calibri" w:cs="Calibri"/>
                <w:b w:val="0"/>
                <w:sz w:val="20"/>
              </w:rPr>
              <w:t>infectious disease</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Infectious-disease recommendations were recorded.</w:t>
            </w:r>
          </w:p>
        </w:tc>
        <w:tc>
          <w:tcPr>
            <w:tcW w:type="dxa" w:w="2448"/>
          </w:tcPr>
          <w:p>
            <w:pPr>
              <w:spacing w:after="20" w:before="20"/>
            </w:pPr>
            <w:r>
              <w:rPr>
                <w:rFonts w:ascii="Calibri" w:hAnsi="Calibri" w:cs="Calibri"/>
                <w:b w:val="0"/>
                <w:sz w:val="20"/>
              </w:rPr>
              <w:t>Confirm remaining antiviral duration as an outpatient decision.</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Diarrhea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8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8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86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Error-bearing</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Family 2</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Follow-up missing for an unresolved treatment decision (f2_pending_decision_followup_missing)</w:t>
            </w:r>
          </w:p>
        </w:tc>
      </w:tr>
      <w:tr>
        <w:trPr>
          <w:cantSplit/>
        </w:trPr>
        <w:tc>
          <w:tcPr>
            <w:tcW w:type="dxa" w:w="3744"/>
          </w:tcPr>
          <w:p>
            <w:pPr>
              <w:spacing w:after="20" w:before="20"/>
            </w:pPr>
            <w:r>
              <w:rPr>
                <w:rFonts w:ascii="Calibri" w:hAnsi="Calibri" w:cs="Calibri"/>
                <w:b w:val="0"/>
                <w:sz w:val="20"/>
              </w:rPr>
              <w:t>Intended assessment target</w:t>
            </w:r>
          </w:p>
        </w:tc>
        <w:tc>
          <w:tcPr>
            <w:tcW w:type="dxa" w:w="6048"/>
          </w:tcPr>
          <w:p>
            <w:pPr>
              <w:spacing w:after="20" w:before="20"/>
            </w:pPr>
            <w:r>
              <w:rPr>
                <w:rFonts w:ascii="Calibri" w:hAnsi="Calibri" w:cs="Calibri"/>
                <w:b w:val="0"/>
                <w:sz w:val="20"/>
              </w:rPr>
              <w:t>A pending therapeutic decision remains unresolved and no follow-up visit is arranged to resolve it.</w:t>
            </w:r>
          </w:p>
        </w:tc>
      </w:tr>
      <w:tr>
        <w:trPr>
          <w:cantSplit/>
        </w:trPr>
        <w:tc>
          <w:tcPr>
            <w:tcW w:type="dxa" w:w="3744"/>
          </w:tcPr>
          <w:p>
            <w:pPr>
              <w:spacing w:after="20" w:before="20"/>
            </w:pPr>
            <w:r>
              <w:rPr>
                <w:rFonts w:ascii="Calibri" w:hAnsi="Calibri" w:cs="Calibri"/>
                <w:b w:val="0"/>
                <w:sz w:val="20"/>
              </w:rPr>
              <w:t>Medication involved</w:t>
            </w:r>
          </w:p>
        </w:tc>
        <w:tc>
          <w:tcPr>
            <w:tcW w:type="dxa" w:w="6048"/>
          </w:tcPr>
          <w:p>
            <w:pPr>
              <w:spacing w:after="20" w:before="20"/>
            </w:pPr>
            <w:r>
              <w:rPr>
                <w:rFonts w:ascii="Calibri" w:hAnsi="Calibri" w:cs="Calibri"/>
                <w:b w:val="0"/>
                <w:sz w:val="20"/>
              </w:rPr>
              <w:t>valganciclovir 450 MG Oral Tablet</w:t>
            </w:r>
          </w:p>
        </w:tc>
      </w:tr>
      <w:tr>
        <w:trPr>
          <w:cantSplit/>
        </w:trPr>
        <w:tc>
          <w:tcPr>
            <w:tcW w:type="dxa" w:w="3744"/>
          </w:tcPr>
          <w:p>
            <w:pPr>
              <w:spacing w:after="20" w:before="20"/>
            </w:pPr>
            <w:r>
              <w:rPr>
                <w:rFonts w:ascii="Calibri" w:hAnsi="Calibri" w:cs="Calibri"/>
                <w:b w:val="0"/>
                <w:sz w:val="20"/>
              </w:rPr>
              <w:t>Clean expected state</w:t>
            </w:r>
          </w:p>
        </w:tc>
        <w:tc>
          <w:tcPr>
            <w:tcW w:type="dxa" w:w="6048"/>
          </w:tcPr>
          <w:p>
            <w:pPr>
              <w:spacing w:after="20" w:before="20"/>
            </w:pPr>
            <w:r>
              <w:rPr>
                <w:rFonts w:ascii="Calibri" w:hAnsi="Calibri" w:cs="Calibri"/>
                <w:b w:val="0"/>
                <w:sz w:val="20"/>
              </w:rPr>
              <w:t>Changed field: followup</w:t>
              <w:br/>
              <w:t>item: Reassess pending therapeutic decision; timing: 14 days; with service: infectious disease</w:t>
            </w:r>
          </w:p>
        </w:tc>
      </w:tr>
      <w:tr>
        <w:trPr>
          <w:cantSplit/>
        </w:trPr>
        <w:tc>
          <w:tcPr>
            <w:tcW w:type="dxa" w:w="3744"/>
          </w:tcPr>
          <w:p>
            <w:pPr>
              <w:spacing w:after="20" w:before="20"/>
            </w:pPr>
            <w:r>
              <w:rPr>
                <w:rFonts w:ascii="Calibri" w:hAnsi="Calibri" w:cs="Calibri"/>
                <w:b w:val="0"/>
                <w:sz w:val="20"/>
              </w:rPr>
              <w:t>What appears in this case</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Evidence available in the chart</w:t>
            </w:r>
          </w:p>
        </w:tc>
        <w:tc>
          <w:tcPr>
            <w:tcW w:type="dxa" w:w="6048"/>
          </w:tcPr>
          <w:p>
            <w:pPr>
              <w:spacing w:after="20" w:before="20"/>
            </w:pPr>
            <w:r>
              <w:rPr>
                <w:rFonts w:ascii="Calibri" w:hAnsi="Calibri" w:cs="Calibri"/>
                <w:b w:val="0"/>
                <w:sz w:val="20"/>
              </w:rPr>
              <w:t>A pending therapeutic decision remains unresolved and requires scheduled follow-up.</w:t>
              <w:br/>
              <w:t>Evidence location: Discharge instructions, Follow-up appointments</w:t>
              <w:br/>
              <w:t>Detectability location: Follow-up appointments</w:t>
            </w:r>
          </w:p>
        </w:tc>
      </w:tr>
      <w:tr>
        <w:trPr>
          <w:cantSplit/>
        </w:trPr>
        <w:tc>
          <w:tcPr>
            <w:tcW w:type="dxa" w:w="3744"/>
          </w:tcPr>
          <w:p>
            <w:pPr>
              <w:spacing w:after="20" w:before="20"/>
            </w:pPr>
            <w:r>
              <w:rPr>
                <w:rFonts w:ascii="Calibri" w:hAnsi="Calibri" w:cs="Calibri"/>
                <w:b w:val="0"/>
                <w:sz w:val="20"/>
              </w:rPr>
              <w:t>Expected clinical action</w:t>
            </w:r>
          </w:p>
        </w:tc>
        <w:tc>
          <w:tcPr>
            <w:tcW w:type="dxa" w:w="6048"/>
          </w:tcPr>
          <w:p>
            <w:pPr>
              <w:spacing w:after="20" w:before="20"/>
            </w:pPr>
            <w:r>
              <w:rPr>
                <w:rFonts w:ascii="Calibri" w:hAnsi="Calibri" w:cs="Calibri"/>
                <w:b w:val="0"/>
                <w:sz w:val="20"/>
              </w:rPr>
              <w:t>Arrange follow-up to resolve the pending therapeutic decision.</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the clinical case actually contain the intended medication-reconciliation or transition-of-care problem described above, and does it match the intended category?</w:t>
      </w:r>
    </w:p>
    <w:p>
      <w:pPr>
        <w:keepLines/>
        <w:spacing w:before="80" w:after="160"/>
      </w:pPr>
      <w:sdt>
        <w:sdtPr>
          <w:rPr>
            <w:rFonts w:ascii="MS Gothic" w:hAnsi="MS Gothic" w:cs="MS Gothic" w:eastAsia="MS Gothic" w:hint="eastAsia"/>
            <w:sz w:val="28"/>
            <w:szCs w:val="28"/>
          </w:rPr>
          <w:alias w:val="C2 result"/>
          <w:tag w:val="c2-result"/>
          <w:id w:val="8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8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86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Could an internal-medicine resident identify and resolve the intended problem using only the clinical information provided in the patient-facing case?</w:t>
      </w:r>
    </w:p>
    <w:p>
      <w:pPr>
        <w:spacing w:after="120"/>
      </w:pPr>
      <w:r>
        <w:rPr>
          <w:rFonts w:ascii="Calibri" w:hAnsi="Calibri" w:cs="Calibri"/>
          <w:b w:val="0"/>
          <w:sz w:val="22"/>
        </w:rPr>
        <w:t>Consider whether the necessary evidence is present, whether key information is missing, whether the target is ambiguous, whether wording gives away the answer, and whether the expected clinical action can reasonably be determined.</w:t>
      </w:r>
    </w:p>
    <w:p>
      <w:pPr>
        <w:keepLines/>
        <w:spacing w:before="80" w:after="160"/>
      </w:pPr>
      <w:sdt>
        <w:sdtPr>
          <w:rPr>
            <w:rFonts w:ascii="MS Gothic" w:hAnsi="MS Gothic" w:cs="MS Gothic" w:eastAsia="MS Gothic" w:hint="eastAsia"/>
            <w:sz w:val="28"/>
            <w:szCs w:val="28"/>
          </w:rPr>
          <w:alias w:val="C3 result"/>
          <w:tag w:val="c3-result"/>
          <w:id w:val="8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8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86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Apart from the intended assessment problem, does the case contain another clinically meaningful medication-reconciliation or transition-of-care problem that a reasonable resident could interpret as an alternative target?</w:t>
      </w:r>
    </w:p>
    <w:p>
      <w:pPr>
        <w:keepLines/>
        <w:spacing w:before="80" w:after="160"/>
      </w:pPr>
      <w:sdt>
        <w:sdtPr>
          <w:rPr>
            <w:rFonts w:ascii="MS Gothic" w:hAnsi="MS Gothic" w:cs="MS Gothic" w:eastAsia="MS Gothic" w:hint="eastAsia"/>
            <w:sz w:val="28"/>
            <w:szCs w:val="28"/>
          </w:rPr>
          <w:alias w:val="C4 result"/>
          <w:tag w:val="c4-result"/>
          <w:id w:val="8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8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87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8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8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8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8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87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8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8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8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88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88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88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25"/>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VAL-817</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87</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90.000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orthopedics</w:t>
      </w:r>
    </w:p>
    <w:p>
      <w:pPr>
        <w:pStyle w:val="ListBullet"/>
        <w:spacing w:after="40" w:before="0"/>
      </w:pPr>
      <w:r>
        <w:rPr>
          <w:rFonts w:ascii="Calibri" w:hAnsi="Calibri" w:cs="Calibri"/>
          <w:b/>
          <w:sz w:val="22"/>
        </w:rPr>
        <w:t xml:space="preserve">Admission diagnosis: </w:t>
      </w:r>
      <w:r>
        <w:rPr>
          <w:rFonts w:ascii="Calibri" w:hAnsi="Calibri" w:cs="Calibri"/>
          <w:b w:val="0"/>
          <w:sz w:val="22"/>
        </w:rPr>
        <w:t>Fracture of unspecified part of neck of right femur, initial encounter for closed fracture</w:t>
      </w:r>
    </w:p>
    <w:p>
      <w:pPr>
        <w:pStyle w:val="ListBullet"/>
        <w:spacing w:after="40" w:before="0"/>
      </w:pPr>
      <w:r>
        <w:rPr>
          <w:rFonts w:ascii="Calibri" w:hAnsi="Calibri" w:cs="Calibri"/>
          <w:b/>
          <w:sz w:val="22"/>
        </w:rPr>
        <w:t xml:space="preserve">Disposition: </w:t>
      </w:r>
      <w:r>
        <w:rPr>
          <w:rFonts w:ascii="Calibri" w:hAnsi="Calibri" w:cs="Calibri"/>
          <w:b w:val="0"/>
          <w:sz w:val="22"/>
        </w:rPr>
        <w:t>rehab</w:t>
      </w:r>
    </w:p>
    <w:p>
      <w:pPr>
        <w:pStyle w:val="ListBullet"/>
        <w:spacing w:after="40" w:before="0"/>
      </w:pPr>
      <w:r>
        <w:rPr>
          <w:rFonts w:ascii="Calibri" w:hAnsi="Calibri" w:cs="Calibri"/>
          <w:b/>
          <w:sz w:val="22"/>
        </w:rPr>
        <w:t xml:space="preserve">One-liner: </w:t>
      </w:r>
      <w:r>
        <w:rPr>
          <w:rFonts w:ascii="Calibri" w:hAnsi="Calibri" w:cs="Calibri"/>
          <w:b w:val="0"/>
          <w:sz w:val="22"/>
        </w:rPr>
        <w:t>87-year-old Male with Fracture of unspecified part of neck of right femur, initial encounter for closed fracture</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Fatigue in the setting of Fracture of unspecified part of neck of right femur, initial encounter for closed fracture</w:t>
      </w:r>
    </w:p>
    <w:p>
      <w:pPr>
        <w:pStyle w:val="ListBullet"/>
        <w:spacing w:after="40" w:before="0"/>
      </w:pPr>
      <w:r>
        <w:rPr>
          <w:rFonts w:ascii="Calibri" w:hAnsi="Calibri" w:cs="Calibri"/>
          <w:b/>
          <w:sz w:val="22"/>
        </w:rPr>
        <w:t xml:space="preserve">Symptoms: </w:t>
      </w:r>
      <w:r>
        <w:rPr>
          <w:rFonts w:ascii="Calibri" w:hAnsi="Calibri" w:cs="Calibri"/>
          <w:b w:val="0"/>
          <w:sz w:val="22"/>
        </w:rPr>
        <w:t>Fatigue</w:t>
      </w:r>
    </w:p>
    <w:p>
      <w:pPr>
        <w:pStyle w:val="ListBullet"/>
        <w:spacing w:after="40" w:before="0"/>
      </w:pPr>
      <w:r>
        <w:rPr>
          <w:rFonts w:ascii="Calibri" w:hAnsi="Calibri" w:cs="Calibri"/>
          <w:b/>
          <w:sz w:val="22"/>
        </w:rPr>
        <w:t xml:space="preserve">Symptom duration: </w:t>
      </w:r>
      <w:r>
        <w:rPr>
          <w:rFonts w:ascii="Calibri" w:hAnsi="Calibri" w:cs="Calibri"/>
          <w:b w:val="0"/>
          <w:sz w:val="22"/>
        </w:rPr>
        <w:t>several days</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 87-year-old Male is admitted with Fracture of unspecified part of neck of right femur, initial encounter for closed fracture. Presenting symptoms include Fatigue, present for several days and improving after treatment. Home medications include lisinopril 10 MG Oral Tablet, warfarin sodium 5 MG Oral Tablet, metformin hydrochloride 500 MG Oral Tablet. Admitted after operative repair of a femoral-neck fracture with planned warfarin resumption. Warfarin was interrupted for surgery and then resumed. The inpatient enoxaparin injection stops at discharge in this profile. Anticoagulation was interrupted for surgery and then resumed.</w:t>
      </w:r>
    </w:p>
    <w:p>
      <w:pPr>
        <w:pStyle w:val="Heading3"/>
      </w:pPr>
      <w:r>
        <w:rPr>
          <w:rFonts w:ascii="Calibri" w:hAnsi="Calibri"/>
          <w:color w:val="1F3A5F"/>
        </w:rPr>
        <w:t>Admission note</w:t>
      </w:r>
    </w:p>
    <w:p>
      <w:pPr>
        <w:spacing w:after="120"/>
      </w:pPr>
      <w:r>
        <w:rPr>
          <w:rFonts w:ascii="Calibri" w:hAnsi="Calibri" w:cs="Calibri"/>
          <w:b w:val="0"/>
          <w:sz w:val="22"/>
        </w:rPr>
        <w:t>Admission note for a 87-year-old Male with Fracture of unspecified part of neck of right femur, initial encounter for closed fracture. Symptoms: Fatigue for several days (improving after treatment). Medications continued from home: lisinopril 10 MG Oral Tablet, warfarin sodium 5 MG Oral Tablet, metformin hydrochloride 500 MG Oral Tablet. Admitted after operative repair of a femoral-neck fracture with planned warfarin resumption. Warfarin was interrupted for surgery and then resumed. The inpatient enoxaparin injection stops at discharge in this profile. Anticoagulation was interrupted for surgery and then resumed.</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Paroxysmal atrial fibrillation, Essential (primary) hypertension, Type 2 diabetes mellitus without complications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Fracture of unspecified part of neck of right femur, initial encounter for closed fracture</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Fracture of unspecified part of neck of right femur, initial encounter for closed fracture</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Anticoagulation was interrupted for surgery and then resumed.</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rehab</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123/72</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85</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127.0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INR in Platelet poor plasma or blood by Coagulation assay</w:t>
            </w:r>
          </w:p>
        </w:tc>
        <w:tc>
          <w:tcPr>
            <w:tcW w:type="dxa" w:w="1872"/>
          </w:tcPr>
          <w:p>
            <w:pPr>
              <w:spacing w:after="20" w:before="20"/>
            </w:pPr>
            <w:r>
              <w:rPr>
                <w:rFonts w:ascii="Calibri" w:hAnsi="Calibri" w:cs="Calibri"/>
                <w:b w:val="0"/>
                <w:sz w:val="20"/>
              </w:rPr>
              <w:t>2.6</w:t>
            </w:r>
          </w:p>
        </w:tc>
        <w:tc>
          <w:tcPr>
            <w:tcW w:type="dxa" w:w="2160"/>
          </w:tcPr>
          <w:p>
            <w:pPr>
              <w:spacing w:after="20" w:before="20"/>
            </w:pPr>
            <w:r>
              <w:rPr>
                <w:rFonts w:ascii="Calibri" w:hAnsi="Calibri" w:cs="Calibri"/>
                <w:b w:val="0"/>
                <w:sz w:val="20"/>
              </w:rPr>
              <w:t>{INR}</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9.0</w:t>
            </w:r>
          </w:p>
        </w:tc>
        <w:tc>
          <w:tcPr>
            <w:tcW w:type="dxa" w:w="2160"/>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90.000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136/73</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71</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113.0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INR in Platelet poor plasma or blood by Coagulation assay</w:t>
            </w:r>
          </w:p>
        </w:tc>
        <w:tc>
          <w:tcPr>
            <w:tcW w:type="dxa" w:w="1872"/>
          </w:tcPr>
          <w:p>
            <w:pPr>
              <w:spacing w:after="20" w:before="20"/>
            </w:pPr>
            <w:r>
              <w:rPr>
                <w:rFonts w:ascii="Calibri" w:hAnsi="Calibri" w:cs="Calibri"/>
                <w:b w:val="0"/>
                <w:sz w:val="20"/>
              </w:rPr>
              <w:t>2.6</w:t>
            </w:r>
          </w:p>
        </w:tc>
        <w:tc>
          <w:tcPr>
            <w:tcW w:type="dxa" w:w="2160"/>
          </w:tcPr>
          <w:p>
            <w:pPr>
              <w:spacing w:after="20" w:before="20"/>
            </w:pPr>
            <w:r>
              <w:rPr>
                <w:rFonts w:ascii="Calibri" w:hAnsi="Calibri" w:cs="Calibri"/>
                <w:b w:val="0"/>
                <w:sz w:val="20"/>
              </w:rPr>
              <w:t>{INR}</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10.1</w:t>
            </w:r>
          </w:p>
        </w:tc>
        <w:tc>
          <w:tcPr>
            <w:tcW w:type="dxa" w:w="2160"/>
          </w:tcPr>
          <w:p>
            <w:pPr>
              <w:spacing w:after="20" w:before="20"/>
            </w:pPr>
            <w:r>
              <w:rPr>
                <w:rFonts w:ascii="Calibri" w:hAnsi="Calibri" w:cs="Calibri"/>
                <w:b w:val="0"/>
                <w:sz w:val="20"/>
              </w:rPr>
              <w:t>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r>
        <w:trPr>
          <w:cantSplit/>
        </w:trPr>
        <w:tc>
          <w:tcPr>
            <w:tcW w:type="dxa" w:w="3384"/>
          </w:tcPr>
          <w:p>
            <w:pPr>
              <w:spacing w:after="20" w:before="20"/>
            </w:pPr>
            <w:r>
              <w:rPr>
                <w:rFonts w:ascii="Calibri" w:hAnsi="Calibri" w:cs="Calibri"/>
                <w:b w:val="0"/>
                <w:sz w:val="20"/>
              </w:rPr>
              <w:t>warfarin sodium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r>
        <w:trPr>
          <w:cantSplit/>
        </w:trPr>
        <w:tc>
          <w:tcPr>
            <w:tcW w:type="dxa" w:w="3384"/>
          </w:tcPr>
          <w:p>
            <w:pPr>
              <w:spacing w:after="20" w:before="20"/>
            </w:pPr>
            <w:r>
              <w:rPr>
                <w:rFonts w:ascii="Calibri" w:hAnsi="Calibri" w:cs="Calibri"/>
                <w:b w:val="0"/>
                <w:sz w:val="20"/>
              </w:rPr>
              <w:t>warfarin sodium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r>
        <w:trPr>
          <w:cantSplit/>
        </w:trPr>
        <w:tc>
          <w:tcPr>
            <w:tcW w:type="dxa" w:w="3384"/>
          </w:tcPr>
          <w:p>
            <w:pPr>
              <w:spacing w:after="20" w:before="20"/>
            </w:pPr>
            <w:r>
              <w:rPr>
                <w:rFonts w:ascii="Calibri" w:hAnsi="Calibri" w:cs="Calibri"/>
                <w:b w:val="0"/>
                <w:sz w:val="20"/>
              </w:rPr>
              <w:t>warfarin sodium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Anticoagulation clinic INR follow-up after warfarin resumption</w:t>
            </w:r>
          </w:p>
        </w:tc>
        <w:tc>
          <w:tcPr>
            <w:tcW w:type="dxa" w:w="3264"/>
          </w:tcPr>
          <w:p>
            <w:pPr>
              <w:spacing w:after="20" w:before="20"/>
            </w:pPr>
            <w:r>
              <w:rPr>
                <w:rFonts w:ascii="Calibri" w:hAnsi="Calibri" w:cs="Calibri"/>
                <w:b w:val="0"/>
                <w:sz w:val="20"/>
              </w:rPr>
              <w:t>7 days</w:t>
            </w:r>
          </w:p>
        </w:tc>
        <w:tc>
          <w:tcPr>
            <w:tcW w:type="dxa" w:w="3264"/>
          </w:tcPr>
          <w:p>
            <w:pPr>
              <w:spacing w:after="20" w:before="20"/>
            </w:pPr>
            <w:r>
              <w:rPr>
                <w:rFonts w:ascii="Calibri" w:hAnsi="Calibri" w:cs="Calibri"/>
                <w:b w:val="0"/>
                <w:sz w:val="20"/>
              </w:rPr>
              <w:t>anticoagulation clinic</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Procedure</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Time</w:t>
            </w:r>
          </w:p>
        </w:tc>
        <w:tc>
          <w:tcPr>
            <w:tcW w:type="dxa" w:w="2448"/>
            <w:shd w:val="clear" w:color="auto" w:fill="D9E2F3"/>
          </w:tcPr>
          <w:p>
            <w:pPr>
              <w:spacing w:after="20" w:before="20"/>
            </w:pPr>
            <w:r>
              <w:rPr>
                <w:rFonts w:ascii="Calibri" w:hAnsi="Calibri" w:cs="Calibri"/>
                <w:b/>
                <w:sz w:val="20"/>
              </w:rPr>
              <w:t>Findings</w:t>
            </w:r>
          </w:p>
        </w:tc>
      </w:tr>
      <w:tr>
        <w:trPr>
          <w:cantSplit/>
        </w:trPr>
        <w:tc>
          <w:tcPr>
            <w:tcW w:type="dxa" w:w="2448"/>
          </w:tcPr>
          <w:p>
            <w:pPr>
              <w:spacing w:after="20" w:before="20"/>
            </w:pPr>
            <w:r>
              <w:rPr>
                <w:rFonts w:ascii="Calibri" w:hAnsi="Calibri" w:cs="Calibri"/>
                <w:b w:val="0"/>
                <w:sz w:val="20"/>
              </w:rPr>
              <w:t>Open reduction and internal fixation of femoral neck fracture</w:t>
            </w:r>
          </w:p>
        </w:tc>
        <w:tc>
          <w:tcPr>
            <w:tcW w:type="dxa" w:w="2448"/>
          </w:tcPr>
          <w:p>
            <w:pPr>
              <w:spacing w:after="20" w:before="20"/>
            </w:pPr>
            <w:r>
              <w:rPr>
                <w:rFonts w:ascii="Calibri" w:hAnsi="Calibri" w:cs="Calibri"/>
                <w:b w:val="0"/>
                <w:sz w:val="20"/>
              </w:rPr>
              <w:t>operative</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Fracture reduced and internally fixed.</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orthopedics</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Orthopedic postoperative recommendations were recorded.</w:t>
            </w:r>
          </w:p>
        </w:tc>
        <w:tc>
          <w:tcPr>
            <w:tcW w:type="dxa" w:w="2448"/>
          </w:tcPr>
          <w:p>
            <w:pPr>
              <w:spacing w:after="20" w:before="20"/>
            </w:pPr>
            <w:r>
              <w:rPr>
                <w:rFonts w:ascii="Calibri" w:hAnsi="Calibri" w:cs="Calibri"/>
                <w:b w:val="0"/>
                <w:sz w:val="20"/>
              </w:rPr>
              <w:t>Protective weight bearing and rehabilitation as documented.</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Fatigue</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9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9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91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Error-bearing</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Family 2</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Required outpatient monitoring not arranged (f2_monitoring_not_arranged)</w:t>
            </w:r>
          </w:p>
        </w:tc>
      </w:tr>
      <w:tr>
        <w:trPr>
          <w:cantSplit/>
        </w:trPr>
        <w:tc>
          <w:tcPr>
            <w:tcW w:type="dxa" w:w="3744"/>
          </w:tcPr>
          <w:p>
            <w:pPr>
              <w:spacing w:after="20" w:before="20"/>
            </w:pPr>
            <w:r>
              <w:rPr>
                <w:rFonts w:ascii="Calibri" w:hAnsi="Calibri" w:cs="Calibri"/>
                <w:b w:val="0"/>
                <w:sz w:val="20"/>
              </w:rPr>
              <w:t>Intended assessment target</w:t>
            </w:r>
          </w:p>
        </w:tc>
        <w:tc>
          <w:tcPr>
            <w:tcW w:type="dxa" w:w="6048"/>
          </w:tcPr>
          <w:p>
            <w:pPr>
              <w:spacing w:after="20" w:before="20"/>
            </w:pPr>
            <w:r>
              <w:rPr>
                <w:rFonts w:ascii="Calibri" w:hAnsi="Calibri" w:cs="Calibri"/>
                <w:b w:val="0"/>
                <w:sz w:val="20"/>
              </w:rPr>
              <w:t>A medication requiring outpatient laboratory or physiological monitoring was discharged without that monitoring being arranged.</w:t>
            </w:r>
          </w:p>
        </w:tc>
      </w:tr>
      <w:tr>
        <w:trPr>
          <w:cantSplit/>
        </w:trPr>
        <w:tc>
          <w:tcPr>
            <w:tcW w:type="dxa" w:w="3744"/>
          </w:tcPr>
          <w:p>
            <w:pPr>
              <w:spacing w:after="20" w:before="20"/>
            </w:pPr>
            <w:r>
              <w:rPr>
                <w:rFonts w:ascii="Calibri" w:hAnsi="Calibri" w:cs="Calibri"/>
                <w:b w:val="0"/>
                <w:sz w:val="20"/>
              </w:rPr>
              <w:t>Medication involved</w:t>
            </w:r>
          </w:p>
        </w:tc>
        <w:tc>
          <w:tcPr>
            <w:tcW w:type="dxa" w:w="6048"/>
          </w:tcPr>
          <w:p>
            <w:pPr>
              <w:spacing w:after="20" w:before="20"/>
            </w:pPr>
            <w:r>
              <w:rPr>
                <w:rFonts w:ascii="Calibri" w:hAnsi="Calibri" w:cs="Calibri"/>
                <w:b w:val="0"/>
                <w:sz w:val="20"/>
              </w:rPr>
              <w:t>warfarin sodium 5 MG Oral Tablet</w:t>
            </w:r>
          </w:p>
        </w:tc>
      </w:tr>
      <w:tr>
        <w:trPr>
          <w:cantSplit/>
        </w:trPr>
        <w:tc>
          <w:tcPr>
            <w:tcW w:type="dxa" w:w="3744"/>
          </w:tcPr>
          <w:p>
            <w:pPr>
              <w:spacing w:after="20" w:before="20"/>
            </w:pPr>
            <w:r>
              <w:rPr>
                <w:rFonts w:ascii="Calibri" w:hAnsi="Calibri" w:cs="Calibri"/>
                <w:b w:val="0"/>
                <w:sz w:val="20"/>
              </w:rPr>
              <w:t>Clean expected state</w:t>
            </w:r>
          </w:p>
        </w:tc>
        <w:tc>
          <w:tcPr>
            <w:tcW w:type="dxa" w:w="6048"/>
          </w:tcPr>
          <w:p>
            <w:pPr>
              <w:spacing w:after="20" w:before="20"/>
            </w:pPr>
            <w:r>
              <w:rPr>
                <w:rFonts w:ascii="Calibri" w:hAnsi="Calibri" w:cs="Calibri"/>
                <w:b w:val="0"/>
                <w:sz w:val="20"/>
              </w:rPr>
              <w:t>Changed field: monitoring</w:t>
              <w:br/>
              <w:t>case monitoring ids: present; medication monitoring: INR check</w:t>
            </w:r>
          </w:p>
        </w:tc>
      </w:tr>
      <w:tr>
        <w:trPr>
          <w:cantSplit/>
        </w:trPr>
        <w:tc>
          <w:tcPr>
            <w:tcW w:type="dxa" w:w="3744"/>
          </w:tcPr>
          <w:p>
            <w:pPr>
              <w:spacing w:after="20" w:before="20"/>
            </w:pPr>
            <w:r>
              <w:rPr>
                <w:rFonts w:ascii="Calibri" w:hAnsi="Calibri" w:cs="Calibri"/>
                <w:b w:val="0"/>
                <w:sz w:val="20"/>
              </w:rPr>
              <w:t>What appears in this case</w:t>
            </w:r>
          </w:p>
        </w:tc>
        <w:tc>
          <w:tcPr>
            <w:tcW w:type="dxa" w:w="6048"/>
          </w:tcPr>
          <w:p>
            <w:pPr>
              <w:spacing w:after="20" w:before="20"/>
            </w:pPr>
            <w:r>
              <w:rPr>
                <w:rFonts w:ascii="Calibri" w:hAnsi="Calibri" w:cs="Calibri"/>
                <w:b w:val="0"/>
                <w:sz w:val="20"/>
              </w:rPr>
              <w:t>case monitoring: none; medication monitoring: none</w:t>
            </w:r>
          </w:p>
        </w:tc>
      </w:tr>
      <w:tr>
        <w:trPr>
          <w:cantSplit/>
        </w:trPr>
        <w:tc>
          <w:tcPr>
            <w:tcW w:type="dxa" w:w="3744"/>
          </w:tcPr>
          <w:p>
            <w:pPr>
              <w:spacing w:after="20" w:before="20"/>
            </w:pPr>
            <w:r>
              <w:rPr>
                <w:rFonts w:ascii="Calibri" w:hAnsi="Calibri" w:cs="Calibri"/>
                <w:b w:val="0"/>
                <w:sz w:val="20"/>
              </w:rPr>
              <w:t>Evidence available in the chart</w:t>
            </w:r>
          </w:p>
        </w:tc>
        <w:tc>
          <w:tcPr>
            <w:tcW w:type="dxa" w:w="6048"/>
          </w:tcPr>
          <w:p>
            <w:pPr>
              <w:spacing w:after="20" w:before="20"/>
            </w:pPr>
            <w:r>
              <w:rPr>
                <w:rFonts w:ascii="Calibri" w:hAnsi="Calibri" w:cs="Calibri"/>
                <w:b w:val="0"/>
                <w:sz w:val="20"/>
              </w:rPr>
              <w:t>Trigger medication remains; source-backed rule WARFARIN_INR_MONITORING requires 38875-1.</w:t>
              <w:br/>
              <w:t>Evidence location: Discharge medications, Laboratory results, Scheduled monitoring</w:t>
              <w:br/>
              <w:t>Detectability location: Scheduled monitoring, discharge medications.monitoring</w:t>
            </w:r>
          </w:p>
        </w:tc>
      </w:tr>
      <w:tr>
        <w:trPr>
          <w:cantSplit/>
        </w:trPr>
        <w:tc>
          <w:tcPr>
            <w:tcW w:type="dxa" w:w="3744"/>
          </w:tcPr>
          <w:p>
            <w:pPr>
              <w:spacing w:after="20" w:before="20"/>
            </w:pPr>
            <w:r>
              <w:rPr>
                <w:rFonts w:ascii="Calibri" w:hAnsi="Calibri" w:cs="Calibri"/>
                <w:b w:val="0"/>
                <w:sz w:val="20"/>
              </w:rPr>
              <w:t>Expected clinical action</w:t>
            </w:r>
          </w:p>
        </w:tc>
        <w:tc>
          <w:tcPr>
            <w:tcW w:type="dxa" w:w="6048"/>
          </w:tcPr>
          <w:p>
            <w:pPr>
              <w:spacing w:after="20" w:before="20"/>
            </w:pPr>
            <w:r>
              <w:rPr>
                <w:rFonts w:ascii="Calibri" w:hAnsi="Calibri" w:cs="Calibri"/>
                <w:b w:val="0"/>
                <w:sz w:val="20"/>
              </w:rPr>
              <w:t>Arrange the required outpatient monitoring for the trigger medication.</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the clinical case actually contain the intended medication-reconciliation or transition-of-care problem described above, and does it match the intended category?</w:t>
      </w:r>
    </w:p>
    <w:p>
      <w:pPr>
        <w:keepLines/>
        <w:spacing w:before="80" w:after="160"/>
      </w:pPr>
      <w:sdt>
        <w:sdtPr>
          <w:rPr>
            <w:rFonts w:ascii="MS Gothic" w:hAnsi="MS Gothic" w:cs="MS Gothic" w:eastAsia="MS Gothic" w:hint="eastAsia"/>
            <w:sz w:val="28"/>
            <w:szCs w:val="28"/>
          </w:rPr>
          <w:alias w:val="C2 result"/>
          <w:tag w:val="c2-result"/>
          <w:id w:val="9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9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92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Could an internal-medicine resident identify and resolve the intended problem using only the clinical information provided in the patient-facing case?</w:t>
      </w:r>
    </w:p>
    <w:p>
      <w:pPr>
        <w:spacing w:after="120"/>
      </w:pPr>
      <w:r>
        <w:rPr>
          <w:rFonts w:ascii="Calibri" w:hAnsi="Calibri" w:cs="Calibri"/>
          <w:b w:val="0"/>
          <w:sz w:val="22"/>
        </w:rPr>
        <w:t>Consider whether the necessary evidence is present, whether key information is missing, whether the target is ambiguous, whether wording gives away the answer, and whether the expected clinical action can reasonably be determined.</w:t>
      </w:r>
    </w:p>
    <w:p>
      <w:pPr>
        <w:keepLines/>
        <w:spacing w:before="80" w:after="160"/>
      </w:pPr>
      <w:sdt>
        <w:sdtPr>
          <w:rPr>
            <w:rFonts w:ascii="MS Gothic" w:hAnsi="MS Gothic" w:cs="MS Gothic" w:eastAsia="MS Gothic" w:hint="eastAsia"/>
            <w:sz w:val="28"/>
            <w:szCs w:val="28"/>
          </w:rPr>
          <w:alias w:val="C3 result"/>
          <w:tag w:val="c3-result"/>
          <w:id w:val="9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9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92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Apart from the intended assessment problem, does the case contain another clinically meaningful medication-reconciliation or transition-of-care problem that a reasonable resident could interpret as an alternative target?</w:t>
      </w:r>
    </w:p>
    <w:p>
      <w:pPr>
        <w:keepLines/>
        <w:spacing w:before="80" w:after="160"/>
      </w:pPr>
      <w:sdt>
        <w:sdtPr>
          <w:rPr>
            <w:rFonts w:ascii="MS Gothic" w:hAnsi="MS Gothic" w:cs="MS Gothic" w:eastAsia="MS Gothic" w:hint="eastAsia"/>
            <w:sz w:val="28"/>
            <w:szCs w:val="28"/>
          </w:rPr>
          <w:alias w:val="C4 result"/>
          <w:tag w:val="c4-result"/>
          <w:id w:val="9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9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92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9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9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9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9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93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9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9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9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93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93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93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26"/>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VAL-818</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79</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103.000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orthopedics</w:t>
      </w:r>
    </w:p>
    <w:p>
      <w:pPr>
        <w:pStyle w:val="ListBullet"/>
        <w:spacing w:after="40" w:before="0"/>
      </w:pPr>
      <w:r>
        <w:rPr>
          <w:rFonts w:ascii="Calibri" w:hAnsi="Calibri" w:cs="Calibri"/>
          <w:b/>
          <w:sz w:val="22"/>
        </w:rPr>
        <w:t xml:space="preserve">Admission diagnosis: </w:t>
      </w:r>
      <w:r>
        <w:rPr>
          <w:rFonts w:ascii="Calibri" w:hAnsi="Calibri" w:cs="Calibri"/>
          <w:b w:val="0"/>
          <w:sz w:val="22"/>
        </w:rPr>
        <w:t>Fracture of unspecified part of neck of right femur, initial encounter for closed fracture</w:t>
      </w:r>
    </w:p>
    <w:p>
      <w:pPr>
        <w:pStyle w:val="ListBullet"/>
        <w:spacing w:after="40" w:before="0"/>
      </w:pPr>
      <w:r>
        <w:rPr>
          <w:rFonts w:ascii="Calibri" w:hAnsi="Calibri" w:cs="Calibri"/>
          <w:b/>
          <w:sz w:val="22"/>
        </w:rPr>
        <w:t xml:space="preserve">Disposition: </w:t>
      </w:r>
      <w:r>
        <w:rPr>
          <w:rFonts w:ascii="Calibri" w:hAnsi="Calibri" w:cs="Calibri"/>
          <w:b w:val="0"/>
          <w:sz w:val="22"/>
        </w:rPr>
        <w:t>rehab</w:t>
      </w:r>
    </w:p>
    <w:p>
      <w:pPr>
        <w:pStyle w:val="ListBullet"/>
        <w:spacing w:after="40" w:before="0"/>
      </w:pPr>
      <w:r>
        <w:rPr>
          <w:rFonts w:ascii="Calibri" w:hAnsi="Calibri" w:cs="Calibri"/>
          <w:b/>
          <w:sz w:val="22"/>
        </w:rPr>
        <w:t xml:space="preserve">One-liner: </w:t>
      </w:r>
      <w:r>
        <w:rPr>
          <w:rFonts w:ascii="Calibri" w:hAnsi="Calibri" w:cs="Calibri"/>
          <w:b w:val="0"/>
          <w:sz w:val="22"/>
        </w:rPr>
        <w:t>79-year-old Male with Fracture of unspecified part of neck of right femur, initial encounter for closed fracture</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Nausea, Fatigue in the setting of Fracture of unspecified part of neck of right femur, initial encounter for closed fracture</w:t>
      </w:r>
    </w:p>
    <w:p>
      <w:pPr>
        <w:pStyle w:val="ListBullet"/>
        <w:spacing w:after="40" w:before="0"/>
      </w:pPr>
      <w:r>
        <w:rPr>
          <w:rFonts w:ascii="Calibri" w:hAnsi="Calibri" w:cs="Calibri"/>
          <w:b/>
          <w:sz w:val="22"/>
        </w:rPr>
        <w:t xml:space="preserve">Symptoms: </w:t>
      </w:r>
      <w:r>
        <w:rPr>
          <w:rFonts w:ascii="Calibri" w:hAnsi="Calibri" w:cs="Calibri"/>
          <w:b w:val="0"/>
          <w:sz w:val="22"/>
        </w:rPr>
        <w:t>Nausea, Fatigue</w:t>
      </w:r>
    </w:p>
    <w:p>
      <w:pPr>
        <w:pStyle w:val="ListBullet"/>
        <w:spacing w:after="40" w:before="0"/>
      </w:pPr>
      <w:r>
        <w:rPr>
          <w:rFonts w:ascii="Calibri" w:hAnsi="Calibri" w:cs="Calibri"/>
          <w:b/>
          <w:sz w:val="22"/>
        </w:rPr>
        <w:t xml:space="preserve">Symptom duration: </w:t>
      </w:r>
      <w:r>
        <w:rPr>
          <w:rFonts w:ascii="Calibri" w:hAnsi="Calibri" w:cs="Calibri"/>
          <w:b w:val="0"/>
          <w:sz w:val="22"/>
        </w:rPr>
        <w:t>one day</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 79-year-old Male is admitted with Fracture of unspecified part of neck of right femur, initial encounter for closed fracture. Presenting symptoms include Nausea, Fatigue, present for one day and improving after treatment. Home medications include lisinopril 10 MG Oral Tablet, warfarin sodium 5 MG Oral Tablet, metformin hydrochloride 500 MG Oral Tablet. Admitted after hip-fracture surgery; anticoagulation is intended at discharge. Postoperative hemoglobin was observed. Warfarin is intended to continue at discharge. Postoperative hemoglobin was observed without transfusion. Rehabilitation and anticoagulation follow-up were planned.</w:t>
      </w:r>
    </w:p>
    <w:p>
      <w:pPr>
        <w:pStyle w:val="Heading3"/>
      </w:pPr>
      <w:r>
        <w:rPr>
          <w:rFonts w:ascii="Calibri" w:hAnsi="Calibri"/>
          <w:color w:val="1F3A5F"/>
        </w:rPr>
        <w:t>Admission note</w:t>
      </w:r>
    </w:p>
    <w:p>
      <w:pPr>
        <w:spacing w:after="120"/>
      </w:pPr>
      <w:r>
        <w:rPr>
          <w:rFonts w:ascii="Calibri" w:hAnsi="Calibri" w:cs="Calibri"/>
          <w:b w:val="0"/>
          <w:sz w:val="22"/>
        </w:rPr>
        <w:t>Admission note for a 79-year-old Male with Fracture of unspecified part of neck of right femur, initial encounter for closed fracture. Symptoms: Nausea, Fatigue for one day (improving after treatment). Medications continued from home: lisinopril 10 MG Oral Tablet, warfarin sodium 5 MG Oral Tablet, metformin hydrochloride 500 MG Oral Tablet. Admitted after hip-fracture surgery; anticoagulation is intended at discharge. Postoperative hemoglobin was observed. Warfarin is intended to continue at discharge. Postoperative hemoglobin was observed without transfusion. Rehabilitation and anticoagulation follow-up were planned.</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Paroxysmal atrial fibrillation, Essential (primary) hypertension, Type 2 diabetes mellitus without complications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Fracture of unspecified part of neck of right femur, initial encounter for closed fracture</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Fracture of unspecified part of neck of right femur, initial encounter for closed fracture</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Postoperative hemoglobin was observed without transfusion. Rehabilitation and anticoagulation follow-up were planned.</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rehab</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120/81</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89</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15</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INR in Platelet poor plasma or blood by Coagulation assay</w:t>
            </w:r>
          </w:p>
        </w:tc>
        <w:tc>
          <w:tcPr>
            <w:tcW w:type="dxa" w:w="1872"/>
          </w:tcPr>
          <w:p>
            <w:pPr>
              <w:spacing w:after="20" w:before="20"/>
            </w:pPr>
            <w:r>
              <w:rPr>
                <w:rFonts w:ascii="Calibri" w:hAnsi="Calibri" w:cs="Calibri"/>
                <w:b w:val="0"/>
                <w:sz w:val="20"/>
              </w:rPr>
              <w:t>2.3</w:t>
            </w:r>
          </w:p>
        </w:tc>
        <w:tc>
          <w:tcPr>
            <w:tcW w:type="dxa" w:w="2160"/>
          </w:tcPr>
          <w:p>
            <w:pPr>
              <w:spacing w:after="20" w:before="20"/>
            </w:pPr>
            <w:r>
              <w:rPr>
                <w:rFonts w:ascii="Calibri" w:hAnsi="Calibri" w:cs="Calibri"/>
                <w:b w:val="0"/>
                <w:sz w:val="20"/>
              </w:rPr>
              <w:t>{INR}</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7.9</w:t>
            </w:r>
          </w:p>
        </w:tc>
        <w:tc>
          <w:tcPr>
            <w:tcW w:type="dxa" w:w="2160"/>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103.000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124/74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76</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15</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INR in Platelet poor plasma or blood by Coagulation assay</w:t>
            </w:r>
          </w:p>
        </w:tc>
        <w:tc>
          <w:tcPr>
            <w:tcW w:type="dxa" w:w="1872"/>
          </w:tcPr>
          <w:p>
            <w:pPr>
              <w:spacing w:after="20" w:before="20"/>
            </w:pPr>
            <w:r>
              <w:rPr>
                <w:rFonts w:ascii="Calibri" w:hAnsi="Calibri" w:cs="Calibri"/>
                <w:b w:val="0"/>
                <w:sz w:val="20"/>
              </w:rPr>
              <w:t>2.9</w:t>
            </w:r>
          </w:p>
        </w:tc>
        <w:tc>
          <w:tcPr>
            <w:tcW w:type="dxa" w:w="2160"/>
          </w:tcPr>
          <w:p>
            <w:pPr>
              <w:spacing w:after="20" w:before="20"/>
            </w:pPr>
            <w:r>
              <w:rPr>
                <w:rFonts w:ascii="Calibri" w:hAnsi="Calibri" w:cs="Calibri"/>
                <w:b w:val="0"/>
                <w:sz w:val="20"/>
              </w:rPr>
              <w:t>{INR}</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10.3</w:t>
            </w:r>
          </w:p>
        </w:tc>
        <w:tc>
          <w:tcPr>
            <w:tcW w:type="dxa" w:w="2160"/>
          </w:tcPr>
          <w:p>
            <w:pPr>
              <w:spacing w:after="20" w:before="20"/>
            </w:pPr>
            <w:r>
              <w:rPr>
                <w:rFonts w:ascii="Calibri" w:hAnsi="Calibri" w:cs="Calibri"/>
                <w:b w:val="0"/>
                <w:sz w:val="20"/>
              </w:rPr>
              <w:t>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r>
        <w:trPr>
          <w:cantSplit/>
        </w:trPr>
        <w:tc>
          <w:tcPr>
            <w:tcW w:type="dxa" w:w="3384"/>
          </w:tcPr>
          <w:p>
            <w:pPr>
              <w:spacing w:after="20" w:before="20"/>
            </w:pPr>
            <w:r>
              <w:rPr>
                <w:rFonts w:ascii="Calibri" w:hAnsi="Calibri" w:cs="Calibri"/>
                <w:b w:val="0"/>
                <w:sz w:val="20"/>
              </w:rPr>
              <w:t>warfarin sodium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r>
        <w:trPr>
          <w:cantSplit/>
        </w:trPr>
        <w:tc>
          <w:tcPr>
            <w:tcW w:type="dxa" w:w="3384"/>
          </w:tcPr>
          <w:p>
            <w:pPr>
              <w:spacing w:after="20" w:before="20"/>
            </w:pPr>
            <w:r>
              <w:rPr>
                <w:rFonts w:ascii="Calibri" w:hAnsi="Calibri" w:cs="Calibri"/>
                <w:b w:val="0"/>
                <w:sz w:val="20"/>
              </w:rPr>
              <w:t>warfarin sodium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Parameter</w:t>
            </w:r>
          </w:p>
        </w:tc>
        <w:tc>
          <w:tcPr>
            <w:tcW w:type="dxa" w:w="2448"/>
            <w:shd w:val="clear" w:color="auto" w:fill="D9E2F3"/>
          </w:tcPr>
          <w:p>
            <w:pPr>
              <w:spacing w:after="20" w:before="20"/>
            </w:pPr>
            <w:r>
              <w:rPr>
                <w:rFonts w:ascii="Calibri" w:hAnsi="Calibri" w:cs="Calibri"/>
                <w:b/>
                <w:sz w:val="20"/>
              </w:rPr>
              <w:t>Frequency</w:t>
            </w:r>
          </w:p>
        </w:tc>
        <w:tc>
          <w:tcPr>
            <w:tcW w:type="dxa" w:w="2448"/>
            <w:shd w:val="clear" w:color="auto" w:fill="D9E2F3"/>
          </w:tcPr>
          <w:p>
            <w:pPr>
              <w:spacing w:after="20" w:before="20"/>
            </w:pPr>
            <w:r>
              <w:rPr>
                <w:rFonts w:ascii="Calibri" w:hAnsi="Calibri" w:cs="Calibri"/>
                <w:b/>
                <w:sz w:val="20"/>
              </w:rPr>
              <w:t>Trigger for action</w:t>
            </w:r>
          </w:p>
        </w:tc>
        <w:tc>
          <w:tcPr>
            <w:tcW w:type="dxa" w:w="2448"/>
            <w:shd w:val="clear" w:color="auto" w:fill="D9E2F3"/>
          </w:tcPr>
          <w:p>
            <w:pPr>
              <w:spacing w:after="20" w:before="20"/>
            </w:pPr>
            <w:r>
              <w:rPr>
                <w:rFonts w:ascii="Calibri" w:hAnsi="Calibri" w:cs="Calibri"/>
                <w:b/>
                <w:sz w:val="20"/>
              </w:rPr>
              <w:t>Responsible service</w:t>
            </w:r>
          </w:p>
        </w:tc>
      </w:tr>
      <w:tr>
        <w:trPr>
          <w:cantSplit/>
        </w:trPr>
        <w:tc>
          <w:tcPr>
            <w:tcW w:type="dxa" w:w="2448"/>
          </w:tcPr>
          <w:p>
            <w:pPr>
              <w:spacing w:after="20" w:before="20"/>
            </w:pPr>
            <w:r>
              <w:rPr>
                <w:rFonts w:ascii="Calibri" w:hAnsi="Calibri" w:cs="Calibri"/>
                <w:b w:val="0"/>
                <w:sz w:val="20"/>
              </w:rPr>
              <w:t>INR in Platelet poor plasma or blood by Coagulation assay</w:t>
            </w:r>
          </w:p>
        </w:tc>
        <w:tc>
          <w:tcPr>
            <w:tcW w:type="dxa" w:w="2448"/>
          </w:tcPr>
          <w:p>
            <w:pPr>
              <w:spacing w:after="20" w:before="20"/>
            </w:pPr>
            <w:r>
              <w:rPr>
                <w:rFonts w:ascii="Calibri" w:hAnsi="Calibri" w:cs="Calibri"/>
                <w:b w:val="0"/>
                <w:sz w:val="20"/>
              </w:rPr>
              <w:t>within 7 days, then by the INR result</w:t>
            </w:r>
          </w:p>
        </w:tc>
        <w:tc>
          <w:tcPr>
            <w:tcW w:type="dxa" w:w="2448"/>
          </w:tcPr>
          <w:p>
            <w:pPr>
              <w:spacing w:after="20" w:before="20"/>
            </w:pPr>
            <w:r>
              <w:rPr>
                <w:rFonts w:ascii="Calibri" w:hAnsi="Calibri" w:cs="Calibri"/>
                <w:b w:val="0"/>
                <w:sz w:val="20"/>
              </w:rPr>
              <w:t>Repeat INR sooner if bleeding or a new interacting medicine occurs</w:t>
            </w:r>
          </w:p>
        </w:tc>
        <w:tc>
          <w:tcPr>
            <w:tcW w:type="dxa" w:w="2448"/>
          </w:tcPr>
          <w:p>
            <w:pPr>
              <w:spacing w:after="20" w:before="20"/>
            </w:pPr>
            <w:r>
              <w:rPr>
                <w:rFonts w:ascii="Calibri" w:hAnsi="Calibri" w:cs="Calibri"/>
                <w:b w:val="0"/>
                <w:sz w:val="20"/>
              </w:rPr>
              <w:t>laboratory monitoring</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Orthopedic and anticoagulation follow-up</w:t>
            </w:r>
          </w:p>
        </w:tc>
        <w:tc>
          <w:tcPr>
            <w:tcW w:type="dxa" w:w="3264"/>
          </w:tcPr>
          <w:p>
            <w:pPr>
              <w:spacing w:after="20" w:before="20"/>
            </w:pPr>
            <w:r>
              <w:rPr>
                <w:rFonts w:ascii="Calibri" w:hAnsi="Calibri" w:cs="Calibri"/>
                <w:b w:val="0"/>
                <w:sz w:val="20"/>
              </w:rPr>
              <w:t>14 days</w:t>
            </w:r>
          </w:p>
        </w:tc>
        <w:tc>
          <w:tcPr>
            <w:tcW w:type="dxa" w:w="3264"/>
          </w:tcPr>
          <w:p>
            <w:pPr>
              <w:spacing w:after="20" w:before="20"/>
            </w:pPr>
            <w:r>
              <w:rPr>
                <w:rFonts w:ascii="Calibri" w:hAnsi="Calibri" w:cs="Calibri"/>
                <w:b w:val="0"/>
                <w:sz w:val="20"/>
              </w:rPr>
              <w:t>orthopedics</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Procedure</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Time</w:t>
            </w:r>
          </w:p>
        </w:tc>
        <w:tc>
          <w:tcPr>
            <w:tcW w:type="dxa" w:w="2448"/>
            <w:shd w:val="clear" w:color="auto" w:fill="D9E2F3"/>
          </w:tcPr>
          <w:p>
            <w:pPr>
              <w:spacing w:after="20" w:before="20"/>
            </w:pPr>
            <w:r>
              <w:rPr>
                <w:rFonts w:ascii="Calibri" w:hAnsi="Calibri" w:cs="Calibri"/>
                <w:b/>
                <w:sz w:val="20"/>
              </w:rPr>
              <w:t>Findings</w:t>
            </w:r>
          </w:p>
        </w:tc>
      </w:tr>
      <w:tr>
        <w:trPr>
          <w:cantSplit/>
        </w:trPr>
        <w:tc>
          <w:tcPr>
            <w:tcW w:type="dxa" w:w="2448"/>
          </w:tcPr>
          <w:p>
            <w:pPr>
              <w:spacing w:after="20" w:before="20"/>
            </w:pPr>
            <w:r>
              <w:rPr>
                <w:rFonts w:ascii="Calibri" w:hAnsi="Calibri" w:cs="Calibri"/>
                <w:b w:val="0"/>
                <w:sz w:val="20"/>
              </w:rPr>
              <w:t>Open reduction and internal fixation of femoral neck fracture</w:t>
            </w:r>
          </w:p>
        </w:tc>
        <w:tc>
          <w:tcPr>
            <w:tcW w:type="dxa" w:w="2448"/>
          </w:tcPr>
          <w:p>
            <w:pPr>
              <w:spacing w:after="20" w:before="20"/>
            </w:pPr>
            <w:r>
              <w:rPr>
                <w:rFonts w:ascii="Calibri" w:hAnsi="Calibri" w:cs="Calibri"/>
                <w:b w:val="0"/>
                <w:sz w:val="20"/>
              </w:rPr>
              <w:t>operative</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Fracture reduced and internally fixed.</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orthopedics</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Orthopedic postoperative recommendations were recorded.</w:t>
            </w:r>
          </w:p>
        </w:tc>
        <w:tc>
          <w:tcPr>
            <w:tcW w:type="dxa" w:w="2448"/>
          </w:tcPr>
          <w:p>
            <w:pPr>
              <w:spacing w:after="20" w:before="20"/>
            </w:pPr>
            <w:r>
              <w:rPr>
                <w:rFonts w:ascii="Calibri" w:hAnsi="Calibri" w:cs="Calibri"/>
                <w:b w:val="0"/>
                <w:sz w:val="20"/>
              </w:rPr>
              <w:t>Protective weight bearing and rehabilitation as documented.</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Nausea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9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9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97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Error-bearing</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Family 1</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Medication omitted at discharge (f1_omission)</w:t>
            </w:r>
          </w:p>
        </w:tc>
      </w:tr>
      <w:tr>
        <w:trPr>
          <w:cantSplit/>
        </w:trPr>
        <w:tc>
          <w:tcPr>
            <w:tcW w:type="dxa" w:w="3744"/>
          </w:tcPr>
          <w:p>
            <w:pPr>
              <w:spacing w:after="20" w:before="20"/>
            </w:pPr>
            <w:r>
              <w:rPr>
                <w:rFonts w:ascii="Calibri" w:hAnsi="Calibri" w:cs="Calibri"/>
                <w:b w:val="0"/>
                <w:sz w:val="20"/>
              </w:rPr>
              <w:t>Intended assessment target</w:t>
            </w:r>
          </w:p>
        </w:tc>
        <w:tc>
          <w:tcPr>
            <w:tcW w:type="dxa" w:w="6048"/>
          </w:tcPr>
          <w:p>
            <w:pPr>
              <w:spacing w:after="20" w:before="20"/>
            </w:pPr>
            <w:r>
              <w:rPr>
                <w:rFonts w:ascii="Calibri" w:hAnsi="Calibri" w:cs="Calibri"/>
                <w:b w:val="0"/>
                <w:sz w:val="20"/>
              </w:rPr>
              <w:t>A medication indicated at discharge was omitted from the discharge medication list.</w:t>
            </w:r>
          </w:p>
        </w:tc>
      </w:tr>
      <w:tr>
        <w:trPr>
          <w:cantSplit/>
        </w:trPr>
        <w:tc>
          <w:tcPr>
            <w:tcW w:type="dxa" w:w="3744"/>
          </w:tcPr>
          <w:p>
            <w:pPr>
              <w:spacing w:after="20" w:before="20"/>
            </w:pPr>
            <w:r>
              <w:rPr>
                <w:rFonts w:ascii="Calibri" w:hAnsi="Calibri" w:cs="Calibri"/>
                <w:b w:val="0"/>
                <w:sz w:val="20"/>
              </w:rPr>
              <w:t>Medication involved</w:t>
            </w:r>
          </w:p>
        </w:tc>
        <w:tc>
          <w:tcPr>
            <w:tcW w:type="dxa" w:w="6048"/>
          </w:tcPr>
          <w:p>
            <w:pPr>
              <w:spacing w:after="20" w:before="20"/>
            </w:pPr>
            <w:r>
              <w:rPr>
                <w:rFonts w:ascii="Calibri" w:hAnsi="Calibri" w:cs="Calibri"/>
                <w:b w:val="0"/>
                <w:sz w:val="20"/>
              </w:rPr>
              <w:t>warfarin sodium 5 MG Oral Tablet</w:t>
            </w:r>
          </w:p>
        </w:tc>
      </w:tr>
      <w:tr>
        <w:trPr>
          <w:cantSplit/>
        </w:trPr>
        <w:tc>
          <w:tcPr>
            <w:tcW w:type="dxa" w:w="3744"/>
          </w:tcPr>
          <w:p>
            <w:pPr>
              <w:spacing w:after="20" w:before="20"/>
            </w:pPr>
            <w:r>
              <w:rPr>
                <w:rFonts w:ascii="Calibri" w:hAnsi="Calibri" w:cs="Calibri"/>
                <w:b w:val="0"/>
                <w:sz w:val="20"/>
              </w:rPr>
              <w:t>Clean expected state</w:t>
            </w:r>
          </w:p>
        </w:tc>
        <w:tc>
          <w:tcPr>
            <w:tcW w:type="dxa" w:w="6048"/>
          </w:tcPr>
          <w:p>
            <w:pPr>
              <w:spacing w:after="20" w:before="20"/>
            </w:pPr>
            <w:r>
              <w:rPr>
                <w:rFonts w:ascii="Calibri" w:hAnsi="Calibri" w:cs="Calibri"/>
                <w:b w:val="0"/>
                <w:sz w:val="20"/>
              </w:rPr>
              <w:t>Changed field: presence</w:t>
              <w:br/>
              <w:t>present</w:t>
              <w:br/>
              <w:t>Original clean state: dose: 5 MG; drug: warfarin sodium 5 MG Oral Tablet; frequency: once daily; monitoring: INR check; quantity or days: none; route: oral; rxcui: 855332; status: discharge</w:t>
            </w:r>
          </w:p>
        </w:tc>
      </w:tr>
      <w:tr>
        <w:trPr>
          <w:cantSplit/>
        </w:trPr>
        <w:tc>
          <w:tcPr>
            <w:tcW w:type="dxa" w:w="3744"/>
          </w:tcPr>
          <w:p>
            <w:pPr>
              <w:spacing w:after="20" w:before="20"/>
            </w:pPr>
            <w:r>
              <w:rPr>
                <w:rFonts w:ascii="Calibri" w:hAnsi="Calibri" w:cs="Calibri"/>
                <w:b w:val="0"/>
                <w:sz w:val="20"/>
              </w:rPr>
              <w:t>What appears in this case</w:t>
            </w:r>
          </w:p>
        </w:tc>
        <w:tc>
          <w:tcPr>
            <w:tcW w:type="dxa" w:w="6048"/>
          </w:tcPr>
          <w:p>
            <w:pPr>
              <w:spacing w:after="20" w:before="20"/>
            </w:pPr>
            <w:r>
              <w:rPr>
                <w:rFonts w:ascii="Calibri" w:hAnsi="Calibri" w:cs="Calibri"/>
                <w:b w:val="0"/>
                <w:sz w:val="20"/>
              </w:rPr>
              <w:t>absent</w:t>
            </w:r>
          </w:p>
        </w:tc>
      </w:tr>
      <w:tr>
        <w:trPr>
          <w:cantSplit/>
        </w:trPr>
        <w:tc>
          <w:tcPr>
            <w:tcW w:type="dxa" w:w="3744"/>
          </w:tcPr>
          <w:p>
            <w:pPr>
              <w:spacing w:after="20" w:before="20"/>
            </w:pPr>
            <w:r>
              <w:rPr>
                <w:rFonts w:ascii="Calibri" w:hAnsi="Calibri" w:cs="Calibri"/>
                <w:b w:val="0"/>
                <w:sz w:val="20"/>
              </w:rPr>
              <w:t>Evidence available in the chart</w:t>
            </w:r>
          </w:p>
        </w:tc>
        <w:tc>
          <w:tcPr>
            <w:tcW w:type="dxa" w:w="6048"/>
          </w:tcPr>
          <w:p>
            <w:pPr>
              <w:spacing w:after="20" w:before="20"/>
            </w:pPr>
            <w:r>
              <w:rPr>
                <w:rFonts w:ascii="Calibri" w:hAnsi="Calibri" w:cs="Calibri"/>
                <w:b w:val="0"/>
                <w:sz w:val="20"/>
              </w:rPr>
              <w:t>Home/inpatient continuation of this medication with no stop rationale.</w:t>
              <w:br/>
              <w:t>Evidence location: Home medications, Medications during hospitalization, Discharge medications</w:t>
              <w:br/>
              <w:t>Detectability location: Discharge medications</w:t>
            </w:r>
          </w:p>
        </w:tc>
      </w:tr>
      <w:tr>
        <w:trPr>
          <w:cantSplit/>
        </w:trPr>
        <w:tc>
          <w:tcPr>
            <w:tcW w:type="dxa" w:w="3744"/>
          </w:tcPr>
          <w:p>
            <w:pPr>
              <w:spacing w:after="20" w:before="20"/>
            </w:pPr>
            <w:r>
              <w:rPr>
                <w:rFonts w:ascii="Calibri" w:hAnsi="Calibri" w:cs="Calibri"/>
                <w:b w:val="0"/>
                <w:sz w:val="20"/>
              </w:rPr>
              <w:t>Expected clinical action</w:t>
            </w:r>
          </w:p>
        </w:tc>
        <w:tc>
          <w:tcPr>
            <w:tcW w:type="dxa" w:w="6048"/>
          </w:tcPr>
          <w:p>
            <w:pPr>
              <w:spacing w:after="20" w:before="20"/>
            </w:pPr>
            <w:r>
              <w:rPr>
                <w:rFonts w:ascii="Calibri" w:hAnsi="Calibri" w:cs="Calibri"/>
                <w:b w:val="0"/>
                <w:sz w:val="20"/>
              </w:rPr>
              <w:t>Restore the omitted continued discharge medication.</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the clinical case actually contain the intended medication-reconciliation or transition-of-care problem described above, and does it match the intended category?</w:t>
      </w:r>
    </w:p>
    <w:p>
      <w:pPr>
        <w:keepLines/>
        <w:spacing w:before="80" w:after="160"/>
      </w:pPr>
      <w:sdt>
        <w:sdtPr>
          <w:rPr>
            <w:rFonts w:ascii="MS Gothic" w:hAnsi="MS Gothic" w:cs="MS Gothic" w:eastAsia="MS Gothic" w:hint="eastAsia"/>
            <w:sz w:val="28"/>
            <w:szCs w:val="28"/>
          </w:rPr>
          <w:alias w:val="C2 result"/>
          <w:tag w:val="c2-result"/>
          <w:id w:val="9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9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97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Could an internal-medicine resident identify and resolve the intended problem using only the clinical information provided in the patient-facing case?</w:t>
      </w:r>
    </w:p>
    <w:p>
      <w:pPr>
        <w:spacing w:after="120"/>
      </w:pPr>
      <w:r>
        <w:rPr>
          <w:rFonts w:ascii="Calibri" w:hAnsi="Calibri" w:cs="Calibri"/>
          <w:b w:val="0"/>
          <w:sz w:val="22"/>
        </w:rPr>
        <w:t>Consider whether the necessary evidence is present, whether key information is missing, whether the target is ambiguous, whether wording gives away the answer, and whether the expected clinical action can reasonably be determined.</w:t>
      </w:r>
    </w:p>
    <w:p>
      <w:pPr>
        <w:keepLines/>
        <w:spacing w:before="80" w:after="160"/>
      </w:pPr>
      <w:sdt>
        <w:sdtPr>
          <w:rPr>
            <w:rFonts w:ascii="MS Gothic" w:hAnsi="MS Gothic" w:cs="MS Gothic" w:eastAsia="MS Gothic" w:hint="eastAsia"/>
            <w:sz w:val="28"/>
            <w:szCs w:val="28"/>
          </w:rPr>
          <w:alias w:val="C3 result"/>
          <w:tag w:val="c3-result"/>
          <w:id w:val="9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9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97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Apart from the intended assessment problem, does the case contain another clinically meaningful medication-reconciliation or transition-of-care problem that a reasonable resident could interpret as an alternative target?</w:t>
      </w:r>
    </w:p>
    <w:p>
      <w:pPr>
        <w:keepLines/>
        <w:spacing w:before="80" w:after="160"/>
      </w:pPr>
      <w:sdt>
        <w:sdtPr>
          <w:rPr>
            <w:rFonts w:ascii="MS Gothic" w:hAnsi="MS Gothic" w:cs="MS Gothic" w:eastAsia="MS Gothic" w:hint="eastAsia"/>
            <w:sz w:val="28"/>
            <w:szCs w:val="28"/>
          </w:rPr>
          <w:alias w:val="C4 result"/>
          <w:tag w:val="c4-result"/>
          <w:id w:val="9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9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98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9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9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9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9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98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9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9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9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99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99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99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27"/>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VAL-819</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70</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100.000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orthopedics</w:t>
      </w:r>
    </w:p>
    <w:p>
      <w:pPr>
        <w:pStyle w:val="ListBullet"/>
        <w:spacing w:after="40" w:before="0"/>
      </w:pPr>
      <w:r>
        <w:rPr>
          <w:rFonts w:ascii="Calibri" w:hAnsi="Calibri" w:cs="Calibri"/>
          <w:b/>
          <w:sz w:val="22"/>
        </w:rPr>
        <w:t xml:space="preserve">Admission diagnosis: </w:t>
      </w:r>
      <w:r>
        <w:rPr>
          <w:rFonts w:ascii="Calibri" w:hAnsi="Calibri" w:cs="Calibri"/>
          <w:b w:val="0"/>
          <w:sz w:val="22"/>
        </w:rPr>
        <w:t>Fracture of unspecified part of neck of right femur, initial encounter for closed fracture</w:t>
      </w:r>
    </w:p>
    <w:p>
      <w:pPr>
        <w:pStyle w:val="ListBullet"/>
        <w:spacing w:after="40" w:before="0"/>
      </w:pPr>
      <w:r>
        <w:rPr>
          <w:rFonts w:ascii="Calibri" w:hAnsi="Calibri" w:cs="Calibri"/>
          <w:b/>
          <w:sz w:val="22"/>
        </w:rPr>
        <w:t xml:space="preserve">Disposition: </w:t>
      </w:r>
      <w:r>
        <w:rPr>
          <w:rFonts w:ascii="Calibri" w:hAnsi="Calibri" w:cs="Calibri"/>
          <w:b w:val="0"/>
          <w:sz w:val="22"/>
        </w:rPr>
        <w:t>rehab</w:t>
      </w:r>
    </w:p>
    <w:p>
      <w:pPr>
        <w:pStyle w:val="ListBullet"/>
        <w:spacing w:after="40" w:before="0"/>
      </w:pPr>
      <w:r>
        <w:rPr>
          <w:rFonts w:ascii="Calibri" w:hAnsi="Calibri" w:cs="Calibri"/>
          <w:b/>
          <w:sz w:val="22"/>
        </w:rPr>
        <w:t xml:space="preserve">One-liner: </w:t>
      </w:r>
      <w:r>
        <w:rPr>
          <w:rFonts w:ascii="Calibri" w:hAnsi="Calibri" w:cs="Calibri"/>
          <w:b w:val="0"/>
          <w:sz w:val="22"/>
        </w:rPr>
        <w:t>70-year-old Female with Fracture of unspecified part of neck of right femur, initial encounter for closed fracture</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Nausea in the setting of Fracture of unspecified part of neck of right femur, initial encounter for closed fracture</w:t>
      </w:r>
    </w:p>
    <w:p>
      <w:pPr>
        <w:pStyle w:val="ListBullet"/>
        <w:spacing w:after="40" w:before="0"/>
      </w:pPr>
      <w:r>
        <w:rPr>
          <w:rFonts w:ascii="Calibri" w:hAnsi="Calibri" w:cs="Calibri"/>
          <w:b/>
          <w:sz w:val="22"/>
        </w:rPr>
        <w:t xml:space="preserve">Symptoms: </w:t>
      </w:r>
      <w:r>
        <w:rPr>
          <w:rFonts w:ascii="Calibri" w:hAnsi="Calibri" w:cs="Calibri"/>
          <w:b w:val="0"/>
          <w:sz w:val="22"/>
        </w:rPr>
        <w:t>Nausea</w:t>
      </w:r>
    </w:p>
    <w:p>
      <w:pPr>
        <w:pStyle w:val="ListBullet"/>
        <w:spacing w:after="40" w:before="0"/>
      </w:pPr>
      <w:r>
        <w:rPr>
          <w:rFonts w:ascii="Calibri" w:hAnsi="Calibri" w:cs="Calibri"/>
          <w:b/>
          <w:sz w:val="22"/>
        </w:rPr>
        <w:t xml:space="preserve">Symptom duration: </w:t>
      </w:r>
      <w:r>
        <w:rPr>
          <w:rFonts w:ascii="Calibri" w:hAnsi="Calibri" w:cs="Calibri"/>
          <w:b w:val="0"/>
          <w:sz w:val="22"/>
        </w:rPr>
        <w:t>two days</w:t>
      </w:r>
    </w:p>
    <w:p>
      <w:pPr>
        <w:pStyle w:val="ListBullet"/>
        <w:spacing w:after="40" w:before="0"/>
      </w:pPr>
      <w:r>
        <w:rPr>
          <w:rFonts w:ascii="Calibri" w:hAnsi="Calibri" w:cs="Calibri"/>
          <w:b/>
          <w:sz w:val="22"/>
        </w:rPr>
        <w:t xml:space="preserve">Symptom course: </w:t>
      </w:r>
      <w:r>
        <w:rPr>
          <w:rFonts w:ascii="Calibri" w:hAnsi="Calibri" w:cs="Calibri"/>
          <w:b w:val="0"/>
          <w:sz w:val="22"/>
        </w:rPr>
        <w:t>persistent</w:t>
      </w:r>
    </w:p>
    <w:p>
      <w:pPr>
        <w:pStyle w:val="Heading3"/>
      </w:pPr>
      <w:r>
        <w:rPr>
          <w:rFonts w:ascii="Calibri" w:hAnsi="Calibri"/>
          <w:color w:val="1F3A5F"/>
        </w:rPr>
        <w:t>History of present illness</w:t>
      </w:r>
    </w:p>
    <w:p>
      <w:pPr>
        <w:spacing w:after="120"/>
      </w:pPr>
      <w:r>
        <w:rPr>
          <w:rFonts w:ascii="Calibri" w:hAnsi="Calibri" w:cs="Calibri"/>
          <w:b w:val="0"/>
          <w:sz w:val="22"/>
        </w:rPr>
        <w:t>A 70-year-old Female is admitted with Fracture of unspecified part of neck of right femur, initial encounter for closed fracture. Presenting symptoms include Nausea, present for two days and persistent. Home medications include lisinopril 10 MG Oral Tablet, warfarin sodium 5 MG Oral Tablet. Admitted after hip-fracture surgery with planned anticoagulation follow-up. Warfarin was resumed. An anticoagulation-clinic INR visit is scheduled. Home therapy support is arranged. Anticoagulation was interrupted for surgery and then resumed.</w:t>
      </w:r>
    </w:p>
    <w:p>
      <w:pPr>
        <w:pStyle w:val="Heading3"/>
      </w:pPr>
      <w:r>
        <w:rPr>
          <w:rFonts w:ascii="Calibri" w:hAnsi="Calibri"/>
          <w:color w:val="1F3A5F"/>
        </w:rPr>
        <w:t>Admission note</w:t>
      </w:r>
    </w:p>
    <w:p>
      <w:pPr>
        <w:spacing w:after="120"/>
      </w:pPr>
      <w:r>
        <w:rPr>
          <w:rFonts w:ascii="Calibri" w:hAnsi="Calibri" w:cs="Calibri"/>
          <w:b w:val="0"/>
          <w:sz w:val="22"/>
        </w:rPr>
        <w:t>Admission note for a 70-year-old Female with Fracture of unspecified part of neck of right femur, initial encounter for closed fracture. Symptoms: Nausea for two days (persistent). Medications continued from home: lisinopril 10 MG Oral Tablet, warfarin sodium 5 MG Oral Tablet. Admitted after hip-fracture surgery with planned anticoagulation follow-up. Warfarin was resumed. An anticoagulation-clinic INR visit is scheduled. Home therapy support is arranged. Anticoagulation was interrupted for surgery and then resumed.</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Paroxysmal atrial fibrillation, Essential (primary) hypertension</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Fracture of unspecified part of neck of right femur, initial encounter for closed fracture</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Fracture of unspecified part of neck of right femur, initial encounter for closed fracture</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Anticoagulation was interrupted for surgery and then resumed.</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rehab</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Yes</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133/84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71</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20</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97.00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INR in Platelet poor plasma or blood by Coagulation assay</w:t>
            </w:r>
          </w:p>
        </w:tc>
        <w:tc>
          <w:tcPr>
            <w:tcW w:type="dxa" w:w="1872"/>
          </w:tcPr>
          <w:p>
            <w:pPr>
              <w:spacing w:after="20" w:before="20"/>
            </w:pPr>
            <w:r>
              <w:rPr>
                <w:rFonts w:ascii="Calibri" w:hAnsi="Calibri" w:cs="Calibri"/>
                <w:b w:val="0"/>
                <w:sz w:val="20"/>
              </w:rPr>
              <w:t>2.5</w:t>
            </w:r>
          </w:p>
        </w:tc>
        <w:tc>
          <w:tcPr>
            <w:tcW w:type="dxa" w:w="2160"/>
          </w:tcPr>
          <w:p>
            <w:pPr>
              <w:spacing w:after="20" w:before="20"/>
            </w:pPr>
            <w:r>
              <w:rPr>
                <w:rFonts w:ascii="Calibri" w:hAnsi="Calibri" w:cs="Calibri"/>
                <w:b w:val="0"/>
                <w:sz w:val="20"/>
              </w:rPr>
              <w:t>{INR}</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100.000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127/81</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18</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97.00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1.1</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INR in Platelet poor plasma or blood by Coagulation assay</w:t>
            </w:r>
          </w:p>
        </w:tc>
        <w:tc>
          <w:tcPr>
            <w:tcW w:type="dxa" w:w="1872"/>
          </w:tcPr>
          <w:p>
            <w:pPr>
              <w:spacing w:after="20" w:before="20"/>
            </w:pPr>
            <w:r>
              <w:rPr>
                <w:rFonts w:ascii="Calibri" w:hAnsi="Calibri" w:cs="Calibri"/>
                <w:b w:val="0"/>
                <w:sz w:val="20"/>
              </w:rPr>
              <w:t>2.6</w:t>
            </w:r>
          </w:p>
        </w:tc>
        <w:tc>
          <w:tcPr>
            <w:tcW w:type="dxa" w:w="2160"/>
          </w:tcPr>
          <w:p>
            <w:pPr>
              <w:spacing w:after="20" w:before="20"/>
            </w:pPr>
            <w:r>
              <w:rPr>
                <w:rFonts w:ascii="Calibri" w:hAnsi="Calibri" w:cs="Calibri"/>
                <w:b w:val="0"/>
                <w:sz w:val="20"/>
              </w:rPr>
              <w:t>{INR}</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warfarin sodium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warfarin sodium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 Supply: 30 days</w:t>
            </w:r>
          </w:p>
        </w:tc>
      </w:tr>
      <w:tr>
        <w:trPr>
          <w:cantSplit/>
        </w:trPr>
        <w:tc>
          <w:tcPr>
            <w:tcW w:type="dxa" w:w="3384"/>
          </w:tcPr>
          <w:p>
            <w:pPr>
              <w:spacing w:after="20" w:before="20"/>
            </w:pPr>
            <w:r>
              <w:rPr>
                <w:rFonts w:ascii="Calibri" w:hAnsi="Calibri" w:cs="Calibri"/>
                <w:b w:val="0"/>
                <w:sz w:val="20"/>
              </w:rPr>
              <w:t>warfarin sodium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 Supply: 7 days; Monitoring: INR check</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Parameter</w:t>
            </w:r>
          </w:p>
        </w:tc>
        <w:tc>
          <w:tcPr>
            <w:tcW w:type="dxa" w:w="2448"/>
            <w:shd w:val="clear" w:color="auto" w:fill="D9E2F3"/>
          </w:tcPr>
          <w:p>
            <w:pPr>
              <w:spacing w:after="20" w:before="20"/>
            </w:pPr>
            <w:r>
              <w:rPr>
                <w:rFonts w:ascii="Calibri" w:hAnsi="Calibri" w:cs="Calibri"/>
                <w:b/>
                <w:sz w:val="20"/>
              </w:rPr>
              <w:t>Frequency</w:t>
            </w:r>
          </w:p>
        </w:tc>
        <w:tc>
          <w:tcPr>
            <w:tcW w:type="dxa" w:w="2448"/>
            <w:shd w:val="clear" w:color="auto" w:fill="D9E2F3"/>
          </w:tcPr>
          <w:p>
            <w:pPr>
              <w:spacing w:after="20" w:before="20"/>
            </w:pPr>
            <w:r>
              <w:rPr>
                <w:rFonts w:ascii="Calibri" w:hAnsi="Calibri" w:cs="Calibri"/>
                <w:b/>
                <w:sz w:val="20"/>
              </w:rPr>
              <w:t>Trigger for action</w:t>
            </w:r>
          </w:p>
        </w:tc>
        <w:tc>
          <w:tcPr>
            <w:tcW w:type="dxa" w:w="2448"/>
            <w:shd w:val="clear" w:color="auto" w:fill="D9E2F3"/>
          </w:tcPr>
          <w:p>
            <w:pPr>
              <w:spacing w:after="20" w:before="20"/>
            </w:pPr>
            <w:r>
              <w:rPr>
                <w:rFonts w:ascii="Calibri" w:hAnsi="Calibri" w:cs="Calibri"/>
                <w:b/>
                <w:sz w:val="20"/>
              </w:rPr>
              <w:t>Responsible service</w:t>
            </w:r>
          </w:p>
        </w:tc>
      </w:tr>
      <w:tr>
        <w:trPr>
          <w:cantSplit/>
        </w:trPr>
        <w:tc>
          <w:tcPr>
            <w:tcW w:type="dxa" w:w="2448"/>
          </w:tcPr>
          <w:p>
            <w:pPr>
              <w:spacing w:after="20" w:before="20"/>
            </w:pPr>
            <w:r>
              <w:rPr>
                <w:rFonts w:ascii="Calibri" w:hAnsi="Calibri" w:cs="Calibri"/>
                <w:b w:val="0"/>
                <w:sz w:val="20"/>
              </w:rPr>
              <w:t>INR in Platelet poor plasma or blood by Coagulation assay</w:t>
            </w:r>
          </w:p>
        </w:tc>
        <w:tc>
          <w:tcPr>
            <w:tcW w:type="dxa" w:w="2448"/>
          </w:tcPr>
          <w:p>
            <w:pPr>
              <w:spacing w:after="20" w:before="20"/>
            </w:pPr>
            <w:r>
              <w:rPr>
                <w:rFonts w:ascii="Calibri" w:hAnsi="Calibri" w:cs="Calibri"/>
                <w:b w:val="0"/>
                <w:sz w:val="20"/>
              </w:rPr>
              <w:t>within 7 days, then by the INR result</w:t>
            </w:r>
          </w:p>
        </w:tc>
        <w:tc>
          <w:tcPr>
            <w:tcW w:type="dxa" w:w="2448"/>
          </w:tcPr>
          <w:p>
            <w:pPr>
              <w:spacing w:after="20" w:before="20"/>
            </w:pPr>
            <w:r>
              <w:rPr>
                <w:rFonts w:ascii="Calibri" w:hAnsi="Calibri" w:cs="Calibri"/>
                <w:b w:val="0"/>
                <w:sz w:val="20"/>
              </w:rPr>
              <w:t>Repeat INR sooner if bleeding or a new interacting medicine occurs</w:t>
            </w:r>
          </w:p>
        </w:tc>
        <w:tc>
          <w:tcPr>
            <w:tcW w:type="dxa" w:w="2448"/>
          </w:tcPr>
          <w:p>
            <w:pPr>
              <w:spacing w:after="20" w:before="20"/>
            </w:pPr>
            <w:r>
              <w:rPr>
                <w:rFonts w:ascii="Calibri" w:hAnsi="Calibri" w:cs="Calibri"/>
                <w:b w:val="0"/>
                <w:sz w:val="20"/>
              </w:rPr>
              <w:t>laboratory monitoring</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Anticoagulation supply and INR follow-up</w:t>
            </w:r>
          </w:p>
        </w:tc>
        <w:tc>
          <w:tcPr>
            <w:tcW w:type="dxa" w:w="3264"/>
          </w:tcPr>
          <w:p>
            <w:pPr>
              <w:spacing w:after="20" w:before="20"/>
            </w:pPr>
            <w:r>
              <w:rPr>
                <w:rFonts w:ascii="Calibri" w:hAnsi="Calibri" w:cs="Calibri"/>
                <w:b w:val="0"/>
                <w:sz w:val="20"/>
              </w:rPr>
              <w:t>14 days</w:t>
            </w:r>
          </w:p>
        </w:tc>
        <w:tc>
          <w:tcPr>
            <w:tcW w:type="dxa" w:w="3264"/>
          </w:tcPr>
          <w:p>
            <w:pPr>
              <w:spacing w:after="20" w:before="20"/>
            </w:pPr>
            <w:r>
              <w:rPr>
                <w:rFonts w:ascii="Calibri" w:hAnsi="Calibri" w:cs="Calibri"/>
                <w:b w:val="0"/>
                <w:sz w:val="20"/>
              </w:rPr>
              <w:t>anticoagulation clinic</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Procedure</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Time</w:t>
            </w:r>
          </w:p>
        </w:tc>
        <w:tc>
          <w:tcPr>
            <w:tcW w:type="dxa" w:w="2448"/>
            <w:shd w:val="clear" w:color="auto" w:fill="D9E2F3"/>
          </w:tcPr>
          <w:p>
            <w:pPr>
              <w:spacing w:after="20" w:before="20"/>
            </w:pPr>
            <w:r>
              <w:rPr>
                <w:rFonts w:ascii="Calibri" w:hAnsi="Calibri" w:cs="Calibri"/>
                <w:b/>
                <w:sz w:val="20"/>
              </w:rPr>
              <w:t>Findings</w:t>
            </w:r>
          </w:p>
        </w:tc>
      </w:tr>
      <w:tr>
        <w:trPr>
          <w:cantSplit/>
        </w:trPr>
        <w:tc>
          <w:tcPr>
            <w:tcW w:type="dxa" w:w="2448"/>
          </w:tcPr>
          <w:p>
            <w:pPr>
              <w:spacing w:after="20" w:before="20"/>
            </w:pPr>
            <w:r>
              <w:rPr>
                <w:rFonts w:ascii="Calibri" w:hAnsi="Calibri" w:cs="Calibri"/>
                <w:b w:val="0"/>
                <w:sz w:val="20"/>
              </w:rPr>
              <w:t>Open reduction and internal fixation of femoral neck fracture</w:t>
            </w:r>
          </w:p>
        </w:tc>
        <w:tc>
          <w:tcPr>
            <w:tcW w:type="dxa" w:w="2448"/>
          </w:tcPr>
          <w:p>
            <w:pPr>
              <w:spacing w:after="20" w:before="20"/>
            </w:pPr>
            <w:r>
              <w:rPr>
                <w:rFonts w:ascii="Calibri" w:hAnsi="Calibri" w:cs="Calibri"/>
                <w:b w:val="0"/>
                <w:sz w:val="20"/>
              </w:rPr>
              <w:t>operative</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Fracture reduced and internally fixed.</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orthopedics</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Orthopedic postoperative recommendations were recorded.</w:t>
            </w:r>
          </w:p>
        </w:tc>
        <w:tc>
          <w:tcPr>
            <w:tcW w:type="dxa" w:w="2448"/>
          </w:tcPr>
          <w:p>
            <w:pPr>
              <w:spacing w:after="20" w:before="20"/>
            </w:pPr>
            <w:r>
              <w:rPr>
                <w:rFonts w:ascii="Calibri" w:hAnsi="Calibri" w:cs="Calibri"/>
                <w:b w:val="0"/>
                <w:sz w:val="20"/>
              </w:rPr>
              <w:t>Protective weight bearing and rehabilitation as documented.</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Nausea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10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10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102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Error-bearing</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Family 2</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Insufficient medication supply (f2_insufficient_supply)</w:t>
            </w:r>
          </w:p>
        </w:tc>
      </w:tr>
      <w:tr>
        <w:trPr>
          <w:cantSplit/>
        </w:trPr>
        <w:tc>
          <w:tcPr>
            <w:tcW w:type="dxa" w:w="3744"/>
          </w:tcPr>
          <w:p>
            <w:pPr>
              <w:spacing w:after="20" w:before="20"/>
            </w:pPr>
            <w:r>
              <w:rPr>
                <w:rFonts w:ascii="Calibri" w:hAnsi="Calibri" w:cs="Calibri"/>
                <w:b w:val="0"/>
                <w:sz w:val="20"/>
              </w:rPr>
              <w:t>Intended assessment target</w:t>
            </w:r>
          </w:p>
        </w:tc>
        <w:tc>
          <w:tcPr>
            <w:tcW w:type="dxa" w:w="6048"/>
          </w:tcPr>
          <w:p>
            <w:pPr>
              <w:spacing w:after="20" w:before="20"/>
            </w:pPr>
            <w:r>
              <w:rPr>
                <w:rFonts w:ascii="Calibri" w:hAnsi="Calibri" w:cs="Calibri"/>
                <w:b w:val="0"/>
                <w:sz w:val="20"/>
              </w:rPr>
              <w:t>The prescribed quantity or days' supply is insufficient to cover the patient until the planned follow-up.</w:t>
            </w:r>
          </w:p>
        </w:tc>
      </w:tr>
      <w:tr>
        <w:trPr>
          <w:cantSplit/>
        </w:trPr>
        <w:tc>
          <w:tcPr>
            <w:tcW w:type="dxa" w:w="3744"/>
          </w:tcPr>
          <w:p>
            <w:pPr>
              <w:spacing w:after="20" w:before="20"/>
            </w:pPr>
            <w:r>
              <w:rPr>
                <w:rFonts w:ascii="Calibri" w:hAnsi="Calibri" w:cs="Calibri"/>
                <w:b w:val="0"/>
                <w:sz w:val="20"/>
              </w:rPr>
              <w:t>Medication involved</w:t>
            </w:r>
          </w:p>
        </w:tc>
        <w:tc>
          <w:tcPr>
            <w:tcW w:type="dxa" w:w="6048"/>
          </w:tcPr>
          <w:p>
            <w:pPr>
              <w:spacing w:after="20" w:before="20"/>
            </w:pPr>
            <w:r>
              <w:rPr>
                <w:rFonts w:ascii="Calibri" w:hAnsi="Calibri" w:cs="Calibri"/>
                <w:b w:val="0"/>
                <w:sz w:val="20"/>
              </w:rPr>
              <w:t>warfarin sodium 5 MG Oral Tablet</w:t>
            </w:r>
          </w:p>
        </w:tc>
      </w:tr>
      <w:tr>
        <w:trPr>
          <w:cantSplit/>
        </w:trPr>
        <w:tc>
          <w:tcPr>
            <w:tcW w:type="dxa" w:w="3744"/>
          </w:tcPr>
          <w:p>
            <w:pPr>
              <w:spacing w:after="20" w:before="20"/>
            </w:pPr>
            <w:r>
              <w:rPr>
                <w:rFonts w:ascii="Calibri" w:hAnsi="Calibri" w:cs="Calibri"/>
                <w:b w:val="0"/>
                <w:sz w:val="20"/>
              </w:rPr>
              <w:t>Clean expected state</w:t>
            </w:r>
          </w:p>
        </w:tc>
        <w:tc>
          <w:tcPr>
            <w:tcW w:type="dxa" w:w="6048"/>
          </w:tcPr>
          <w:p>
            <w:pPr>
              <w:spacing w:after="20" w:before="20"/>
            </w:pPr>
            <w:r>
              <w:rPr>
                <w:rFonts w:ascii="Calibri" w:hAnsi="Calibri" w:cs="Calibri"/>
                <w:b w:val="0"/>
                <w:sz w:val="20"/>
              </w:rPr>
              <w:t>Changed field: quantity_or_days</w:t>
              <w:br/>
              <w:t>30 days</w:t>
            </w:r>
          </w:p>
        </w:tc>
      </w:tr>
      <w:tr>
        <w:trPr>
          <w:cantSplit/>
        </w:trPr>
        <w:tc>
          <w:tcPr>
            <w:tcW w:type="dxa" w:w="3744"/>
          </w:tcPr>
          <w:p>
            <w:pPr>
              <w:spacing w:after="20" w:before="20"/>
            </w:pPr>
            <w:r>
              <w:rPr>
                <w:rFonts w:ascii="Calibri" w:hAnsi="Calibri" w:cs="Calibri"/>
                <w:b w:val="0"/>
                <w:sz w:val="20"/>
              </w:rPr>
              <w:t>What appears in this case</w:t>
            </w:r>
          </w:p>
        </w:tc>
        <w:tc>
          <w:tcPr>
            <w:tcW w:type="dxa" w:w="6048"/>
          </w:tcPr>
          <w:p>
            <w:pPr>
              <w:spacing w:after="20" w:before="20"/>
            </w:pPr>
            <w:r>
              <w:rPr>
                <w:rFonts w:ascii="Calibri" w:hAnsi="Calibri" w:cs="Calibri"/>
                <w:b w:val="0"/>
                <w:sz w:val="20"/>
              </w:rPr>
              <w:t>7 days</w:t>
            </w:r>
          </w:p>
        </w:tc>
      </w:tr>
      <w:tr>
        <w:trPr>
          <w:cantSplit/>
        </w:trPr>
        <w:tc>
          <w:tcPr>
            <w:tcW w:type="dxa" w:w="3744"/>
          </w:tcPr>
          <w:p>
            <w:pPr>
              <w:spacing w:after="20" w:before="20"/>
            </w:pPr>
            <w:r>
              <w:rPr>
                <w:rFonts w:ascii="Calibri" w:hAnsi="Calibri" w:cs="Calibri"/>
                <w:b w:val="0"/>
                <w:sz w:val="20"/>
              </w:rPr>
              <w:t>Evidence available in the chart</w:t>
            </w:r>
          </w:p>
        </w:tc>
        <w:tc>
          <w:tcPr>
            <w:tcW w:type="dxa" w:w="6048"/>
          </w:tcPr>
          <w:p>
            <w:pPr>
              <w:spacing w:after="20" w:before="20"/>
            </w:pPr>
            <w:r>
              <w:rPr>
                <w:rFonts w:ascii="Calibri" w:hAnsi="Calibri" w:cs="Calibri"/>
                <w:b w:val="0"/>
                <w:sz w:val="20"/>
              </w:rPr>
              <w:t>Days' supply must cover the scheduled follow-up or treatment endpoint.</w:t>
              <w:br/>
              <w:t>Evidence location: Follow-up appointments, discharge medications.quantity or days</w:t>
              <w:br/>
              <w:t>Detectability location: discharge medications.quantity or days</w:t>
            </w:r>
          </w:p>
        </w:tc>
      </w:tr>
      <w:tr>
        <w:trPr>
          <w:cantSplit/>
        </w:trPr>
        <w:tc>
          <w:tcPr>
            <w:tcW w:type="dxa" w:w="3744"/>
          </w:tcPr>
          <w:p>
            <w:pPr>
              <w:spacing w:after="20" w:before="20"/>
            </w:pPr>
            <w:r>
              <w:rPr>
                <w:rFonts w:ascii="Calibri" w:hAnsi="Calibri" w:cs="Calibri"/>
                <w:b w:val="0"/>
                <w:sz w:val="20"/>
              </w:rPr>
              <w:t>Expected clinical action</w:t>
            </w:r>
          </w:p>
        </w:tc>
        <w:tc>
          <w:tcPr>
            <w:tcW w:type="dxa" w:w="6048"/>
          </w:tcPr>
          <w:p>
            <w:pPr>
              <w:spacing w:after="20" w:before="20"/>
            </w:pPr>
            <w:r>
              <w:rPr>
                <w:rFonts w:ascii="Calibri" w:hAnsi="Calibri" w:cs="Calibri"/>
                <w:b w:val="0"/>
                <w:sz w:val="20"/>
              </w:rPr>
              <w:t>Increase days' supply so treatment continues through the planned follow-up.</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the clinical case actually contain the intended medication-reconciliation or transition-of-care problem described above, and does it match the intended category?</w:t>
      </w:r>
    </w:p>
    <w:p>
      <w:pPr>
        <w:keepLines/>
        <w:spacing w:before="80" w:after="160"/>
      </w:pPr>
      <w:sdt>
        <w:sdtPr>
          <w:rPr>
            <w:rFonts w:ascii="MS Gothic" w:hAnsi="MS Gothic" w:cs="MS Gothic" w:eastAsia="MS Gothic" w:hint="eastAsia"/>
            <w:sz w:val="28"/>
            <w:szCs w:val="28"/>
          </w:rPr>
          <w:alias w:val="C2 result"/>
          <w:tag w:val="c2-result"/>
          <w:id w:val="10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10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103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Could an internal-medicine resident identify and resolve the intended problem using only the clinical information provided in the patient-facing case?</w:t>
      </w:r>
    </w:p>
    <w:p>
      <w:pPr>
        <w:spacing w:after="120"/>
      </w:pPr>
      <w:r>
        <w:rPr>
          <w:rFonts w:ascii="Calibri" w:hAnsi="Calibri" w:cs="Calibri"/>
          <w:b w:val="0"/>
          <w:sz w:val="22"/>
        </w:rPr>
        <w:t>Consider whether the necessary evidence is present, whether key information is missing, whether the target is ambiguous, whether wording gives away the answer, and whether the expected clinical action can reasonably be determined.</w:t>
      </w:r>
    </w:p>
    <w:p>
      <w:pPr>
        <w:keepLines/>
        <w:spacing w:before="80" w:after="160"/>
      </w:pPr>
      <w:sdt>
        <w:sdtPr>
          <w:rPr>
            <w:rFonts w:ascii="MS Gothic" w:hAnsi="MS Gothic" w:cs="MS Gothic" w:eastAsia="MS Gothic" w:hint="eastAsia"/>
            <w:sz w:val="28"/>
            <w:szCs w:val="28"/>
          </w:rPr>
          <w:alias w:val="C3 result"/>
          <w:tag w:val="c3-result"/>
          <w:id w:val="10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10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103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Apart from the intended assessment problem, does the case contain another clinically meaningful medication-reconciliation or transition-of-care problem that a reasonable resident could interpret as an alternative target?</w:t>
      </w:r>
    </w:p>
    <w:p>
      <w:pPr>
        <w:keepLines/>
        <w:spacing w:before="80" w:after="160"/>
      </w:pPr>
      <w:sdt>
        <w:sdtPr>
          <w:rPr>
            <w:rFonts w:ascii="MS Gothic" w:hAnsi="MS Gothic" w:cs="MS Gothic" w:eastAsia="MS Gothic" w:hint="eastAsia"/>
            <w:sz w:val="28"/>
            <w:szCs w:val="28"/>
          </w:rPr>
          <w:alias w:val="C4 result"/>
          <w:tag w:val="c4-result"/>
          <w:id w:val="10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10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103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10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0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0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0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104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10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0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0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104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104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104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28"/>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VAL-820</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82</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98.000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orthopedics</w:t>
      </w:r>
    </w:p>
    <w:p>
      <w:pPr>
        <w:pStyle w:val="ListBullet"/>
        <w:spacing w:after="40" w:before="0"/>
      </w:pPr>
      <w:r>
        <w:rPr>
          <w:rFonts w:ascii="Calibri" w:hAnsi="Calibri" w:cs="Calibri"/>
          <w:b/>
          <w:sz w:val="22"/>
        </w:rPr>
        <w:t xml:space="preserve">Admission diagnosis: </w:t>
      </w:r>
      <w:r>
        <w:rPr>
          <w:rFonts w:ascii="Calibri" w:hAnsi="Calibri" w:cs="Calibri"/>
          <w:b w:val="0"/>
          <w:sz w:val="22"/>
        </w:rPr>
        <w:t>Fracture of unspecified part of neck of right femur, initial encounter for closed fracture</w:t>
      </w:r>
    </w:p>
    <w:p>
      <w:pPr>
        <w:pStyle w:val="ListBullet"/>
        <w:spacing w:after="40" w:before="0"/>
      </w:pPr>
      <w:r>
        <w:rPr>
          <w:rFonts w:ascii="Calibri" w:hAnsi="Calibri" w:cs="Calibri"/>
          <w:b/>
          <w:sz w:val="22"/>
        </w:rPr>
        <w:t xml:space="preserve">Disposition: </w:t>
      </w:r>
      <w:r>
        <w:rPr>
          <w:rFonts w:ascii="Calibri" w:hAnsi="Calibri" w:cs="Calibri"/>
          <w:b w:val="0"/>
          <w:sz w:val="22"/>
        </w:rPr>
        <w:t>rehab</w:t>
      </w:r>
    </w:p>
    <w:p>
      <w:pPr>
        <w:pStyle w:val="ListBullet"/>
        <w:spacing w:after="40" w:before="0"/>
      </w:pPr>
      <w:r>
        <w:rPr>
          <w:rFonts w:ascii="Calibri" w:hAnsi="Calibri" w:cs="Calibri"/>
          <w:b/>
          <w:sz w:val="22"/>
        </w:rPr>
        <w:t xml:space="preserve">One-liner: </w:t>
      </w:r>
      <w:r>
        <w:rPr>
          <w:rFonts w:ascii="Calibri" w:hAnsi="Calibri" w:cs="Calibri"/>
          <w:b w:val="0"/>
          <w:sz w:val="22"/>
        </w:rPr>
        <w:t>82-year-old Female with Fracture of unspecified part of neck of right femur, initial encounter for closed fracture</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Fatigue, Nausea in the setting of Fracture of unspecified part of neck of right femur, initial encounter for closed fracture</w:t>
      </w:r>
    </w:p>
    <w:p>
      <w:pPr>
        <w:pStyle w:val="ListBullet"/>
        <w:spacing w:after="40" w:before="0"/>
      </w:pPr>
      <w:r>
        <w:rPr>
          <w:rFonts w:ascii="Calibri" w:hAnsi="Calibri" w:cs="Calibri"/>
          <w:b/>
          <w:sz w:val="22"/>
        </w:rPr>
        <w:t xml:space="preserve">Symptoms: </w:t>
      </w:r>
      <w:r>
        <w:rPr>
          <w:rFonts w:ascii="Calibri" w:hAnsi="Calibri" w:cs="Calibri"/>
          <w:b w:val="0"/>
          <w:sz w:val="22"/>
        </w:rPr>
        <w:t>Fatigue, Nausea</w:t>
      </w:r>
    </w:p>
    <w:p>
      <w:pPr>
        <w:pStyle w:val="ListBullet"/>
        <w:spacing w:after="40" w:before="0"/>
      </w:pPr>
      <w:r>
        <w:rPr>
          <w:rFonts w:ascii="Calibri" w:hAnsi="Calibri" w:cs="Calibri"/>
          <w:b/>
          <w:sz w:val="22"/>
        </w:rPr>
        <w:t xml:space="preserve">Symptom duration: </w:t>
      </w:r>
      <w:r>
        <w:rPr>
          <w:rFonts w:ascii="Calibri" w:hAnsi="Calibri" w:cs="Calibri"/>
          <w:b w:val="0"/>
          <w:sz w:val="22"/>
        </w:rPr>
        <w:t>one week</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 82-year-old Female is admitted with Fracture of unspecified part of neck of right femur, initial encounter for closed fracture. Presenting symptoms include Fatigue, Nausea, present for one week and improving after treatment. Home medications include lisinopril 10 MG Oral Tablet, warfarin sodium 5 MG Oral Tablet, metformin hydrochloride 500 MG Oral Tablet. Started during the hospitalization: 0.4 ML enoxaparin sodium 100 MG/ML Prefilled Syringe. Admitted after hip-fracture surgery with inpatient bridging anticoagulation only. Enoxaparin was used for inpatient venous-thromboembolism prophylaxis. Postoperative hemoglobin was observed without transfusion. Rehabilitation and anticoagulation follow-up were planned.</w:t>
      </w:r>
    </w:p>
    <w:p>
      <w:pPr>
        <w:pStyle w:val="Heading3"/>
      </w:pPr>
      <w:r>
        <w:rPr>
          <w:rFonts w:ascii="Calibri" w:hAnsi="Calibri"/>
          <w:color w:val="1F3A5F"/>
        </w:rPr>
        <w:t>Admission note</w:t>
      </w:r>
    </w:p>
    <w:p>
      <w:pPr>
        <w:spacing w:after="120"/>
      </w:pPr>
      <w:r>
        <w:rPr>
          <w:rFonts w:ascii="Calibri" w:hAnsi="Calibri" w:cs="Calibri"/>
          <w:b w:val="0"/>
          <w:sz w:val="22"/>
        </w:rPr>
        <w:t>Admission note for a 82-year-old Female with Fracture of unspecified part of neck of right femur, initial encounter for closed fracture. Symptoms: Fatigue, Nausea for one week (improving after treatment). Medications continued from home: lisinopril 10 MG Oral Tablet, warfarin sodium 5 MG Oral Tablet, metformin hydrochloride 500 MG Oral Tablet. Started during the hospitalization: 0.4 ML enoxaparin sodium 100 MG/ML Prefilled Syringe. Admitted after hip-fracture surgery with inpatient bridging anticoagulation only. Enoxaparin was used for inpatient venous-thromboembolism prophylaxis. Postoperative hemoglobin was observed without transfusion. Rehabilitation and anticoagulation follow-up were planned.</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Paroxysmal atrial fibrillation, Essential (primary) hypertension, Type 2 diabetes mellitus without complications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Fracture of unspecified part of neck of right femur, initial encounter for closed fracture</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Fracture of unspecified part of neck of right femur, initial encounter for closed fracture</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Postoperative hemoglobin was observed without transfusion. Rehabilitation and anticoagulation follow-up were planned.</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rehab</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138/72</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83</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18</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94.00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124.0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INR in Platelet poor plasma or blood by Coagulation assay</w:t>
            </w:r>
          </w:p>
        </w:tc>
        <w:tc>
          <w:tcPr>
            <w:tcW w:type="dxa" w:w="1872"/>
          </w:tcPr>
          <w:p>
            <w:pPr>
              <w:spacing w:after="20" w:before="20"/>
            </w:pPr>
            <w:r>
              <w:rPr>
                <w:rFonts w:ascii="Calibri" w:hAnsi="Calibri" w:cs="Calibri"/>
                <w:b w:val="0"/>
                <w:sz w:val="20"/>
              </w:rPr>
              <w:t>3.2</w:t>
            </w:r>
          </w:p>
        </w:tc>
        <w:tc>
          <w:tcPr>
            <w:tcW w:type="dxa" w:w="2160"/>
          </w:tcPr>
          <w:p>
            <w:pPr>
              <w:spacing w:after="20" w:before="20"/>
            </w:pPr>
            <w:r>
              <w:rPr>
                <w:rFonts w:ascii="Calibri" w:hAnsi="Calibri" w:cs="Calibri"/>
                <w:b w:val="0"/>
                <w:sz w:val="20"/>
              </w:rPr>
              <w:t>{INR}</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8.3</w:t>
            </w:r>
          </w:p>
        </w:tc>
        <w:tc>
          <w:tcPr>
            <w:tcW w:type="dxa" w:w="2160"/>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98.000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114/77</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74</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119.0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INR in Platelet poor plasma or blood by Coagulation assay</w:t>
            </w:r>
          </w:p>
        </w:tc>
        <w:tc>
          <w:tcPr>
            <w:tcW w:type="dxa" w:w="1872"/>
          </w:tcPr>
          <w:p>
            <w:pPr>
              <w:spacing w:after="20" w:before="20"/>
            </w:pPr>
            <w:r>
              <w:rPr>
                <w:rFonts w:ascii="Calibri" w:hAnsi="Calibri" w:cs="Calibri"/>
                <w:b w:val="0"/>
                <w:sz w:val="20"/>
              </w:rPr>
              <w:t>2.0</w:t>
            </w:r>
          </w:p>
        </w:tc>
        <w:tc>
          <w:tcPr>
            <w:tcW w:type="dxa" w:w="2160"/>
          </w:tcPr>
          <w:p>
            <w:pPr>
              <w:spacing w:after="20" w:before="20"/>
            </w:pPr>
            <w:r>
              <w:rPr>
                <w:rFonts w:ascii="Calibri" w:hAnsi="Calibri" w:cs="Calibri"/>
                <w:b w:val="0"/>
                <w:sz w:val="20"/>
              </w:rPr>
              <w:t>{INR}</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11.1</w:t>
            </w:r>
          </w:p>
        </w:tc>
        <w:tc>
          <w:tcPr>
            <w:tcW w:type="dxa" w:w="2160"/>
          </w:tcPr>
          <w:p>
            <w:pPr>
              <w:spacing w:after="20" w:before="20"/>
            </w:pPr>
            <w:r>
              <w:rPr>
                <w:rFonts w:ascii="Calibri" w:hAnsi="Calibri" w:cs="Calibri"/>
                <w:b w:val="0"/>
                <w:sz w:val="20"/>
              </w:rPr>
              <w:t>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r>
        <w:trPr>
          <w:cantSplit/>
        </w:trPr>
        <w:tc>
          <w:tcPr>
            <w:tcW w:type="dxa" w:w="3384"/>
          </w:tcPr>
          <w:p>
            <w:pPr>
              <w:spacing w:after="20" w:before="20"/>
            </w:pPr>
            <w:r>
              <w:rPr>
                <w:rFonts w:ascii="Calibri" w:hAnsi="Calibri" w:cs="Calibri"/>
                <w:b w:val="0"/>
                <w:sz w:val="20"/>
              </w:rPr>
              <w:t>warfarin sodium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0.4 ML enoxaparin sodium 100 MG/ML Prefilled Syringe</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subcutaneous</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 Note: Enoxaparin was used for inpatient venous-thromboembolism prophylaxis.</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r>
        <w:trPr>
          <w:cantSplit/>
        </w:trPr>
        <w:tc>
          <w:tcPr>
            <w:tcW w:type="dxa" w:w="3384"/>
          </w:tcPr>
          <w:p>
            <w:pPr>
              <w:spacing w:after="20" w:before="20"/>
            </w:pPr>
            <w:r>
              <w:rPr>
                <w:rFonts w:ascii="Calibri" w:hAnsi="Calibri" w:cs="Calibri"/>
                <w:b w:val="0"/>
                <w:sz w:val="20"/>
              </w:rPr>
              <w:t>warfarin sodium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0.4 ML enoxaparin sodium 100 MG/ML Prefilled Syringe</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subcutaneous</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 Note: Enoxaparin was used for inpatient venous-thromboembolism prophylaxis.</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r>
        <w:trPr>
          <w:cantSplit/>
        </w:trPr>
        <w:tc>
          <w:tcPr>
            <w:tcW w:type="dxa" w:w="3384"/>
          </w:tcPr>
          <w:p>
            <w:pPr>
              <w:spacing w:after="20" w:before="20"/>
            </w:pPr>
            <w:r>
              <w:rPr>
                <w:rFonts w:ascii="Calibri" w:hAnsi="Calibri" w:cs="Calibri"/>
                <w:b w:val="0"/>
                <w:sz w:val="20"/>
              </w:rPr>
              <w:t>warfarin sodium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 Monitoring: INR check</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Parameter</w:t>
            </w:r>
          </w:p>
        </w:tc>
        <w:tc>
          <w:tcPr>
            <w:tcW w:type="dxa" w:w="2448"/>
            <w:shd w:val="clear" w:color="auto" w:fill="D9E2F3"/>
          </w:tcPr>
          <w:p>
            <w:pPr>
              <w:spacing w:after="20" w:before="20"/>
            </w:pPr>
            <w:r>
              <w:rPr>
                <w:rFonts w:ascii="Calibri" w:hAnsi="Calibri" w:cs="Calibri"/>
                <w:b/>
                <w:sz w:val="20"/>
              </w:rPr>
              <w:t>Frequency</w:t>
            </w:r>
          </w:p>
        </w:tc>
        <w:tc>
          <w:tcPr>
            <w:tcW w:type="dxa" w:w="2448"/>
            <w:shd w:val="clear" w:color="auto" w:fill="D9E2F3"/>
          </w:tcPr>
          <w:p>
            <w:pPr>
              <w:spacing w:after="20" w:before="20"/>
            </w:pPr>
            <w:r>
              <w:rPr>
                <w:rFonts w:ascii="Calibri" w:hAnsi="Calibri" w:cs="Calibri"/>
                <w:b/>
                <w:sz w:val="20"/>
              </w:rPr>
              <w:t>Trigger for action</w:t>
            </w:r>
          </w:p>
        </w:tc>
        <w:tc>
          <w:tcPr>
            <w:tcW w:type="dxa" w:w="2448"/>
            <w:shd w:val="clear" w:color="auto" w:fill="D9E2F3"/>
          </w:tcPr>
          <w:p>
            <w:pPr>
              <w:spacing w:after="20" w:before="20"/>
            </w:pPr>
            <w:r>
              <w:rPr>
                <w:rFonts w:ascii="Calibri" w:hAnsi="Calibri" w:cs="Calibri"/>
                <w:b/>
                <w:sz w:val="20"/>
              </w:rPr>
              <w:t>Responsible service</w:t>
            </w:r>
          </w:p>
        </w:tc>
      </w:tr>
      <w:tr>
        <w:trPr>
          <w:cantSplit/>
        </w:trPr>
        <w:tc>
          <w:tcPr>
            <w:tcW w:type="dxa" w:w="2448"/>
          </w:tcPr>
          <w:p>
            <w:pPr>
              <w:spacing w:after="20" w:before="20"/>
            </w:pPr>
            <w:r>
              <w:rPr>
                <w:rFonts w:ascii="Calibri" w:hAnsi="Calibri" w:cs="Calibri"/>
                <w:b w:val="0"/>
                <w:sz w:val="20"/>
              </w:rPr>
              <w:t>INR in Platelet poor plasma or blood by Coagulation assay</w:t>
            </w:r>
          </w:p>
        </w:tc>
        <w:tc>
          <w:tcPr>
            <w:tcW w:type="dxa" w:w="2448"/>
          </w:tcPr>
          <w:p>
            <w:pPr>
              <w:spacing w:after="20" w:before="20"/>
            </w:pPr>
            <w:r>
              <w:rPr>
                <w:rFonts w:ascii="Calibri" w:hAnsi="Calibri" w:cs="Calibri"/>
                <w:b w:val="0"/>
                <w:sz w:val="20"/>
              </w:rPr>
              <w:t>within 7 days, then by the INR result</w:t>
            </w:r>
          </w:p>
        </w:tc>
        <w:tc>
          <w:tcPr>
            <w:tcW w:type="dxa" w:w="2448"/>
          </w:tcPr>
          <w:p>
            <w:pPr>
              <w:spacing w:after="20" w:before="20"/>
            </w:pPr>
            <w:r>
              <w:rPr>
                <w:rFonts w:ascii="Calibri" w:hAnsi="Calibri" w:cs="Calibri"/>
                <w:b w:val="0"/>
                <w:sz w:val="20"/>
              </w:rPr>
              <w:t>Repeat INR sooner if bleeding or a new interacting medicine occurs</w:t>
            </w:r>
          </w:p>
        </w:tc>
        <w:tc>
          <w:tcPr>
            <w:tcW w:type="dxa" w:w="2448"/>
          </w:tcPr>
          <w:p>
            <w:pPr>
              <w:spacing w:after="20" w:before="20"/>
            </w:pPr>
            <w:r>
              <w:rPr>
                <w:rFonts w:ascii="Calibri" w:hAnsi="Calibri" w:cs="Calibri"/>
                <w:b w:val="0"/>
                <w:sz w:val="20"/>
              </w:rPr>
              <w:t>laboratory monitoring</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Orthopedic rehabilitation follow-up</w:t>
            </w:r>
          </w:p>
        </w:tc>
        <w:tc>
          <w:tcPr>
            <w:tcW w:type="dxa" w:w="3264"/>
          </w:tcPr>
          <w:p>
            <w:pPr>
              <w:spacing w:after="20" w:before="20"/>
            </w:pPr>
            <w:r>
              <w:rPr>
                <w:rFonts w:ascii="Calibri" w:hAnsi="Calibri" w:cs="Calibri"/>
                <w:b w:val="0"/>
                <w:sz w:val="20"/>
              </w:rPr>
              <w:t>10 days</w:t>
            </w:r>
          </w:p>
        </w:tc>
        <w:tc>
          <w:tcPr>
            <w:tcW w:type="dxa" w:w="3264"/>
          </w:tcPr>
          <w:p>
            <w:pPr>
              <w:spacing w:after="20" w:before="20"/>
            </w:pPr>
            <w:r>
              <w:rPr>
                <w:rFonts w:ascii="Calibri" w:hAnsi="Calibri" w:cs="Calibri"/>
                <w:b w:val="0"/>
                <w:sz w:val="20"/>
              </w:rPr>
              <w:t>orthopedics</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Procedure</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Time</w:t>
            </w:r>
          </w:p>
        </w:tc>
        <w:tc>
          <w:tcPr>
            <w:tcW w:type="dxa" w:w="2448"/>
            <w:shd w:val="clear" w:color="auto" w:fill="D9E2F3"/>
          </w:tcPr>
          <w:p>
            <w:pPr>
              <w:spacing w:after="20" w:before="20"/>
            </w:pPr>
            <w:r>
              <w:rPr>
                <w:rFonts w:ascii="Calibri" w:hAnsi="Calibri" w:cs="Calibri"/>
                <w:b/>
                <w:sz w:val="20"/>
              </w:rPr>
              <w:t>Findings</w:t>
            </w:r>
          </w:p>
        </w:tc>
      </w:tr>
      <w:tr>
        <w:trPr>
          <w:cantSplit/>
        </w:trPr>
        <w:tc>
          <w:tcPr>
            <w:tcW w:type="dxa" w:w="2448"/>
          </w:tcPr>
          <w:p>
            <w:pPr>
              <w:spacing w:after="20" w:before="20"/>
            </w:pPr>
            <w:r>
              <w:rPr>
                <w:rFonts w:ascii="Calibri" w:hAnsi="Calibri" w:cs="Calibri"/>
                <w:b w:val="0"/>
                <w:sz w:val="20"/>
              </w:rPr>
              <w:t>Open reduction and internal fixation of femoral neck fracture</w:t>
            </w:r>
          </w:p>
        </w:tc>
        <w:tc>
          <w:tcPr>
            <w:tcW w:type="dxa" w:w="2448"/>
          </w:tcPr>
          <w:p>
            <w:pPr>
              <w:spacing w:after="20" w:before="20"/>
            </w:pPr>
            <w:r>
              <w:rPr>
                <w:rFonts w:ascii="Calibri" w:hAnsi="Calibri" w:cs="Calibri"/>
                <w:b w:val="0"/>
                <w:sz w:val="20"/>
              </w:rPr>
              <w:t>operative</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Fracture reduced and internally fixed.</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orthopedics</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Orthopedic postoperative recommendations were recorded.</w:t>
            </w:r>
          </w:p>
        </w:tc>
        <w:tc>
          <w:tcPr>
            <w:tcW w:type="dxa" w:w="2448"/>
          </w:tcPr>
          <w:p>
            <w:pPr>
              <w:spacing w:after="20" w:before="20"/>
            </w:pPr>
            <w:r>
              <w:rPr>
                <w:rFonts w:ascii="Calibri" w:hAnsi="Calibri" w:cs="Calibri"/>
                <w:b w:val="0"/>
                <w:sz w:val="20"/>
              </w:rPr>
              <w:t>Protective weight bearing and rehabilitation as documented.</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Fatigue</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10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10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108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Error-bearing</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Family 2</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Hospital-only medication continued after discharge (f2_hospital_only_continued)</w:t>
            </w:r>
          </w:p>
        </w:tc>
      </w:tr>
      <w:tr>
        <w:trPr>
          <w:cantSplit/>
        </w:trPr>
        <w:tc>
          <w:tcPr>
            <w:tcW w:type="dxa" w:w="3744"/>
          </w:tcPr>
          <w:p>
            <w:pPr>
              <w:spacing w:after="20" w:before="20"/>
            </w:pPr>
            <w:r>
              <w:rPr>
                <w:rFonts w:ascii="Calibri" w:hAnsi="Calibri" w:cs="Calibri"/>
                <w:b w:val="0"/>
                <w:sz w:val="20"/>
              </w:rPr>
              <w:t>Intended assessment target</w:t>
            </w:r>
          </w:p>
        </w:tc>
        <w:tc>
          <w:tcPr>
            <w:tcW w:type="dxa" w:w="6048"/>
          </w:tcPr>
          <w:p>
            <w:pPr>
              <w:spacing w:after="20" w:before="20"/>
            </w:pPr>
            <w:r>
              <w:rPr>
                <w:rFonts w:ascii="Calibri" w:hAnsi="Calibri" w:cs="Calibri"/>
                <w:b w:val="0"/>
                <w:sz w:val="20"/>
              </w:rPr>
              <w:t>A medication started for an inpatient-only indication was erroneously continued at discharge despite no ongoing outpatient indication.</w:t>
            </w:r>
          </w:p>
        </w:tc>
      </w:tr>
      <w:tr>
        <w:trPr>
          <w:cantSplit/>
        </w:trPr>
        <w:tc>
          <w:tcPr>
            <w:tcW w:type="dxa" w:w="3744"/>
          </w:tcPr>
          <w:p>
            <w:pPr>
              <w:spacing w:after="20" w:before="20"/>
            </w:pPr>
            <w:r>
              <w:rPr>
                <w:rFonts w:ascii="Calibri" w:hAnsi="Calibri" w:cs="Calibri"/>
                <w:b w:val="0"/>
                <w:sz w:val="20"/>
              </w:rPr>
              <w:t>Medication involved</w:t>
            </w:r>
          </w:p>
        </w:tc>
        <w:tc>
          <w:tcPr>
            <w:tcW w:type="dxa" w:w="6048"/>
          </w:tcPr>
          <w:p>
            <w:pPr>
              <w:spacing w:after="20" w:before="20"/>
            </w:pPr>
            <w:r>
              <w:rPr>
                <w:rFonts w:ascii="Calibri" w:hAnsi="Calibri" w:cs="Calibri"/>
                <w:b w:val="0"/>
                <w:sz w:val="20"/>
              </w:rPr>
              <w:t>0.4 ML enoxaparin sodium 100 MG/ML Prefilled Syringe</w:t>
            </w:r>
          </w:p>
        </w:tc>
      </w:tr>
      <w:tr>
        <w:trPr>
          <w:cantSplit/>
        </w:trPr>
        <w:tc>
          <w:tcPr>
            <w:tcW w:type="dxa" w:w="3744"/>
          </w:tcPr>
          <w:p>
            <w:pPr>
              <w:spacing w:after="20" w:before="20"/>
            </w:pPr>
            <w:r>
              <w:rPr>
                <w:rFonts w:ascii="Calibri" w:hAnsi="Calibri" w:cs="Calibri"/>
                <w:b w:val="0"/>
                <w:sz w:val="20"/>
              </w:rPr>
              <w:t>Clean expected state</w:t>
            </w:r>
          </w:p>
        </w:tc>
        <w:tc>
          <w:tcPr>
            <w:tcW w:type="dxa" w:w="6048"/>
          </w:tcPr>
          <w:p>
            <w:pPr>
              <w:spacing w:after="20" w:before="20"/>
            </w:pPr>
            <w:r>
              <w:rPr>
                <w:rFonts w:ascii="Calibri" w:hAnsi="Calibri" w:cs="Calibri"/>
                <w:b w:val="0"/>
                <w:sz w:val="20"/>
              </w:rPr>
              <w:t>Changed field: presence</w:t>
              <w:br/>
              <w:t>absent</w:t>
            </w:r>
          </w:p>
        </w:tc>
      </w:tr>
      <w:tr>
        <w:trPr>
          <w:cantSplit/>
        </w:trPr>
        <w:tc>
          <w:tcPr>
            <w:tcW w:type="dxa" w:w="3744"/>
          </w:tcPr>
          <w:p>
            <w:pPr>
              <w:spacing w:after="20" w:before="20"/>
            </w:pPr>
            <w:r>
              <w:rPr>
                <w:rFonts w:ascii="Calibri" w:hAnsi="Calibri" w:cs="Calibri"/>
                <w:b w:val="0"/>
                <w:sz w:val="20"/>
              </w:rPr>
              <w:t>What appears in this case</w:t>
            </w:r>
          </w:p>
        </w:tc>
        <w:tc>
          <w:tcPr>
            <w:tcW w:type="dxa" w:w="6048"/>
          </w:tcPr>
          <w:p>
            <w:pPr>
              <w:spacing w:after="20" w:before="20"/>
            </w:pPr>
            <w:r>
              <w:rPr>
                <w:rFonts w:ascii="Calibri" w:hAnsi="Calibri" w:cs="Calibri"/>
                <w:b w:val="0"/>
                <w:sz w:val="20"/>
              </w:rPr>
              <w:t>present</w:t>
            </w:r>
          </w:p>
        </w:tc>
      </w:tr>
      <w:tr>
        <w:trPr>
          <w:cantSplit/>
        </w:trPr>
        <w:tc>
          <w:tcPr>
            <w:tcW w:type="dxa" w:w="3744"/>
          </w:tcPr>
          <w:p>
            <w:pPr>
              <w:spacing w:after="20" w:before="20"/>
            </w:pPr>
            <w:r>
              <w:rPr>
                <w:rFonts w:ascii="Calibri" w:hAnsi="Calibri" w:cs="Calibri"/>
                <w:b w:val="0"/>
                <w:sz w:val="20"/>
              </w:rPr>
              <w:t>Evidence available in the chart</w:t>
            </w:r>
          </w:p>
        </w:tc>
        <w:tc>
          <w:tcPr>
            <w:tcW w:type="dxa" w:w="6048"/>
          </w:tcPr>
          <w:p>
            <w:pPr>
              <w:spacing w:after="20" w:before="20"/>
            </w:pPr>
            <w:r>
              <w:rPr>
                <w:rFonts w:ascii="Calibri" w:hAnsi="Calibri" w:cs="Calibri"/>
                <w:b w:val="0"/>
                <w:sz w:val="20"/>
              </w:rPr>
              <w:t>Medication was started in hospital for an inpatient-only indication and should stop.</w:t>
              <w:br/>
              <w:t>Evidence location: Home medications, Medications during hospitalization, Discharge medications, Medication plan / decision reason</w:t>
              <w:br/>
              <w:t>Detectability location: Discharge medications</w:t>
            </w:r>
          </w:p>
        </w:tc>
      </w:tr>
      <w:tr>
        <w:trPr>
          <w:cantSplit/>
        </w:trPr>
        <w:tc>
          <w:tcPr>
            <w:tcW w:type="dxa" w:w="3744"/>
          </w:tcPr>
          <w:p>
            <w:pPr>
              <w:spacing w:after="20" w:before="20"/>
            </w:pPr>
            <w:r>
              <w:rPr>
                <w:rFonts w:ascii="Calibri" w:hAnsi="Calibri" w:cs="Calibri"/>
                <w:b w:val="0"/>
                <w:sz w:val="20"/>
              </w:rPr>
              <w:t>Expected clinical action</w:t>
            </w:r>
          </w:p>
        </w:tc>
        <w:tc>
          <w:tcPr>
            <w:tcW w:type="dxa" w:w="6048"/>
          </w:tcPr>
          <w:p>
            <w:pPr>
              <w:spacing w:after="20" w:before="20"/>
            </w:pPr>
            <w:r>
              <w:rPr>
                <w:rFonts w:ascii="Calibri" w:hAnsi="Calibri" w:cs="Calibri"/>
                <w:b w:val="0"/>
                <w:sz w:val="20"/>
              </w:rPr>
              <w:t>Stop the hospital-only medication at discharge.</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the clinical case actually contain the intended medication-reconciliation or transition-of-care problem described above, and does it match the intended category?</w:t>
      </w:r>
    </w:p>
    <w:p>
      <w:pPr>
        <w:keepLines/>
        <w:spacing w:before="80" w:after="160"/>
      </w:pPr>
      <w:sdt>
        <w:sdtPr>
          <w:rPr>
            <w:rFonts w:ascii="MS Gothic" w:hAnsi="MS Gothic" w:cs="MS Gothic" w:eastAsia="MS Gothic" w:hint="eastAsia"/>
            <w:sz w:val="28"/>
            <w:szCs w:val="28"/>
          </w:rPr>
          <w:alias w:val="C2 result"/>
          <w:tag w:val="c2-result"/>
          <w:id w:val="10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10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108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Could an internal-medicine resident identify and resolve the intended problem using only the clinical information provided in the patient-facing case?</w:t>
      </w:r>
    </w:p>
    <w:p>
      <w:pPr>
        <w:spacing w:after="120"/>
      </w:pPr>
      <w:r>
        <w:rPr>
          <w:rFonts w:ascii="Calibri" w:hAnsi="Calibri" w:cs="Calibri"/>
          <w:b w:val="0"/>
          <w:sz w:val="22"/>
        </w:rPr>
        <w:t>Consider whether the necessary evidence is present, whether key information is missing, whether the target is ambiguous, whether wording gives away the answer, and whether the expected clinical action can reasonably be determined.</w:t>
      </w:r>
    </w:p>
    <w:p>
      <w:pPr>
        <w:keepLines/>
        <w:spacing w:before="80" w:after="160"/>
      </w:pPr>
      <w:sdt>
        <w:sdtPr>
          <w:rPr>
            <w:rFonts w:ascii="MS Gothic" w:hAnsi="MS Gothic" w:cs="MS Gothic" w:eastAsia="MS Gothic" w:hint="eastAsia"/>
            <w:sz w:val="28"/>
            <w:szCs w:val="28"/>
          </w:rPr>
          <w:alias w:val="C3 result"/>
          <w:tag w:val="c3-result"/>
          <w:id w:val="10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10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108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Apart from the intended assessment problem, does the case contain another clinically meaningful medication-reconciliation or transition-of-care problem that a reasonable resident could interpret as an alternative target?</w:t>
      </w:r>
    </w:p>
    <w:p>
      <w:pPr>
        <w:keepLines/>
        <w:spacing w:before="80" w:after="160"/>
      </w:pPr>
      <w:sdt>
        <w:sdtPr>
          <w:rPr>
            <w:rFonts w:ascii="MS Gothic" w:hAnsi="MS Gothic" w:cs="MS Gothic" w:eastAsia="MS Gothic" w:hint="eastAsia"/>
            <w:sz w:val="28"/>
            <w:szCs w:val="28"/>
          </w:rPr>
          <w:alias w:val="C4 result"/>
          <w:tag w:val="c4-result"/>
          <w:id w:val="10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10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109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10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0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0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0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109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10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0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0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110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110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110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29"/>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VAL-821</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78</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83.000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general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Gastrointestinal hemorrhage, unspecified</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78-year-old Female with Gastrointestinal hemorrhage, unspecified</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Fatigue in the setting of Gastrointestinal hemorrhage, unspecified</w:t>
      </w:r>
    </w:p>
    <w:p>
      <w:pPr>
        <w:pStyle w:val="ListBullet"/>
        <w:spacing w:after="40" w:before="0"/>
      </w:pPr>
      <w:r>
        <w:rPr>
          <w:rFonts w:ascii="Calibri" w:hAnsi="Calibri" w:cs="Calibri"/>
          <w:b/>
          <w:sz w:val="22"/>
        </w:rPr>
        <w:t xml:space="preserve">Symptoms: </w:t>
      </w:r>
      <w:r>
        <w:rPr>
          <w:rFonts w:ascii="Calibri" w:hAnsi="Calibri" w:cs="Calibri"/>
          <w:b w:val="0"/>
          <w:sz w:val="22"/>
        </w:rPr>
        <w:t>Fatigue</w:t>
      </w:r>
    </w:p>
    <w:p>
      <w:pPr>
        <w:pStyle w:val="ListBullet"/>
        <w:spacing w:after="40" w:before="0"/>
      </w:pPr>
      <w:r>
        <w:rPr>
          <w:rFonts w:ascii="Calibri" w:hAnsi="Calibri" w:cs="Calibri"/>
          <w:b/>
          <w:sz w:val="22"/>
        </w:rPr>
        <w:t xml:space="preserve">Symptom duration: </w:t>
      </w:r>
      <w:r>
        <w:rPr>
          <w:rFonts w:ascii="Calibri" w:hAnsi="Calibri" w:cs="Calibri"/>
          <w:b w:val="0"/>
          <w:sz w:val="22"/>
        </w:rPr>
        <w:t>two days</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 78-year-old Female is admitted with Gastrointestinal hemorrhage, unspecified. Presenting symptoms include Fatigue, present for two days and improving after treatment. Home medications include lisinopril 10 MG Oral Tablet, atorvastatin 40 MG Oral Tablet. apixaban 5 MG Oral Tablet was held during the admission (Held for gastrointestinal bleeding; intended to restart after hemoglobin stability.). Admitted for gastrointestinal bleeding with held anticoagulation. Bleeding settled and hemoglobin was stable. Apixaban was held. The patient is discharge-ready. Gastrointestinal bleeding settled and hemoglobin was stable. Anticoagulation was held.</w:t>
      </w:r>
    </w:p>
    <w:p>
      <w:pPr>
        <w:pStyle w:val="Heading3"/>
      </w:pPr>
      <w:r>
        <w:rPr>
          <w:rFonts w:ascii="Calibri" w:hAnsi="Calibri"/>
          <w:color w:val="1F3A5F"/>
        </w:rPr>
        <w:t>Admission note</w:t>
      </w:r>
    </w:p>
    <w:p>
      <w:pPr>
        <w:spacing w:after="120"/>
      </w:pPr>
      <w:r>
        <w:rPr>
          <w:rFonts w:ascii="Calibri" w:hAnsi="Calibri" w:cs="Calibri"/>
          <w:b w:val="0"/>
          <w:sz w:val="22"/>
        </w:rPr>
        <w:t>Admission note for a 78-year-old Female with Gastrointestinal hemorrhage, unspecified. Symptoms: Fatigue for two days (improving after treatment). Medications continued from home: lisinopril 10 MG Oral Tablet, atorvastatin 40 MG Oral Tablet. apixaban 5 MG Oral Tablet was held during the admission (Held for gastrointestinal bleeding; intended to restart after hemoglobin stability.). Admitted for gastrointestinal bleeding with held anticoagulation. Bleeding settled and hemoglobin was stable. Apixaban was held. The patient is discharge-ready. Gastrointestinal bleeding settled and hemoglobin was stable. Anticoagulation was held.</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Paroxysmal atrial fibrillation, Mixed hyperlipidemia, Essential (primary) hypertension</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Gastrointestinal hemorrhage, unspecified</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Gastrointestinal hemorrhage, unspecified</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Gastrointestinal bleeding settled and hemoglobin was stable. Anticoagulation was held.</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138/70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69</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19</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8.7</w:t>
            </w:r>
          </w:p>
        </w:tc>
        <w:tc>
          <w:tcPr>
            <w:tcW w:type="dxa" w:w="2160"/>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83.000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140/79</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19</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1.2</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10.9</w:t>
            </w:r>
          </w:p>
        </w:tc>
        <w:tc>
          <w:tcPr>
            <w:tcW w:type="dxa" w:w="2160"/>
          </w:tcPr>
          <w:p>
            <w:pPr>
              <w:spacing w:after="20" w:before="20"/>
            </w:pPr>
            <w:r>
              <w:rPr>
                <w:rFonts w:ascii="Calibri" w:hAnsi="Calibri" w:cs="Calibri"/>
                <w:b w:val="0"/>
                <w:sz w:val="20"/>
              </w:rPr>
              <w:t>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apixaban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Paroxysmal atrial fibrillation</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apixaban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Status: held; Indication: Paroxysmal atrial fibrillation; Held reason: Held for gastrointestinal bleeding; intended to restart after hemoglobin stability.</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apixaban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Status: held; Indication: Paroxysmal atrial fibrillation; Held reason: Held for gastrointestinal bleeding; intended to restart after hemoglobin stability.</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Gastroenterology follow-up after held anticoagulation</w:t>
            </w:r>
          </w:p>
        </w:tc>
        <w:tc>
          <w:tcPr>
            <w:tcW w:type="dxa" w:w="3264"/>
          </w:tcPr>
          <w:p>
            <w:pPr>
              <w:spacing w:after="20" w:before="20"/>
            </w:pPr>
            <w:r>
              <w:rPr>
                <w:rFonts w:ascii="Calibri" w:hAnsi="Calibri" w:cs="Calibri"/>
                <w:b w:val="0"/>
                <w:sz w:val="20"/>
              </w:rPr>
              <w:t>7 days</w:t>
            </w:r>
          </w:p>
        </w:tc>
        <w:tc>
          <w:tcPr>
            <w:tcW w:type="dxa" w:w="3264"/>
          </w:tcPr>
          <w:p>
            <w:pPr>
              <w:spacing w:after="20" w:before="20"/>
            </w:pPr>
            <w:r>
              <w:rPr>
                <w:rFonts w:ascii="Calibri" w:hAnsi="Calibri" w:cs="Calibri"/>
                <w:b w:val="0"/>
                <w:sz w:val="20"/>
              </w:rPr>
              <w:t>gastroenterology</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gastroenterology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Gastroenterology recommendations were recorded.</w:t>
            </w:r>
          </w:p>
        </w:tc>
        <w:tc>
          <w:tcPr>
            <w:tcW w:type="dxa" w:w="2448"/>
          </w:tcPr>
          <w:p>
            <w:pPr>
              <w:spacing w:after="20" w:before="20"/>
            </w:pPr>
            <w:r>
              <w:rPr>
                <w:rFonts w:ascii="Calibri" w:hAnsi="Calibri" w:cs="Calibri"/>
                <w:b w:val="0"/>
                <w:sz w:val="20"/>
              </w:rPr>
              <w:t>Hold anticoagulation while hemoglobin remains stable, then reassess.</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Fatigue</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11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11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113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Error-bearing</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Family 2</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Held medication without a restart plan (f2_held_med_no_restart_plan)</w:t>
            </w:r>
          </w:p>
        </w:tc>
      </w:tr>
      <w:tr>
        <w:trPr>
          <w:cantSplit/>
        </w:trPr>
        <w:tc>
          <w:tcPr>
            <w:tcW w:type="dxa" w:w="3744"/>
          </w:tcPr>
          <w:p>
            <w:pPr>
              <w:spacing w:after="20" w:before="20"/>
            </w:pPr>
            <w:r>
              <w:rPr>
                <w:rFonts w:ascii="Calibri" w:hAnsi="Calibri" w:cs="Calibri"/>
                <w:b w:val="0"/>
                <w:sz w:val="20"/>
              </w:rPr>
              <w:t>Intended assessment target</w:t>
            </w:r>
          </w:p>
        </w:tc>
        <w:tc>
          <w:tcPr>
            <w:tcW w:type="dxa" w:w="6048"/>
          </w:tcPr>
          <w:p>
            <w:pPr>
              <w:spacing w:after="20" w:before="20"/>
            </w:pPr>
            <w:r>
              <w:rPr>
                <w:rFonts w:ascii="Calibri" w:hAnsi="Calibri" w:cs="Calibri"/>
                <w:b w:val="0"/>
                <w:sz w:val="20"/>
              </w:rPr>
              <w:t>A home medication legitimately held during hospitalization has no documented resumption criterion or timing at discharge.</w:t>
            </w:r>
          </w:p>
        </w:tc>
      </w:tr>
      <w:tr>
        <w:trPr>
          <w:cantSplit/>
        </w:trPr>
        <w:tc>
          <w:tcPr>
            <w:tcW w:type="dxa" w:w="3744"/>
          </w:tcPr>
          <w:p>
            <w:pPr>
              <w:spacing w:after="20" w:before="20"/>
            </w:pPr>
            <w:r>
              <w:rPr>
                <w:rFonts w:ascii="Calibri" w:hAnsi="Calibri" w:cs="Calibri"/>
                <w:b w:val="0"/>
                <w:sz w:val="20"/>
              </w:rPr>
              <w:t>Medication involved</w:t>
            </w:r>
          </w:p>
        </w:tc>
        <w:tc>
          <w:tcPr>
            <w:tcW w:type="dxa" w:w="6048"/>
          </w:tcPr>
          <w:p>
            <w:pPr>
              <w:spacing w:after="20" w:before="20"/>
            </w:pPr>
            <w:r>
              <w:rPr>
                <w:rFonts w:ascii="Calibri" w:hAnsi="Calibri" w:cs="Calibri"/>
                <w:b w:val="0"/>
                <w:sz w:val="20"/>
              </w:rPr>
              <w:t>apixaban 5 MG Oral Tablet</w:t>
            </w:r>
          </w:p>
        </w:tc>
      </w:tr>
      <w:tr>
        <w:trPr>
          <w:cantSplit/>
        </w:trPr>
        <w:tc>
          <w:tcPr>
            <w:tcW w:type="dxa" w:w="3744"/>
          </w:tcPr>
          <w:p>
            <w:pPr>
              <w:spacing w:after="20" w:before="20"/>
            </w:pPr>
            <w:r>
              <w:rPr>
                <w:rFonts w:ascii="Calibri" w:hAnsi="Calibri" w:cs="Calibri"/>
                <w:b w:val="0"/>
                <w:sz w:val="20"/>
              </w:rPr>
              <w:t>Clean expected state</w:t>
            </w:r>
          </w:p>
        </w:tc>
        <w:tc>
          <w:tcPr>
            <w:tcW w:type="dxa" w:w="6048"/>
          </w:tcPr>
          <w:p>
            <w:pPr>
              <w:spacing w:after="20" w:before="20"/>
            </w:pPr>
            <w:r>
              <w:rPr>
                <w:rFonts w:ascii="Calibri" w:hAnsi="Calibri" w:cs="Calibri"/>
                <w:b w:val="0"/>
                <w:sz w:val="20"/>
              </w:rPr>
              <w:t>Changed field: restart_plan</w:t>
              <w:br/>
              <w:t>instructions: Resume when holding apixaban 5 MG Oral Tablet: Resume apixaban if hemoglobin remains stable for 48 hours and bleeding has not recurred.; target or goal: Resume apixaban if hemoglobin remains stable for 48 hours and bleeding has not recurred.; Resume apixaban if hemoglobin remains stable for 48 hours and bleeding has not recurred.</w:t>
            </w:r>
          </w:p>
        </w:tc>
      </w:tr>
      <w:tr>
        <w:trPr>
          <w:cantSplit/>
        </w:trPr>
        <w:tc>
          <w:tcPr>
            <w:tcW w:type="dxa" w:w="3744"/>
          </w:tcPr>
          <w:p>
            <w:pPr>
              <w:spacing w:after="20" w:before="20"/>
            </w:pPr>
            <w:r>
              <w:rPr>
                <w:rFonts w:ascii="Calibri" w:hAnsi="Calibri" w:cs="Calibri"/>
                <w:b w:val="0"/>
                <w:sz w:val="20"/>
              </w:rPr>
              <w:t>What appears in this case</w:t>
            </w:r>
          </w:p>
        </w:tc>
        <w:tc>
          <w:tcPr>
            <w:tcW w:type="dxa" w:w="6048"/>
          </w:tcPr>
          <w:p>
            <w:pPr>
              <w:spacing w:after="20" w:before="20"/>
            </w:pPr>
            <w:r>
              <w:rPr>
                <w:rFonts w:ascii="Calibri" w:hAnsi="Calibri" w:cs="Calibri"/>
                <w:b w:val="0"/>
                <w:sz w:val="20"/>
              </w:rPr>
              <w:t>instructions: none; target or goal: none</w:t>
            </w:r>
          </w:p>
        </w:tc>
      </w:tr>
      <w:tr>
        <w:trPr>
          <w:cantSplit/>
        </w:trPr>
        <w:tc>
          <w:tcPr>
            <w:tcW w:type="dxa" w:w="3744"/>
          </w:tcPr>
          <w:p>
            <w:pPr>
              <w:spacing w:after="20" w:before="20"/>
            </w:pPr>
            <w:r>
              <w:rPr>
                <w:rFonts w:ascii="Calibri" w:hAnsi="Calibri" w:cs="Calibri"/>
                <w:b w:val="0"/>
                <w:sz w:val="20"/>
              </w:rPr>
              <w:t>Evidence available in the chart</w:t>
            </w:r>
          </w:p>
        </w:tc>
        <w:tc>
          <w:tcPr>
            <w:tcW w:type="dxa" w:w="6048"/>
          </w:tcPr>
          <w:p>
            <w:pPr>
              <w:spacing w:after="20" w:before="20"/>
            </w:pPr>
            <w:r>
              <w:rPr>
                <w:rFonts w:ascii="Calibri" w:hAnsi="Calibri" w:cs="Calibri"/>
                <w:b w:val="0"/>
                <w:sz w:val="20"/>
              </w:rPr>
              <w:t>The medication was held for a documented reason and needs a restart plan.</w:t>
              <w:br/>
              <w:t>Evidence location: Home medications, Medications during hospitalization, Discharge instructions</w:t>
              <w:br/>
              <w:t>Detectability location: Discharge instructions, CaseMedication.target or goal</w:t>
            </w:r>
          </w:p>
        </w:tc>
      </w:tr>
      <w:tr>
        <w:trPr>
          <w:cantSplit/>
        </w:trPr>
        <w:tc>
          <w:tcPr>
            <w:tcW w:type="dxa" w:w="3744"/>
          </w:tcPr>
          <w:p>
            <w:pPr>
              <w:spacing w:after="20" w:before="20"/>
            </w:pPr>
            <w:r>
              <w:rPr>
                <w:rFonts w:ascii="Calibri" w:hAnsi="Calibri" w:cs="Calibri"/>
                <w:b w:val="0"/>
                <w:sz w:val="20"/>
              </w:rPr>
              <w:t>Expected clinical action</w:t>
            </w:r>
          </w:p>
        </w:tc>
        <w:tc>
          <w:tcPr>
            <w:tcW w:type="dxa" w:w="6048"/>
          </w:tcPr>
          <w:p>
            <w:pPr>
              <w:spacing w:after="20" w:before="20"/>
            </w:pPr>
            <w:r>
              <w:rPr>
                <w:rFonts w:ascii="Calibri" w:hAnsi="Calibri" w:cs="Calibri"/>
                <w:b w:val="0"/>
                <w:sz w:val="20"/>
              </w:rPr>
              <w:t>Document when and under what criteria the held medication should be restarted.</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the clinical case actually contain the intended medication-reconciliation or transition-of-care problem described above, and does it match the intended category?</w:t>
      </w:r>
    </w:p>
    <w:p>
      <w:pPr>
        <w:keepLines/>
        <w:spacing w:before="80" w:after="160"/>
      </w:pPr>
      <w:sdt>
        <w:sdtPr>
          <w:rPr>
            <w:rFonts w:ascii="MS Gothic" w:hAnsi="MS Gothic" w:cs="MS Gothic" w:eastAsia="MS Gothic" w:hint="eastAsia"/>
            <w:sz w:val="28"/>
            <w:szCs w:val="28"/>
          </w:rPr>
          <w:alias w:val="C2 result"/>
          <w:tag w:val="c2-result"/>
          <w:id w:val="11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11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114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Could an internal-medicine resident identify and resolve the intended problem using only the clinical information provided in the patient-facing case?</w:t>
      </w:r>
    </w:p>
    <w:p>
      <w:pPr>
        <w:spacing w:after="120"/>
      </w:pPr>
      <w:r>
        <w:rPr>
          <w:rFonts w:ascii="Calibri" w:hAnsi="Calibri" w:cs="Calibri"/>
          <w:b w:val="0"/>
          <w:sz w:val="22"/>
        </w:rPr>
        <w:t>Consider whether the necessary evidence is present, whether key information is missing, whether the target is ambiguous, whether wording gives away the answer, and whether the expected clinical action can reasonably be determined.</w:t>
      </w:r>
    </w:p>
    <w:p>
      <w:pPr>
        <w:keepLines/>
        <w:spacing w:before="80" w:after="160"/>
      </w:pPr>
      <w:sdt>
        <w:sdtPr>
          <w:rPr>
            <w:rFonts w:ascii="MS Gothic" w:hAnsi="MS Gothic" w:cs="MS Gothic" w:eastAsia="MS Gothic" w:hint="eastAsia"/>
            <w:sz w:val="28"/>
            <w:szCs w:val="28"/>
          </w:rPr>
          <w:alias w:val="C3 result"/>
          <w:tag w:val="c3-result"/>
          <w:id w:val="11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11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114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Apart from the intended assessment problem, does the case contain another clinically meaningful medication-reconciliation or transition-of-care problem that a reasonable resident could interpret as an alternative target?</w:t>
      </w:r>
    </w:p>
    <w:p>
      <w:pPr>
        <w:keepLines/>
        <w:spacing w:before="80" w:after="160"/>
      </w:pPr>
      <w:sdt>
        <w:sdtPr>
          <w:rPr>
            <w:rFonts w:ascii="MS Gothic" w:hAnsi="MS Gothic" w:cs="MS Gothic" w:eastAsia="MS Gothic" w:hint="eastAsia"/>
            <w:sz w:val="28"/>
            <w:szCs w:val="28"/>
          </w:rPr>
          <w:alias w:val="C4 result"/>
          <w:tag w:val="c4-result"/>
          <w:id w:val="11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11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114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11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1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1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1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115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11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1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1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115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115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115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30"/>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VAL-822</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79</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100.000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general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Gastrointestinal hemorrhage, unspecified</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79-year-old Female with Gastrointestinal hemorrhage, unspecified</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Fatigue, Nausea in the setting of Gastrointestinal hemorrhage, unspecified</w:t>
      </w:r>
    </w:p>
    <w:p>
      <w:pPr>
        <w:pStyle w:val="ListBullet"/>
        <w:spacing w:after="40" w:before="0"/>
      </w:pPr>
      <w:r>
        <w:rPr>
          <w:rFonts w:ascii="Calibri" w:hAnsi="Calibri" w:cs="Calibri"/>
          <w:b/>
          <w:sz w:val="22"/>
        </w:rPr>
        <w:t xml:space="preserve">Symptoms: </w:t>
      </w:r>
      <w:r>
        <w:rPr>
          <w:rFonts w:ascii="Calibri" w:hAnsi="Calibri" w:cs="Calibri"/>
          <w:b w:val="0"/>
          <w:sz w:val="22"/>
        </w:rPr>
        <w:t>Fatigue, Nausea</w:t>
      </w:r>
    </w:p>
    <w:p>
      <w:pPr>
        <w:pStyle w:val="ListBullet"/>
        <w:spacing w:after="40" w:before="0"/>
      </w:pPr>
      <w:r>
        <w:rPr>
          <w:rFonts w:ascii="Calibri" w:hAnsi="Calibri" w:cs="Calibri"/>
          <w:b/>
          <w:sz w:val="22"/>
        </w:rPr>
        <w:t xml:space="preserve">Symptom duration: </w:t>
      </w:r>
      <w:r>
        <w:rPr>
          <w:rFonts w:ascii="Calibri" w:hAnsi="Calibri" w:cs="Calibri"/>
          <w:b w:val="0"/>
          <w:sz w:val="22"/>
        </w:rPr>
        <w:t>one day</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 79-year-old Female is admitted with Gastrointestinal hemorrhage, unspecified. Presenting symptoms include Fatigue, Nausea, present for one day and improving after treatment. Home medications include lisinopril 10 MG Oral Tablet, atorvastatin 40 MG Oral Tablet, metformin hydrochloride 500 MG Oral Tablet. Started during the hospitalization: pantoprazole 40 MG Delayed Release Oral Tablet. Admitted for gastrointestinal bleeding treated with inpatient acid suppression. Pantoprazole was initiated during the hospitalization for acute gastrointestinal management. Gastrointestinal bleeding was observed with serial hemoglobin checks. Inpatient acid suppression was used while the patient stabilized for discharge.</w:t>
      </w:r>
    </w:p>
    <w:p>
      <w:pPr>
        <w:pStyle w:val="Heading3"/>
      </w:pPr>
      <w:r>
        <w:rPr>
          <w:rFonts w:ascii="Calibri" w:hAnsi="Calibri"/>
          <w:color w:val="1F3A5F"/>
        </w:rPr>
        <w:t>Admission note</w:t>
      </w:r>
    </w:p>
    <w:p>
      <w:pPr>
        <w:spacing w:after="120"/>
      </w:pPr>
      <w:r>
        <w:rPr>
          <w:rFonts w:ascii="Calibri" w:hAnsi="Calibri" w:cs="Calibri"/>
          <w:b w:val="0"/>
          <w:sz w:val="22"/>
        </w:rPr>
        <w:t>Admission note for a 79-year-old Female with Gastrointestinal hemorrhage, unspecified. Symptoms: Fatigue, Nausea for one day (improving after treatment). Medications continued from home: lisinopril 10 MG Oral Tablet, atorvastatin 40 MG Oral Tablet, metformin hydrochloride 500 MG Oral Tablet. Started during the hospitalization: pantoprazole 40 MG Delayed Release Oral Tablet. Admitted for gastrointestinal bleeding treated with inpatient acid suppression. Pantoprazole was initiated during the hospitalization for acute gastrointestinal management. Gastrointestinal bleeding was observed with serial hemoglobin checks. Inpatient acid suppression was used while the patient stabilized for discharge.</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Mixed hyperlipidemia, Essential (primary) hypertension, Type 2 diabetes mellitus without complications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Gastrointestinal hemorrhage, unspecified</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Gastrointestinal hemorrhage, unspecified</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Gastrointestinal bleeding was observed with serial hemoglobin checks. Inpatient acid suppression was used while the patient stabilized for discharge.</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144/71</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83</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20</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153.0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8.5</w:t>
            </w:r>
          </w:p>
        </w:tc>
        <w:tc>
          <w:tcPr>
            <w:tcW w:type="dxa" w:w="2160"/>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100.000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128/78</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73</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15</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126.0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10.7</w:t>
            </w:r>
          </w:p>
        </w:tc>
        <w:tc>
          <w:tcPr>
            <w:tcW w:type="dxa" w:w="2160"/>
          </w:tcPr>
          <w:p>
            <w:pPr>
              <w:spacing w:after="20" w:before="20"/>
            </w:pPr>
            <w:r>
              <w:rPr>
                <w:rFonts w:ascii="Calibri" w:hAnsi="Calibri" w:cs="Calibri"/>
                <w:b w:val="0"/>
                <w:sz w:val="20"/>
              </w:rPr>
              <w:t>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r>
        <w:trPr>
          <w:cantSplit/>
        </w:trPr>
        <w:tc>
          <w:tcPr>
            <w:tcW w:type="dxa" w:w="3384"/>
          </w:tcPr>
          <w:p>
            <w:pPr>
              <w:spacing w:after="20" w:before="20"/>
            </w:pPr>
            <w:r>
              <w:rPr>
                <w:rFonts w:ascii="Calibri" w:hAnsi="Calibri" w:cs="Calibri"/>
                <w:b w:val="0"/>
                <w:sz w:val="20"/>
              </w:rPr>
              <w:t>pantoprazole 40 MG Delayed Release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Gastrointestinal hemorrhage, unspecified; Note: Pantoprazole was initiated during the hospitalization for acute gastrointestinal management.</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r>
        <w:trPr>
          <w:cantSplit/>
        </w:trPr>
        <w:tc>
          <w:tcPr>
            <w:tcW w:type="dxa" w:w="3384"/>
          </w:tcPr>
          <w:p>
            <w:pPr>
              <w:spacing w:after="20" w:before="20"/>
            </w:pPr>
            <w:r>
              <w:rPr>
                <w:rFonts w:ascii="Calibri" w:hAnsi="Calibri" w:cs="Calibri"/>
                <w:b w:val="0"/>
                <w:sz w:val="20"/>
              </w:rPr>
              <w:t>pantoprazole 40 MG Delayed Release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Gastrointestinal hemorrhage, unspecified; Note: Pantoprazole was initiated during the hospitalization for acute gastrointestinal management.</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Primary care follow-up after gastrointestinal bleed</w:t>
            </w:r>
          </w:p>
        </w:tc>
        <w:tc>
          <w:tcPr>
            <w:tcW w:type="dxa" w:w="3264"/>
          </w:tcPr>
          <w:p>
            <w:pPr>
              <w:spacing w:after="20" w:before="20"/>
            </w:pPr>
            <w:r>
              <w:rPr>
                <w:rFonts w:ascii="Calibri" w:hAnsi="Calibri" w:cs="Calibri"/>
                <w:b w:val="0"/>
                <w:sz w:val="20"/>
              </w:rPr>
              <w:t>5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gastroenterology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Gastroenterology recommendations were recorded.</w:t>
            </w:r>
          </w:p>
        </w:tc>
        <w:tc>
          <w:tcPr>
            <w:tcW w:type="dxa" w:w="2448"/>
          </w:tcPr>
          <w:p>
            <w:pPr>
              <w:spacing w:after="20" w:before="20"/>
            </w:pPr>
            <w:r>
              <w:rPr>
                <w:rFonts w:ascii="Calibri" w:hAnsi="Calibri" w:cs="Calibri"/>
                <w:b w:val="0"/>
                <w:sz w:val="20"/>
              </w:rPr>
              <w:t>Continue inpatient acid suppression and observe serial hemoglobin until stability.</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Fatigue</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11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11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119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Error-bearing</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Family 2</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Hospital-only medication continued after discharge (f2_hospital_only_continued)</w:t>
            </w:r>
          </w:p>
        </w:tc>
      </w:tr>
      <w:tr>
        <w:trPr>
          <w:cantSplit/>
        </w:trPr>
        <w:tc>
          <w:tcPr>
            <w:tcW w:type="dxa" w:w="3744"/>
          </w:tcPr>
          <w:p>
            <w:pPr>
              <w:spacing w:after="20" w:before="20"/>
            </w:pPr>
            <w:r>
              <w:rPr>
                <w:rFonts w:ascii="Calibri" w:hAnsi="Calibri" w:cs="Calibri"/>
                <w:b w:val="0"/>
                <w:sz w:val="20"/>
              </w:rPr>
              <w:t>Intended assessment target</w:t>
            </w:r>
          </w:p>
        </w:tc>
        <w:tc>
          <w:tcPr>
            <w:tcW w:type="dxa" w:w="6048"/>
          </w:tcPr>
          <w:p>
            <w:pPr>
              <w:spacing w:after="20" w:before="20"/>
            </w:pPr>
            <w:r>
              <w:rPr>
                <w:rFonts w:ascii="Calibri" w:hAnsi="Calibri" w:cs="Calibri"/>
                <w:b w:val="0"/>
                <w:sz w:val="20"/>
              </w:rPr>
              <w:t>A medication started for an inpatient-only indication was erroneously continued at discharge despite no ongoing outpatient indication.</w:t>
            </w:r>
          </w:p>
        </w:tc>
      </w:tr>
      <w:tr>
        <w:trPr>
          <w:cantSplit/>
        </w:trPr>
        <w:tc>
          <w:tcPr>
            <w:tcW w:type="dxa" w:w="3744"/>
          </w:tcPr>
          <w:p>
            <w:pPr>
              <w:spacing w:after="20" w:before="20"/>
            </w:pPr>
            <w:r>
              <w:rPr>
                <w:rFonts w:ascii="Calibri" w:hAnsi="Calibri" w:cs="Calibri"/>
                <w:b w:val="0"/>
                <w:sz w:val="20"/>
              </w:rPr>
              <w:t>Medication involved</w:t>
            </w:r>
          </w:p>
        </w:tc>
        <w:tc>
          <w:tcPr>
            <w:tcW w:type="dxa" w:w="6048"/>
          </w:tcPr>
          <w:p>
            <w:pPr>
              <w:spacing w:after="20" w:before="20"/>
            </w:pPr>
            <w:r>
              <w:rPr>
                <w:rFonts w:ascii="Calibri" w:hAnsi="Calibri" w:cs="Calibri"/>
                <w:b w:val="0"/>
                <w:sz w:val="20"/>
              </w:rPr>
              <w:t>pantoprazole 40 MG Delayed Release Oral Tablet</w:t>
            </w:r>
          </w:p>
        </w:tc>
      </w:tr>
      <w:tr>
        <w:trPr>
          <w:cantSplit/>
        </w:trPr>
        <w:tc>
          <w:tcPr>
            <w:tcW w:type="dxa" w:w="3744"/>
          </w:tcPr>
          <w:p>
            <w:pPr>
              <w:spacing w:after="20" w:before="20"/>
            </w:pPr>
            <w:r>
              <w:rPr>
                <w:rFonts w:ascii="Calibri" w:hAnsi="Calibri" w:cs="Calibri"/>
                <w:b w:val="0"/>
                <w:sz w:val="20"/>
              </w:rPr>
              <w:t>Clean expected state</w:t>
            </w:r>
          </w:p>
        </w:tc>
        <w:tc>
          <w:tcPr>
            <w:tcW w:type="dxa" w:w="6048"/>
          </w:tcPr>
          <w:p>
            <w:pPr>
              <w:spacing w:after="20" w:before="20"/>
            </w:pPr>
            <w:r>
              <w:rPr>
                <w:rFonts w:ascii="Calibri" w:hAnsi="Calibri" w:cs="Calibri"/>
                <w:b w:val="0"/>
                <w:sz w:val="20"/>
              </w:rPr>
              <w:t>Changed field: presence</w:t>
              <w:br/>
              <w:t>absent</w:t>
            </w:r>
          </w:p>
        </w:tc>
      </w:tr>
      <w:tr>
        <w:trPr>
          <w:cantSplit/>
        </w:trPr>
        <w:tc>
          <w:tcPr>
            <w:tcW w:type="dxa" w:w="3744"/>
          </w:tcPr>
          <w:p>
            <w:pPr>
              <w:spacing w:after="20" w:before="20"/>
            </w:pPr>
            <w:r>
              <w:rPr>
                <w:rFonts w:ascii="Calibri" w:hAnsi="Calibri" w:cs="Calibri"/>
                <w:b w:val="0"/>
                <w:sz w:val="20"/>
              </w:rPr>
              <w:t>What appears in this case</w:t>
            </w:r>
          </w:p>
        </w:tc>
        <w:tc>
          <w:tcPr>
            <w:tcW w:type="dxa" w:w="6048"/>
          </w:tcPr>
          <w:p>
            <w:pPr>
              <w:spacing w:after="20" w:before="20"/>
            </w:pPr>
            <w:r>
              <w:rPr>
                <w:rFonts w:ascii="Calibri" w:hAnsi="Calibri" w:cs="Calibri"/>
                <w:b w:val="0"/>
                <w:sz w:val="20"/>
              </w:rPr>
              <w:t>present</w:t>
            </w:r>
          </w:p>
        </w:tc>
      </w:tr>
      <w:tr>
        <w:trPr>
          <w:cantSplit/>
        </w:trPr>
        <w:tc>
          <w:tcPr>
            <w:tcW w:type="dxa" w:w="3744"/>
          </w:tcPr>
          <w:p>
            <w:pPr>
              <w:spacing w:after="20" w:before="20"/>
            </w:pPr>
            <w:r>
              <w:rPr>
                <w:rFonts w:ascii="Calibri" w:hAnsi="Calibri" w:cs="Calibri"/>
                <w:b w:val="0"/>
                <w:sz w:val="20"/>
              </w:rPr>
              <w:t>Evidence available in the chart</w:t>
            </w:r>
          </w:p>
        </w:tc>
        <w:tc>
          <w:tcPr>
            <w:tcW w:type="dxa" w:w="6048"/>
          </w:tcPr>
          <w:p>
            <w:pPr>
              <w:spacing w:after="20" w:before="20"/>
            </w:pPr>
            <w:r>
              <w:rPr>
                <w:rFonts w:ascii="Calibri" w:hAnsi="Calibri" w:cs="Calibri"/>
                <w:b w:val="0"/>
                <w:sz w:val="20"/>
              </w:rPr>
              <w:t>Medication was started in hospital for an inpatient-only indication and should stop.</w:t>
              <w:br/>
              <w:t>Evidence location: Home medications, Medications during hospitalization, Discharge medications, Medication plan / decision reason</w:t>
              <w:br/>
              <w:t>Detectability location: Discharge medications</w:t>
            </w:r>
          </w:p>
        </w:tc>
      </w:tr>
      <w:tr>
        <w:trPr>
          <w:cantSplit/>
        </w:trPr>
        <w:tc>
          <w:tcPr>
            <w:tcW w:type="dxa" w:w="3744"/>
          </w:tcPr>
          <w:p>
            <w:pPr>
              <w:spacing w:after="20" w:before="20"/>
            </w:pPr>
            <w:r>
              <w:rPr>
                <w:rFonts w:ascii="Calibri" w:hAnsi="Calibri" w:cs="Calibri"/>
                <w:b w:val="0"/>
                <w:sz w:val="20"/>
              </w:rPr>
              <w:t>Expected clinical action</w:t>
            </w:r>
          </w:p>
        </w:tc>
        <w:tc>
          <w:tcPr>
            <w:tcW w:type="dxa" w:w="6048"/>
          </w:tcPr>
          <w:p>
            <w:pPr>
              <w:spacing w:after="20" w:before="20"/>
            </w:pPr>
            <w:r>
              <w:rPr>
                <w:rFonts w:ascii="Calibri" w:hAnsi="Calibri" w:cs="Calibri"/>
                <w:b w:val="0"/>
                <w:sz w:val="20"/>
              </w:rPr>
              <w:t>Stop the hospital-only medication at discharge.</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the clinical case actually contain the intended medication-reconciliation or transition-of-care problem described above, and does it match the intended category?</w:t>
      </w:r>
    </w:p>
    <w:p>
      <w:pPr>
        <w:keepLines/>
        <w:spacing w:before="80" w:after="160"/>
      </w:pPr>
      <w:sdt>
        <w:sdtPr>
          <w:rPr>
            <w:rFonts w:ascii="MS Gothic" w:hAnsi="MS Gothic" w:cs="MS Gothic" w:eastAsia="MS Gothic" w:hint="eastAsia"/>
            <w:sz w:val="28"/>
            <w:szCs w:val="28"/>
          </w:rPr>
          <w:alias w:val="C2 result"/>
          <w:tag w:val="c2-result"/>
          <w:id w:val="11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11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119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Could an internal-medicine resident identify and resolve the intended problem using only the clinical information provided in the patient-facing case?</w:t>
      </w:r>
    </w:p>
    <w:p>
      <w:pPr>
        <w:spacing w:after="120"/>
      </w:pPr>
      <w:r>
        <w:rPr>
          <w:rFonts w:ascii="Calibri" w:hAnsi="Calibri" w:cs="Calibri"/>
          <w:b w:val="0"/>
          <w:sz w:val="22"/>
        </w:rPr>
        <w:t>Consider whether the necessary evidence is present, whether key information is missing, whether the target is ambiguous, whether wording gives away the answer, and whether the expected clinical action can reasonably be determined.</w:t>
      </w:r>
    </w:p>
    <w:p>
      <w:pPr>
        <w:keepLines/>
        <w:spacing w:before="80" w:after="160"/>
      </w:pPr>
      <w:sdt>
        <w:sdtPr>
          <w:rPr>
            <w:rFonts w:ascii="MS Gothic" w:hAnsi="MS Gothic" w:cs="MS Gothic" w:eastAsia="MS Gothic" w:hint="eastAsia"/>
            <w:sz w:val="28"/>
            <w:szCs w:val="28"/>
          </w:rPr>
          <w:alias w:val="C3 result"/>
          <w:tag w:val="c3-result"/>
          <w:id w:val="11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11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119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Apart from the intended assessment problem, does the case contain another clinically meaningful medication-reconciliation or transition-of-care problem that a reasonable resident could interpret as an alternative target?</w:t>
      </w:r>
    </w:p>
    <w:p>
      <w:pPr>
        <w:keepLines/>
        <w:spacing w:before="80" w:after="160"/>
      </w:pPr>
      <w:sdt>
        <w:sdtPr>
          <w:rPr>
            <w:rFonts w:ascii="MS Gothic" w:hAnsi="MS Gothic" w:cs="MS Gothic" w:eastAsia="MS Gothic" w:hint="eastAsia"/>
            <w:sz w:val="28"/>
            <w:szCs w:val="28"/>
          </w:rPr>
          <w:alias w:val="C4 result"/>
          <w:tag w:val="c4-result"/>
          <w:id w:val="11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12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120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12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2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2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2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120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12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2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2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121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121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121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31"/>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VAL-823</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71</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109.000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general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Gastrointestinal hemorrhage, unspecified</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71-year-old Male with Gastrointestinal hemorrhage, unspecified</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Fatigue in the setting of Gastrointestinal hemorrhage, unspecified</w:t>
      </w:r>
    </w:p>
    <w:p>
      <w:pPr>
        <w:pStyle w:val="ListBullet"/>
        <w:spacing w:after="40" w:before="0"/>
      </w:pPr>
      <w:r>
        <w:rPr>
          <w:rFonts w:ascii="Calibri" w:hAnsi="Calibri" w:cs="Calibri"/>
          <w:b/>
          <w:sz w:val="22"/>
        </w:rPr>
        <w:t xml:space="preserve">Symptoms: </w:t>
      </w:r>
      <w:r>
        <w:rPr>
          <w:rFonts w:ascii="Calibri" w:hAnsi="Calibri" w:cs="Calibri"/>
          <w:b w:val="0"/>
          <w:sz w:val="22"/>
        </w:rPr>
        <w:t>Fatigue</w:t>
      </w:r>
    </w:p>
    <w:p>
      <w:pPr>
        <w:pStyle w:val="ListBullet"/>
        <w:spacing w:after="40" w:before="0"/>
      </w:pPr>
      <w:r>
        <w:rPr>
          <w:rFonts w:ascii="Calibri" w:hAnsi="Calibri" w:cs="Calibri"/>
          <w:b/>
          <w:sz w:val="22"/>
        </w:rPr>
        <w:t xml:space="preserve">Symptom duration: </w:t>
      </w:r>
      <w:r>
        <w:rPr>
          <w:rFonts w:ascii="Calibri" w:hAnsi="Calibri" w:cs="Calibri"/>
          <w:b w:val="0"/>
          <w:sz w:val="22"/>
        </w:rPr>
        <w:t>several days</w:t>
      </w:r>
    </w:p>
    <w:p>
      <w:pPr>
        <w:pStyle w:val="ListBullet"/>
        <w:spacing w:after="40" w:before="0"/>
      </w:pPr>
      <w:r>
        <w:rPr>
          <w:rFonts w:ascii="Calibri" w:hAnsi="Calibri" w:cs="Calibri"/>
          <w:b/>
          <w:sz w:val="22"/>
        </w:rPr>
        <w:t xml:space="preserve">Symptom course: </w:t>
      </w:r>
      <w:r>
        <w:rPr>
          <w:rFonts w:ascii="Calibri" w:hAnsi="Calibri" w:cs="Calibri"/>
          <w:b w:val="0"/>
          <w:sz w:val="22"/>
        </w:rPr>
        <w:t>persistent</w:t>
      </w:r>
    </w:p>
    <w:p>
      <w:pPr>
        <w:pStyle w:val="Heading3"/>
      </w:pPr>
      <w:r>
        <w:rPr>
          <w:rFonts w:ascii="Calibri" w:hAnsi="Calibri"/>
          <w:color w:val="1F3A5F"/>
        </w:rPr>
        <w:t>History of present illness</w:t>
      </w:r>
    </w:p>
    <w:p>
      <w:pPr>
        <w:spacing w:after="120"/>
      </w:pPr>
      <w:r>
        <w:rPr>
          <w:rFonts w:ascii="Calibri" w:hAnsi="Calibri" w:cs="Calibri"/>
          <w:b w:val="0"/>
          <w:sz w:val="22"/>
        </w:rPr>
        <w:t>A 71-year-old Male is admitted with Gastrointestinal hemorrhage, unspecified. Presenting symptoms include Fatigue, present for several days and persistent. Home medications include apixaban 5 MG Oral Tablet, atorvastatin 40 MG Oral Tablet, metformin hydrochloride 500 MG Oral Tablet. Admitted for gastrointestinal bleeding with a pending anticoagulation decision. Restart versus continued hold of anticoagulation is a pending outpatient decision. The patient is discharge-ready, not in shock. Restart versus continued hold of anticoagulation remains a pending outpatient decision. The patient is otherwise ready for discharge.</w:t>
      </w:r>
    </w:p>
    <w:p>
      <w:pPr>
        <w:pStyle w:val="Heading3"/>
      </w:pPr>
      <w:r>
        <w:rPr>
          <w:rFonts w:ascii="Calibri" w:hAnsi="Calibri"/>
          <w:color w:val="1F3A5F"/>
        </w:rPr>
        <w:t>Admission note</w:t>
      </w:r>
    </w:p>
    <w:p>
      <w:pPr>
        <w:spacing w:after="120"/>
      </w:pPr>
      <w:r>
        <w:rPr>
          <w:rFonts w:ascii="Calibri" w:hAnsi="Calibri" w:cs="Calibri"/>
          <w:b w:val="0"/>
          <w:sz w:val="22"/>
        </w:rPr>
        <w:t>Admission note for a 71-year-old Male with Gastrointestinal hemorrhage, unspecified. Symptoms: Fatigue for several days (persistent). Medications continued from home: apixaban 5 MG Oral Tablet, atorvastatin 40 MG Oral Tablet, metformin hydrochloride 500 MG Oral Tablet. Admitted for gastrointestinal bleeding with a pending anticoagulation decision. Restart versus continued hold of anticoagulation is a pending outpatient decision. The patient is discharge-ready, not in shock. Restart versus continued hold of anticoagulation remains a pending outpatient decision. The patient is otherwise ready for discharge.</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Paroxysmal atrial fibrillation, Mixed hyperlipidemia, Type 2 diabetes mellitus without complications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Gastrointestinal hemorrhage, unspecified</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Gastrointestinal hemorrhage, unspecified</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Restart versus continued hold of anticoagulation remains a pending outpatient decision. The patient is otherwise ready for discharge.</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119/72</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68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14</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94.00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116.0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1.1</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9.0</w:t>
            </w:r>
          </w:p>
        </w:tc>
        <w:tc>
          <w:tcPr>
            <w:tcW w:type="dxa" w:w="2160"/>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109.000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127/70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76</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14</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104.0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1.2</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10.2</w:t>
            </w:r>
          </w:p>
        </w:tc>
        <w:tc>
          <w:tcPr>
            <w:tcW w:type="dxa" w:w="2160"/>
          </w:tcPr>
          <w:p>
            <w:pPr>
              <w:spacing w:after="20" w:before="20"/>
            </w:pPr>
            <w:r>
              <w:rPr>
                <w:rFonts w:ascii="Calibri" w:hAnsi="Calibri" w:cs="Calibri"/>
                <w:b w:val="0"/>
                <w:sz w:val="20"/>
              </w:rPr>
              <w:t>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apixaban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Paroxysmal atrial fibrillation</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apixaban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Status: held; Indication: Paroxysmal atrial fibrillation; Held reason: Held after the acute event while restart timing remains unresolved.</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apixaban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Status: held; Indication: Paroxysmal atrial fibrillation; Held reason: Held after the acute event while restart timing remains unresolved.</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p>
      <w:pPr>
        <w:spacing w:after="120"/>
      </w:pPr>
      <w:r>
        <w:rPr>
          <w:rFonts w:ascii="Calibri" w:hAnsi="Calibri" w:cs="Calibri"/>
          <w:b w:val="0"/>
          <w:sz w:val="22"/>
        </w:rPr>
        <w:t>No follow-up appointments were specified.</w:t>
      </w: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ListBullet"/>
        <w:spacing w:after="40" w:before="0"/>
      </w:pPr>
      <w:r>
        <w:rPr>
          <w:rFonts w:ascii="Calibri" w:hAnsi="Calibri" w:cs="Calibri"/>
          <w:b/>
          <w:sz w:val="22"/>
        </w:rPr>
        <w:t xml:space="preserve">Category: </w:t>
      </w:r>
      <w:r>
        <w:rPr>
          <w:rFonts w:ascii="Calibri" w:hAnsi="Calibri" w:cs="Calibri"/>
          <w:b w:val="0"/>
          <w:sz w:val="22"/>
        </w:rPr>
        <w:t>followup</w:t>
      </w:r>
    </w:p>
    <w:p>
      <w:pPr>
        <w:spacing w:after="120"/>
      </w:pPr>
      <w:r>
        <w:rPr>
          <w:rFonts w:ascii="Calibri" w:hAnsi="Calibri" w:cs="Calibri"/>
          <w:b w:val="0"/>
          <w:sz w:val="22"/>
        </w:rPr>
        <w:t>A pending therapeutic decision remains. Restart versus continued hold of apixaban remains a pending outpatient decision after the bleed.</w:t>
      </w: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Procedure</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Time</w:t>
            </w:r>
          </w:p>
        </w:tc>
        <w:tc>
          <w:tcPr>
            <w:tcW w:type="dxa" w:w="2448"/>
            <w:shd w:val="clear" w:color="auto" w:fill="D9E2F3"/>
          </w:tcPr>
          <w:p>
            <w:pPr>
              <w:spacing w:after="20" w:before="20"/>
            </w:pPr>
            <w:r>
              <w:rPr>
                <w:rFonts w:ascii="Calibri" w:hAnsi="Calibri" w:cs="Calibri"/>
                <w:b/>
                <w:sz w:val="20"/>
              </w:rPr>
              <w:t>Findings</w:t>
            </w:r>
          </w:p>
        </w:tc>
      </w:tr>
      <w:tr>
        <w:trPr>
          <w:cantSplit/>
        </w:trPr>
        <w:tc>
          <w:tcPr>
            <w:tcW w:type="dxa" w:w="2448"/>
          </w:tcPr>
          <w:p>
            <w:pPr>
              <w:spacing w:after="20" w:before="20"/>
            </w:pPr>
            <w:r>
              <w:rPr>
                <w:rFonts w:ascii="Calibri" w:hAnsi="Calibri" w:cs="Calibri"/>
                <w:b w:val="0"/>
                <w:sz w:val="20"/>
              </w:rPr>
              <w:t>Upper endoscopy</w:t>
            </w:r>
          </w:p>
        </w:tc>
        <w:tc>
          <w:tcPr>
            <w:tcW w:type="dxa" w:w="2448"/>
          </w:tcPr>
          <w:p>
            <w:pPr>
              <w:spacing w:after="20" w:before="20"/>
            </w:pPr>
            <w:r>
              <w:rPr>
                <w:rFonts w:ascii="Calibri" w:hAnsi="Calibri" w:cs="Calibri"/>
                <w:b w:val="0"/>
                <w:sz w:val="20"/>
              </w:rPr>
              <w:t>endoscopic</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Bleeding source evaluated; no ongoing active bleeding at discharge planning.</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gastroenterology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Gastroenterology recommendations were recorded.</w:t>
            </w:r>
          </w:p>
        </w:tc>
        <w:tc>
          <w:tcPr>
            <w:tcW w:type="dxa" w:w="2448"/>
          </w:tcPr>
          <w:p>
            <w:pPr>
              <w:spacing w:after="20" w:before="20"/>
            </w:pPr>
            <w:r>
              <w:rPr>
                <w:rFonts w:ascii="Calibri" w:hAnsi="Calibri" w:cs="Calibri"/>
                <w:b w:val="0"/>
                <w:sz w:val="20"/>
              </w:rPr>
              <w:t>Hold anticoagulation while hemoglobin remains stable, then reassess.</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Fatigue</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12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12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124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Error-bearing</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Family 2</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Follow-up missing for an unresolved treatment decision (f2_pending_decision_followup_missing)</w:t>
            </w:r>
          </w:p>
        </w:tc>
      </w:tr>
      <w:tr>
        <w:trPr>
          <w:cantSplit/>
        </w:trPr>
        <w:tc>
          <w:tcPr>
            <w:tcW w:type="dxa" w:w="3744"/>
          </w:tcPr>
          <w:p>
            <w:pPr>
              <w:spacing w:after="20" w:before="20"/>
            </w:pPr>
            <w:r>
              <w:rPr>
                <w:rFonts w:ascii="Calibri" w:hAnsi="Calibri" w:cs="Calibri"/>
                <w:b w:val="0"/>
                <w:sz w:val="20"/>
              </w:rPr>
              <w:t>Intended assessment target</w:t>
            </w:r>
          </w:p>
        </w:tc>
        <w:tc>
          <w:tcPr>
            <w:tcW w:type="dxa" w:w="6048"/>
          </w:tcPr>
          <w:p>
            <w:pPr>
              <w:spacing w:after="20" w:before="20"/>
            </w:pPr>
            <w:r>
              <w:rPr>
                <w:rFonts w:ascii="Calibri" w:hAnsi="Calibri" w:cs="Calibri"/>
                <w:b w:val="0"/>
                <w:sz w:val="20"/>
              </w:rPr>
              <w:t>A pending therapeutic decision remains unresolved and no follow-up visit is arranged to resolve it.</w:t>
            </w:r>
          </w:p>
        </w:tc>
      </w:tr>
      <w:tr>
        <w:trPr>
          <w:cantSplit/>
        </w:trPr>
        <w:tc>
          <w:tcPr>
            <w:tcW w:type="dxa" w:w="3744"/>
          </w:tcPr>
          <w:p>
            <w:pPr>
              <w:spacing w:after="20" w:before="20"/>
            </w:pPr>
            <w:r>
              <w:rPr>
                <w:rFonts w:ascii="Calibri" w:hAnsi="Calibri" w:cs="Calibri"/>
                <w:b w:val="0"/>
                <w:sz w:val="20"/>
              </w:rPr>
              <w:t>Medication involved</w:t>
            </w:r>
          </w:p>
        </w:tc>
        <w:tc>
          <w:tcPr>
            <w:tcW w:type="dxa" w:w="6048"/>
          </w:tcPr>
          <w:p>
            <w:pPr>
              <w:spacing w:after="20" w:before="20"/>
            </w:pPr>
            <w:r>
              <w:rPr>
                <w:rFonts w:ascii="Calibri" w:hAnsi="Calibri" w:cs="Calibri"/>
                <w:b w:val="0"/>
                <w:sz w:val="20"/>
              </w:rPr>
              <w:t>apixaban 5 MG Oral Tablet</w:t>
            </w:r>
          </w:p>
        </w:tc>
      </w:tr>
      <w:tr>
        <w:trPr>
          <w:cantSplit/>
        </w:trPr>
        <w:tc>
          <w:tcPr>
            <w:tcW w:type="dxa" w:w="3744"/>
          </w:tcPr>
          <w:p>
            <w:pPr>
              <w:spacing w:after="20" w:before="20"/>
            </w:pPr>
            <w:r>
              <w:rPr>
                <w:rFonts w:ascii="Calibri" w:hAnsi="Calibri" w:cs="Calibri"/>
                <w:b w:val="0"/>
                <w:sz w:val="20"/>
              </w:rPr>
              <w:t>Clean expected state</w:t>
            </w:r>
          </w:p>
        </w:tc>
        <w:tc>
          <w:tcPr>
            <w:tcW w:type="dxa" w:w="6048"/>
          </w:tcPr>
          <w:p>
            <w:pPr>
              <w:spacing w:after="20" w:before="20"/>
            </w:pPr>
            <w:r>
              <w:rPr>
                <w:rFonts w:ascii="Calibri" w:hAnsi="Calibri" w:cs="Calibri"/>
                <w:b w:val="0"/>
                <w:sz w:val="20"/>
              </w:rPr>
              <w:t>Changed field: followup</w:t>
              <w:br/>
              <w:t>item: Reassess pending therapeutic decision; timing: 7 days; with service: cardiology</w:t>
            </w:r>
          </w:p>
        </w:tc>
      </w:tr>
      <w:tr>
        <w:trPr>
          <w:cantSplit/>
        </w:trPr>
        <w:tc>
          <w:tcPr>
            <w:tcW w:type="dxa" w:w="3744"/>
          </w:tcPr>
          <w:p>
            <w:pPr>
              <w:spacing w:after="20" w:before="20"/>
            </w:pPr>
            <w:r>
              <w:rPr>
                <w:rFonts w:ascii="Calibri" w:hAnsi="Calibri" w:cs="Calibri"/>
                <w:b w:val="0"/>
                <w:sz w:val="20"/>
              </w:rPr>
              <w:t>What appears in this case</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Evidence available in the chart</w:t>
            </w:r>
          </w:p>
        </w:tc>
        <w:tc>
          <w:tcPr>
            <w:tcW w:type="dxa" w:w="6048"/>
          </w:tcPr>
          <w:p>
            <w:pPr>
              <w:spacing w:after="20" w:before="20"/>
            </w:pPr>
            <w:r>
              <w:rPr>
                <w:rFonts w:ascii="Calibri" w:hAnsi="Calibri" w:cs="Calibri"/>
                <w:b w:val="0"/>
                <w:sz w:val="20"/>
              </w:rPr>
              <w:t>A pending therapeutic decision remains unresolved and requires scheduled follow-up.</w:t>
              <w:br/>
              <w:t>Evidence location: Discharge instructions, Follow-up appointments</w:t>
              <w:br/>
              <w:t>Detectability location: Follow-up appointments</w:t>
            </w:r>
          </w:p>
        </w:tc>
      </w:tr>
      <w:tr>
        <w:trPr>
          <w:cantSplit/>
        </w:trPr>
        <w:tc>
          <w:tcPr>
            <w:tcW w:type="dxa" w:w="3744"/>
          </w:tcPr>
          <w:p>
            <w:pPr>
              <w:spacing w:after="20" w:before="20"/>
            </w:pPr>
            <w:r>
              <w:rPr>
                <w:rFonts w:ascii="Calibri" w:hAnsi="Calibri" w:cs="Calibri"/>
                <w:b w:val="0"/>
                <w:sz w:val="20"/>
              </w:rPr>
              <w:t>Expected clinical action</w:t>
            </w:r>
          </w:p>
        </w:tc>
        <w:tc>
          <w:tcPr>
            <w:tcW w:type="dxa" w:w="6048"/>
          </w:tcPr>
          <w:p>
            <w:pPr>
              <w:spacing w:after="20" w:before="20"/>
            </w:pPr>
            <w:r>
              <w:rPr>
                <w:rFonts w:ascii="Calibri" w:hAnsi="Calibri" w:cs="Calibri"/>
                <w:b w:val="0"/>
                <w:sz w:val="20"/>
              </w:rPr>
              <w:t>Arrange follow-up to resolve the pending therapeutic decision.</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the clinical case actually contain the intended medication-reconciliation or transition-of-care problem described above, and does it match the intended category?</w:t>
      </w:r>
    </w:p>
    <w:p>
      <w:pPr>
        <w:keepLines/>
        <w:spacing w:before="80" w:after="160"/>
      </w:pPr>
      <w:sdt>
        <w:sdtPr>
          <w:rPr>
            <w:rFonts w:ascii="MS Gothic" w:hAnsi="MS Gothic" w:cs="MS Gothic" w:eastAsia="MS Gothic" w:hint="eastAsia"/>
            <w:sz w:val="28"/>
            <w:szCs w:val="28"/>
          </w:rPr>
          <w:alias w:val="C2 result"/>
          <w:tag w:val="c2-result"/>
          <w:id w:val="12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12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125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Could an internal-medicine resident identify and resolve the intended problem using only the clinical information provided in the patient-facing case?</w:t>
      </w:r>
    </w:p>
    <w:p>
      <w:pPr>
        <w:spacing w:after="120"/>
      </w:pPr>
      <w:r>
        <w:rPr>
          <w:rFonts w:ascii="Calibri" w:hAnsi="Calibri" w:cs="Calibri"/>
          <w:b w:val="0"/>
          <w:sz w:val="22"/>
        </w:rPr>
        <w:t>Consider whether the necessary evidence is present, whether key information is missing, whether the target is ambiguous, whether wording gives away the answer, and whether the expected clinical action can reasonably be determined.</w:t>
      </w:r>
    </w:p>
    <w:p>
      <w:pPr>
        <w:keepLines/>
        <w:spacing w:before="80" w:after="160"/>
      </w:pPr>
      <w:sdt>
        <w:sdtPr>
          <w:rPr>
            <w:rFonts w:ascii="MS Gothic" w:hAnsi="MS Gothic" w:cs="MS Gothic" w:eastAsia="MS Gothic" w:hint="eastAsia"/>
            <w:sz w:val="28"/>
            <w:szCs w:val="28"/>
          </w:rPr>
          <w:alias w:val="C3 result"/>
          <w:tag w:val="c3-result"/>
          <w:id w:val="12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12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125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Apart from the intended assessment problem, does the case contain another clinically meaningful medication-reconciliation or transition-of-care problem that a reasonable resident could interpret as an alternative target?</w:t>
      </w:r>
    </w:p>
    <w:p>
      <w:pPr>
        <w:keepLines/>
        <w:spacing w:before="80" w:after="160"/>
      </w:pPr>
      <w:sdt>
        <w:sdtPr>
          <w:rPr>
            <w:rFonts w:ascii="MS Gothic" w:hAnsi="MS Gothic" w:cs="MS Gothic" w:eastAsia="MS Gothic" w:hint="eastAsia"/>
            <w:sz w:val="28"/>
            <w:szCs w:val="28"/>
          </w:rPr>
          <w:alias w:val="C4 result"/>
          <w:tag w:val="c4-result"/>
          <w:id w:val="12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12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125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12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2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2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2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126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12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2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2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126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126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126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32"/>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VAL-824</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77</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97.000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general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Gastrointestinal hemorrhage, unspecified</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77-year-old Female with Gastrointestinal hemorrhage, unspecified</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Fatigue, Nausea in the setting of Gastrointestinal hemorrhage, unspecified</w:t>
      </w:r>
    </w:p>
    <w:p>
      <w:pPr>
        <w:pStyle w:val="ListBullet"/>
        <w:spacing w:after="40" w:before="0"/>
      </w:pPr>
      <w:r>
        <w:rPr>
          <w:rFonts w:ascii="Calibri" w:hAnsi="Calibri" w:cs="Calibri"/>
          <w:b/>
          <w:sz w:val="22"/>
        </w:rPr>
        <w:t xml:space="preserve">Symptoms: </w:t>
      </w:r>
      <w:r>
        <w:rPr>
          <w:rFonts w:ascii="Calibri" w:hAnsi="Calibri" w:cs="Calibri"/>
          <w:b w:val="0"/>
          <w:sz w:val="22"/>
        </w:rPr>
        <w:t>Fatigue, Nausea</w:t>
      </w:r>
    </w:p>
    <w:p>
      <w:pPr>
        <w:pStyle w:val="ListBullet"/>
        <w:spacing w:after="40" w:before="0"/>
      </w:pPr>
      <w:r>
        <w:rPr>
          <w:rFonts w:ascii="Calibri" w:hAnsi="Calibri" w:cs="Calibri"/>
          <w:b/>
          <w:sz w:val="22"/>
        </w:rPr>
        <w:t xml:space="preserve">Symptom duration: </w:t>
      </w:r>
      <w:r>
        <w:rPr>
          <w:rFonts w:ascii="Calibri" w:hAnsi="Calibri" w:cs="Calibri"/>
          <w:b w:val="0"/>
          <w:sz w:val="22"/>
        </w:rPr>
        <w:t>one week</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 77-year-old Female is admitted with Gastrointestinal hemorrhage, unspecified. Presenting symptoms include Fatigue, Nausea, present for one week and improving after treatment. Home medications include lisinopril 10 MG Oral Tablet, atorvastatin 40 MG Oral Tablet, metformin hydrochloride 500 MG Oral Tablet. aspirin 81 MG Chewable Tablet was stopped during this admission. Admitted for gastrointestinal bleeding with intentional aspirin discontinuation. Aspirin used for primary prevention was stopped after the bleed. Gastrointestinal bleeding settled and hemoglobin was stable. Aspirin used for primary prevention was stopped.</w:t>
      </w:r>
    </w:p>
    <w:p>
      <w:pPr>
        <w:pStyle w:val="Heading3"/>
      </w:pPr>
      <w:r>
        <w:rPr>
          <w:rFonts w:ascii="Calibri" w:hAnsi="Calibri"/>
          <w:color w:val="1F3A5F"/>
        </w:rPr>
        <w:t>Admission note</w:t>
      </w:r>
    </w:p>
    <w:p>
      <w:pPr>
        <w:spacing w:after="120"/>
      </w:pPr>
      <w:r>
        <w:rPr>
          <w:rFonts w:ascii="Calibri" w:hAnsi="Calibri" w:cs="Calibri"/>
          <w:b w:val="0"/>
          <w:sz w:val="22"/>
        </w:rPr>
        <w:t>Admission note for a 77-year-old Female with Gastrointestinal hemorrhage, unspecified. Symptoms: Fatigue, Nausea for one week (improving after treatment). Medications continued from home: lisinopril 10 MG Oral Tablet, atorvastatin 40 MG Oral Tablet, metformin hydrochloride 500 MG Oral Tablet. aspirin 81 MG Chewable Tablet was stopped during this admission. Admitted for gastrointestinal bleeding with intentional aspirin discontinuation. Aspirin used for primary prevention was stopped after the bleed. Gastrointestinal bleeding settled and hemoglobin was stable. Aspirin used for primary prevention was stopped.</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Mixed hyperlipidemia, Essential (primary) hypertension, Type 2 diabetes mellitus without complications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Gastrointestinal hemorrhage, unspecified</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Gastrointestinal hemorrhage, unspecified</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Gastrointestinal bleeding settled and hemoglobin was stable. Aspirin used for primary prevention was stopped.</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147/87</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77</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7.8</w:t>
            </w:r>
          </w:p>
        </w:tc>
        <w:tc>
          <w:tcPr>
            <w:tcW w:type="dxa" w:w="2160"/>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97.000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130/74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75</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14</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9.3</w:t>
            </w:r>
          </w:p>
        </w:tc>
        <w:tc>
          <w:tcPr>
            <w:tcW w:type="dxa" w:w="2160"/>
          </w:tcPr>
          <w:p>
            <w:pPr>
              <w:spacing w:after="20" w:before="20"/>
            </w:pPr>
            <w:r>
              <w:rPr>
                <w:rFonts w:ascii="Calibri" w:hAnsi="Calibri" w:cs="Calibri"/>
                <w:b w:val="0"/>
                <w:sz w:val="20"/>
              </w:rPr>
              <w:t>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aspirin 81 MG Chewable Tablet</w:t>
            </w:r>
          </w:p>
        </w:tc>
        <w:tc>
          <w:tcPr>
            <w:tcW w:type="dxa" w:w="1224"/>
          </w:tcPr>
          <w:p>
            <w:pPr>
              <w:spacing w:after="20" w:before="20"/>
            </w:pPr>
            <w:r>
              <w:rPr>
                <w:rFonts w:ascii="Calibri" w:hAnsi="Calibri" w:cs="Calibri"/>
                <w:b w:val="0"/>
                <w:sz w:val="20"/>
              </w:rPr>
              <w:t>81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Status: held; Indication: antiplatelet therapy; not a treatment for the admission diagnosis; Held reason: Stopped during this admission.</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aspirin 81 MG Chewable Tablet</w:t>
            </w:r>
          </w:p>
        </w:tc>
        <w:tc>
          <w:tcPr>
            <w:tcW w:type="dxa" w:w="1224"/>
          </w:tcPr>
          <w:p>
            <w:pPr>
              <w:spacing w:after="20" w:before="20"/>
            </w:pPr>
            <w:r>
              <w:rPr>
                <w:rFonts w:ascii="Calibri" w:hAnsi="Calibri" w:cs="Calibri"/>
                <w:b w:val="0"/>
                <w:sz w:val="20"/>
              </w:rPr>
              <w:t>81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Status: held; Indication: antiplatelet therapy; not a treatment for the admission diagnosis; Held reason: Stopped during this admission.</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aspirin 81 MG Chewable Tablet</w:t>
            </w:r>
          </w:p>
        </w:tc>
        <w:tc>
          <w:tcPr>
            <w:tcW w:type="dxa" w:w="1224"/>
          </w:tcPr>
          <w:p>
            <w:pPr>
              <w:spacing w:after="20" w:before="20"/>
            </w:pPr>
            <w:r>
              <w:rPr>
                <w:rFonts w:ascii="Calibri" w:hAnsi="Calibri" w:cs="Calibri"/>
                <w:b w:val="0"/>
                <w:sz w:val="20"/>
              </w:rPr>
              <w:t>81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antiplatelet therapy; not a treatment for the admission diagnosis</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Primary care follow-up</w:t>
            </w:r>
          </w:p>
        </w:tc>
        <w:tc>
          <w:tcPr>
            <w:tcW w:type="dxa" w:w="3264"/>
          </w:tcPr>
          <w:p>
            <w:pPr>
              <w:spacing w:after="20" w:before="20"/>
            </w:pPr>
            <w:r>
              <w:rPr>
                <w:rFonts w:ascii="Calibri" w:hAnsi="Calibri" w:cs="Calibri"/>
                <w:b w:val="0"/>
                <w:sz w:val="20"/>
              </w:rPr>
              <w:t>10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aspirin 81 MG Chewable Tablet was stopped during this admission.</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gastroenterology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Gastroenterology recommendations were recorded.</w:t>
            </w:r>
          </w:p>
        </w:tc>
        <w:tc>
          <w:tcPr>
            <w:tcW w:type="dxa" w:w="2448"/>
          </w:tcPr>
          <w:p>
            <w:pPr>
              <w:spacing w:after="20" w:before="20"/>
            </w:pPr>
            <w:r>
              <w:rPr>
                <w:rFonts w:ascii="Calibri" w:hAnsi="Calibri" w:cs="Calibri"/>
                <w:b w:val="0"/>
                <w:sz w:val="20"/>
              </w:rPr>
              <w:t>Hold anticoagulation while hemoglobin remains stable, then reassess.</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Fatigue</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13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13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130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Error-bearing</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Family 1</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Medication inappropriately added or continued (f1_commission)</w:t>
            </w:r>
          </w:p>
        </w:tc>
      </w:tr>
      <w:tr>
        <w:trPr>
          <w:cantSplit/>
        </w:trPr>
        <w:tc>
          <w:tcPr>
            <w:tcW w:type="dxa" w:w="3744"/>
          </w:tcPr>
          <w:p>
            <w:pPr>
              <w:spacing w:after="20" w:before="20"/>
            </w:pPr>
            <w:r>
              <w:rPr>
                <w:rFonts w:ascii="Calibri" w:hAnsi="Calibri" w:cs="Calibri"/>
                <w:b w:val="0"/>
                <w:sz w:val="20"/>
              </w:rPr>
              <w:t>Intended assessment target</w:t>
            </w:r>
          </w:p>
        </w:tc>
        <w:tc>
          <w:tcPr>
            <w:tcW w:type="dxa" w:w="6048"/>
          </w:tcPr>
          <w:p>
            <w:pPr>
              <w:spacing w:after="20" w:before="20"/>
            </w:pPr>
            <w:r>
              <w:rPr>
                <w:rFonts w:ascii="Calibri" w:hAnsi="Calibri" w:cs="Calibri"/>
                <w:b w:val="0"/>
                <w:sz w:val="20"/>
              </w:rPr>
              <w:t>A medication was prescribed at discharge without a clinical indication or intended discharge role.</w:t>
            </w:r>
          </w:p>
        </w:tc>
      </w:tr>
      <w:tr>
        <w:trPr>
          <w:cantSplit/>
        </w:trPr>
        <w:tc>
          <w:tcPr>
            <w:tcW w:type="dxa" w:w="3744"/>
          </w:tcPr>
          <w:p>
            <w:pPr>
              <w:spacing w:after="20" w:before="20"/>
            </w:pPr>
            <w:r>
              <w:rPr>
                <w:rFonts w:ascii="Calibri" w:hAnsi="Calibri" w:cs="Calibri"/>
                <w:b w:val="0"/>
                <w:sz w:val="20"/>
              </w:rPr>
              <w:t>Medication involved</w:t>
            </w:r>
          </w:p>
        </w:tc>
        <w:tc>
          <w:tcPr>
            <w:tcW w:type="dxa" w:w="6048"/>
          </w:tcPr>
          <w:p>
            <w:pPr>
              <w:spacing w:after="20" w:before="20"/>
            </w:pPr>
            <w:r>
              <w:rPr>
                <w:rFonts w:ascii="Calibri" w:hAnsi="Calibri" w:cs="Calibri"/>
                <w:b w:val="0"/>
                <w:sz w:val="20"/>
              </w:rPr>
              <w:t>aspirin 81 MG Chewable Tablet</w:t>
            </w:r>
          </w:p>
        </w:tc>
      </w:tr>
      <w:tr>
        <w:trPr>
          <w:cantSplit/>
        </w:trPr>
        <w:tc>
          <w:tcPr>
            <w:tcW w:type="dxa" w:w="3744"/>
          </w:tcPr>
          <w:p>
            <w:pPr>
              <w:spacing w:after="20" w:before="20"/>
            </w:pPr>
            <w:r>
              <w:rPr>
                <w:rFonts w:ascii="Calibri" w:hAnsi="Calibri" w:cs="Calibri"/>
                <w:b w:val="0"/>
                <w:sz w:val="20"/>
              </w:rPr>
              <w:t>Clean expected state</w:t>
            </w:r>
          </w:p>
        </w:tc>
        <w:tc>
          <w:tcPr>
            <w:tcW w:type="dxa" w:w="6048"/>
          </w:tcPr>
          <w:p>
            <w:pPr>
              <w:spacing w:after="20" w:before="20"/>
            </w:pPr>
            <w:r>
              <w:rPr>
                <w:rFonts w:ascii="Calibri" w:hAnsi="Calibri" w:cs="Calibri"/>
                <w:b w:val="0"/>
                <w:sz w:val="20"/>
              </w:rPr>
              <w:t>Changed field: presence</w:t>
              <w:br/>
              <w:t>absent</w:t>
            </w:r>
          </w:p>
        </w:tc>
      </w:tr>
      <w:tr>
        <w:trPr>
          <w:cantSplit/>
        </w:trPr>
        <w:tc>
          <w:tcPr>
            <w:tcW w:type="dxa" w:w="3744"/>
          </w:tcPr>
          <w:p>
            <w:pPr>
              <w:spacing w:after="20" w:before="20"/>
            </w:pPr>
            <w:r>
              <w:rPr>
                <w:rFonts w:ascii="Calibri" w:hAnsi="Calibri" w:cs="Calibri"/>
                <w:b w:val="0"/>
                <w:sz w:val="20"/>
              </w:rPr>
              <w:t>What appears in this case</w:t>
            </w:r>
          </w:p>
        </w:tc>
        <w:tc>
          <w:tcPr>
            <w:tcW w:type="dxa" w:w="6048"/>
          </w:tcPr>
          <w:p>
            <w:pPr>
              <w:spacing w:after="20" w:before="20"/>
            </w:pPr>
            <w:r>
              <w:rPr>
                <w:rFonts w:ascii="Calibri" w:hAnsi="Calibri" w:cs="Calibri"/>
                <w:b w:val="0"/>
                <w:sz w:val="20"/>
              </w:rPr>
              <w:t>present</w:t>
              <w:br/>
              <w:t>Post-injection state: dose: 81 MG; drug: aspirin 81 MG Chewable Tablet; frequency: once daily; monitoring: none; quantity or days: none; route: oral; rxcui: 318272; status: discharge</w:t>
            </w:r>
          </w:p>
        </w:tc>
      </w:tr>
      <w:tr>
        <w:trPr>
          <w:cantSplit/>
        </w:trPr>
        <w:tc>
          <w:tcPr>
            <w:tcW w:type="dxa" w:w="3744"/>
          </w:tcPr>
          <w:p>
            <w:pPr>
              <w:spacing w:after="20" w:before="20"/>
            </w:pPr>
            <w:r>
              <w:rPr>
                <w:rFonts w:ascii="Calibri" w:hAnsi="Calibri" w:cs="Calibri"/>
                <w:b w:val="0"/>
                <w:sz w:val="20"/>
              </w:rPr>
              <w:t>Evidence available in the chart</w:t>
            </w:r>
          </w:p>
        </w:tc>
        <w:tc>
          <w:tcPr>
            <w:tcW w:type="dxa" w:w="6048"/>
          </w:tcPr>
          <w:p>
            <w:pPr>
              <w:spacing w:after="20" w:before="20"/>
            </w:pPr>
            <w:r>
              <w:rPr>
                <w:rFonts w:ascii="Calibri" w:hAnsi="Calibri" w:cs="Calibri"/>
                <w:b w:val="0"/>
                <w:sz w:val="20"/>
              </w:rPr>
              <w:t>Home medication was discontinued and should not appear at discharge.</w:t>
              <w:br/>
              <w:t>Evidence location: Home medications, discharge instructions, Discharge medications</w:t>
              <w:br/>
              <w:t>Detectability location: Discharge medications</w:t>
            </w:r>
          </w:p>
        </w:tc>
      </w:tr>
      <w:tr>
        <w:trPr>
          <w:cantSplit/>
        </w:trPr>
        <w:tc>
          <w:tcPr>
            <w:tcW w:type="dxa" w:w="3744"/>
          </w:tcPr>
          <w:p>
            <w:pPr>
              <w:spacing w:after="20" w:before="20"/>
            </w:pPr>
            <w:r>
              <w:rPr>
                <w:rFonts w:ascii="Calibri" w:hAnsi="Calibri" w:cs="Calibri"/>
                <w:b w:val="0"/>
                <w:sz w:val="20"/>
              </w:rPr>
              <w:t>Expected clinical action</w:t>
            </w:r>
          </w:p>
        </w:tc>
        <w:tc>
          <w:tcPr>
            <w:tcW w:type="dxa" w:w="6048"/>
          </w:tcPr>
          <w:p>
            <w:pPr>
              <w:spacing w:after="20" w:before="20"/>
            </w:pPr>
            <w:r>
              <w:rPr>
                <w:rFonts w:ascii="Calibri" w:hAnsi="Calibri" w:cs="Calibri"/>
                <w:b w:val="0"/>
                <w:sz w:val="20"/>
              </w:rPr>
              <w:t>Remove the unindicated medication from the discharge list.</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the clinical case actually contain the intended medication-reconciliation or transition-of-care problem described above, and does it match the intended category?</w:t>
      </w:r>
    </w:p>
    <w:p>
      <w:pPr>
        <w:keepLines/>
        <w:spacing w:before="80" w:after="160"/>
      </w:pPr>
      <w:sdt>
        <w:sdtPr>
          <w:rPr>
            <w:rFonts w:ascii="MS Gothic" w:hAnsi="MS Gothic" w:cs="MS Gothic" w:eastAsia="MS Gothic" w:hint="eastAsia"/>
            <w:sz w:val="28"/>
            <w:szCs w:val="28"/>
          </w:rPr>
          <w:alias w:val="C2 result"/>
          <w:tag w:val="c2-result"/>
          <w:id w:val="13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13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130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Could an internal-medicine resident identify and resolve the intended problem using only the clinical information provided in the patient-facing case?</w:t>
      </w:r>
    </w:p>
    <w:p>
      <w:pPr>
        <w:spacing w:after="120"/>
      </w:pPr>
      <w:r>
        <w:rPr>
          <w:rFonts w:ascii="Calibri" w:hAnsi="Calibri" w:cs="Calibri"/>
          <w:b w:val="0"/>
          <w:sz w:val="22"/>
        </w:rPr>
        <w:t>Consider whether the necessary evidence is present, whether key information is missing, whether the target is ambiguous, whether wording gives away the answer, and whether the expected clinical action can reasonably be determined.</w:t>
      </w:r>
    </w:p>
    <w:p>
      <w:pPr>
        <w:keepLines/>
        <w:spacing w:before="80" w:after="160"/>
      </w:pPr>
      <w:sdt>
        <w:sdtPr>
          <w:rPr>
            <w:rFonts w:ascii="MS Gothic" w:hAnsi="MS Gothic" w:cs="MS Gothic" w:eastAsia="MS Gothic" w:hint="eastAsia"/>
            <w:sz w:val="28"/>
            <w:szCs w:val="28"/>
          </w:rPr>
          <w:alias w:val="C3 result"/>
          <w:tag w:val="c3-result"/>
          <w:id w:val="13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13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130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Apart from the intended assessment problem, does the case contain another clinically meaningful medication-reconciliation or transition-of-care problem that a reasonable resident could interpret as an alternative target?</w:t>
      </w:r>
    </w:p>
    <w:p>
      <w:pPr>
        <w:keepLines/>
        <w:spacing w:before="80" w:after="160"/>
      </w:pPr>
      <w:sdt>
        <w:sdtPr>
          <w:rPr>
            <w:rFonts w:ascii="MS Gothic" w:hAnsi="MS Gothic" w:cs="MS Gothic" w:eastAsia="MS Gothic" w:hint="eastAsia"/>
            <w:sz w:val="28"/>
            <w:szCs w:val="28"/>
          </w:rPr>
          <w:alias w:val="C4 result"/>
          <w:tag w:val="c4-result"/>
          <w:id w:val="13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13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131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13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3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3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3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131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13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3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3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132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132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1322"/>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sectPr w:rsidR="00FC693F" w:rsidRPr="0006063C" w:rsidSect="00034616">
      <w:headerReference w:type="default" r:id="rId33"/>
      <w:pgSz w:w="12240" w:h="15840"/>
      <w:pgMar w:top="1224" w:right="1224" w:bottom="1080" w:left="1224"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s="Calibri"/>
        <w:b w:val="0"/>
        <w:color w:val="1F3A5F"/>
        <w:sz w:val="18"/>
      </w:rPr>
      <w:t xml:space="preserve">CliniProof Resident-Seed-Guided Case Validation    </w:t>
    </w:r>
    <w:r>
      <w:rPr>
        <w:rFonts w:ascii="Calibri" w:hAnsi="Calibri" w:cs="Calibri"/>
        <w:b w:val="0"/>
        <w:color w:val="1F3A5F"/>
        <w:sz w:val="18"/>
      </w:rPr>
      <w:fldChar w:fldCharType="begin"/>
    </w:r>
    <w:r>
      <w:rPr>
        <w:rFonts w:ascii="Calibri" w:hAnsi="Calibri" w:cs="Calibri"/>
        <w:b w:val="0"/>
        <w:color w:val="1F3A5F"/>
        <w:sz w:val="18"/>
      </w:rPr>
      <w:instrText xml:space="preserve"> PAGE </w:instrText>
    </w:r>
    <w:r>
      <w:rPr>
        <w:rFonts w:ascii="Calibri" w:hAnsi="Calibri" w:cs="Calibri"/>
        <w:b w:val="0"/>
        <w:color w:val="1F3A5F"/>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Resident-Seed-Guided Case Validation    VAL-801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Resident-Seed-Guided Case Validation    VAL-802</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Resident-Seed-Guided Case Validation    VAL-803</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Resident-Seed-Guided Case Validation    VAL-804</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Resident-Seed-Guided Case Validation    VAL-805</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Resident-Seed-Guided Case Validation    VAL-806</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Resident-Seed-Guided Case Validation    VAL-807</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Resident-Seed-Guided Case Validation    VAL-808</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Resident-Seed-Guided Case Validation    VAL-809</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Resident-Seed-Guided Case Validation    VAL-810</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Resident-Seed-Guided Case Validation    VAL-811</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Resident-Seed-Guided Case Validation    VAL-812</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Resident-Seed-Guided Case Validation    VAL-813</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Resident-Seed-Guided Case Validation    VAL-814</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Resident-Seed-Guided Case Validation    VAL-815</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Resident-Seed-Guided Case Validation    VAL-816</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Resident-Seed-Guided Case Validation    VAL-817</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Resident-Seed-Guided Case Validation    VAL-818</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Resident-Seed-Guided Case Validation    VAL-819</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Resident-Seed-Guided Case Validation    VAL-820</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Resident-Seed-Guided Case Validation    VAL-821</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Resident-Seed-Guided Case Validation    VAL-822</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Resident-Seed-Guided Case Validation    VAL-823</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Resident-Seed-Guided Case Validation    VAL-824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6"/>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59"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1F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header" Target="header7.xml"/><Relationship Id="rId17" Type="http://schemas.openxmlformats.org/officeDocument/2006/relationships/header" Target="header8.xml"/><Relationship Id="rId18" Type="http://schemas.openxmlformats.org/officeDocument/2006/relationships/header" Target="header9.xml"/><Relationship Id="rId19" Type="http://schemas.openxmlformats.org/officeDocument/2006/relationships/header" Target="header10.xml"/><Relationship Id="rId20" Type="http://schemas.openxmlformats.org/officeDocument/2006/relationships/header" Target="header11.xml"/><Relationship Id="rId21" Type="http://schemas.openxmlformats.org/officeDocument/2006/relationships/header" Target="header12.xml"/><Relationship Id="rId22" Type="http://schemas.openxmlformats.org/officeDocument/2006/relationships/header" Target="header13.xml"/><Relationship Id="rId23" Type="http://schemas.openxmlformats.org/officeDocument/2006/relationships/header" Target="header14.xml"/><Relationship Id="rId24" Type="http://schemas.openxmlformats.org/officeDocument/2006/relationships/header" Target="header15.xml"/><Relationship Id="rId25" Type="http://schemas.openxmlformats.org/officeDocument/2006/relationships/header" Target="header16.xml"/><Relationship Id="rId26" Type="http://schemas.openxmlformats.org/officeDocument/2006/relationships/header" Target="header17.xml"/><Relationship Id="rId27" Type="http://schemas.openxmlformats.org/officeDocument/2006/relationships/header" Target="header18.xml"/><Relationship Id="rId28" Type="http://schemas.openxmlformats.org/officeDocument/2006/relationships/header" Target="header19.xml"/><Relationship Id="rId29" Type="http://schemas.openxmlformats.org/officeDocument/2006/relationships/header" Target="header20.xml"/><Relationship Id="rId30" Type="http://schemas.openxmlformats.org/officeDocument/2006/relationships/header" Target="header21.xml"/><Relationship Id="rId31" Type="http://schemas.openxmlformats.org/officeDocument/2006/relationships/header" Target="header22.xml"/><Relationship Id="rId32" Type="http://schemas.openxmlformats.org/officeDocument/2006/relationships/header" Target="header23.xml"/><Relationship Id="rId33" Type="http://schemas.openxmlformats.org/officeDocument/2006/relationships/header" Target="header2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