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revised overlap cases</w:t>
      </w:r>
    </w:p>
    <w:p>
      <w:pPr>
        <w:spacing w:after="120"/>
      </w:pPr>
      <w:r>
        <w:rPr>
          <w:rFonts w:ascii="Calibri" w:hAnsi="Calibri" w:cs="Calibri"/>
          <w:b w:val="0"/>
          <w:sz w:val="22"/>
        </w:rPr>
        <w:t>Cohort: the four cases revised directly from dual-clinician feedback.</w:t>
      </w:r>
    </w:p>
    <w:p>
      <w:pPr>
        <w:spacing w:after="120"/>
      </w:pPr>
      <w:r>
        <w:rPr>
          <w:rFonts w:ascii="Calibri" w:hAnsi="Calibri" w:cs="Calibri"/>
          <w:b w:val="0"/>
          <w:sz w:val="22"/>
        </w:rPr>
        <w:t>Cases: VAL-801, VAL-805, VAL-809, and VAL-813.</w:t>
      </w:r>
    </w:p>
    <w:p>
      <w:pPr>
        <w:spacing w:after="120"/>
      </w:pPr>
      <w:r>
        <w:rPr>
          <w:rFonts w:ascii="Calibri" w:hAnsi="Calibri" w:cs="Calibri"/>
          <w:b w:val="0"/>
          <w:sz w:val="22"/>
        </w:rPr>
        <w:t>Status: pending clinician review. These cases are not clinically validated.</w:t>
      </w:r>
    </w:p>
    <w:p>
      <w:pPr>
        <w:pStyle w:val="Heading1"/>
      </w:pPr>
      <w:r>
        <w:rPr>
          <w:rFonts w:ascii="Calibri" w:hAnsi="Calibri"/>
          <w:color w:val="1F3A5F"/>
        </w:rPr>
        <w:t>Revision source</w:t>
      </w:r>
    </w:p>
    <w:p>
      <w:pPr>
        <w:spacing w:after="120"/>
      </w:pPr>
      <w:r>
        <w:rPr>
          <w:rFonts w:ascii="Calibri" w:hAnsi="Calibri" w:cs="Calibri"/>
          <w:b w:val="0"/>
          <w:sz w:val="22"/>
        </w:rPr>
        <w:t>VAL-801: dual-review</w:t>
      </w:r>
    </w:p>
    <w:p>
      <w:pPr>
        <w:spacing w:after="120"/>
      </w:pPr>
      <w:r>
        <w:rPr>
          <w:rFonts w:ascii="Calibri" w:hAnsi="Calibri" w:cs="Calibri"/>
          <w:b w:val="0"/>
          <w:sz w:val="22"/>
        </w:rPr>
        <w:t>VAL-805: dual-review</w:t>
      </w:r>
    </w:p>
    <w:p>
      <w:pPr>
        <w:spacing w:after="120"/>
      </w:pPr>
      <w:r>
        <w:rPr>
          <w:rFonts w:ascii="Calibri" w:hAnsi="Calibri" w:cs="Calibri"/>
          <w:b w:val="0"/>
          <w:sz w:val="22"/>
        </w:rPr>
        <w:t>VAL-809: dual-review</w:t>
      </w:r>
    </w:p>
    <w:p>
      <w:pPr>
        <w:spacing w:after="120"/>
      </w:pPr>
      <w:r>
        <w:rPr>
          <w:rFonts w:ascii="Calibri" w:hAnsi="Calibri" w:cs="Calibri"/>
          <w:b w:val="0"/>
          <w:sz w:val="22"/>
        </w:rPr>
        <w:t>VAL-813: dual-review</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spacing w:after="120"/>
      </w:pPr>
      <w:r>
        <w:rPr>
          <w:rFonts w:ascii="Calibri" w:hAnsi="Calibri" w:cs="Calibri"/>
          <w:b w:val="0"/>
          <w:sz w:val="22"/>
        </w:rPr>
        <w:t>Every case in this book is a clean case. C2 uses the clean-case question. There is no planted medication-reconciliation discrepancy.</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CliniProof_Revised_Overlap4_[ReviewerCode]_[YYYY-MM-DD].docx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VAL-801, VAL-805, VAL-809, VAL-813</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man with mild major neurocognitive disorder and acute delirium during a urinary tract infection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returned to the reported baseline</w:t>
      </w:r>
    </w:p>
    <w:p>
      <w:pPr>
        <w:pStyle w:val="Heading3"/>
      </w:pPr>
      <w:r>
        <w:rPr>
          <w:rFonts w:ascii="Calibri" w:hAnsi="Calibri"/>
          <w:color w:val="1F3A5F"/>
        </w:rPr>
        <w:t>History of present illness</w:t>
      </w:r>
    </w:p>
    <w:p>
      <w:pPr>
        <w:spacing w:after="120"/>
      </w:pPr>
      <w:r>
        <w:rPr>
          <w:rFonts w:ascii="Calibri" w:hAnsi="Calibri" w:cs="Calibri"/>
          <w:b w:val="0"/>
          <w:sz w:val="22"/>
        </w:rPr>
        <w:t>A 75-year-old man with mild major neurocognitive disorder is admitted because a family caregiver reports two days of new confusion. At baseline he recognizes family and converses at home. On arrival he was disoriented, and that change is the delirium. Oral intake had been poor. He had been taking ibuprofen for knee pain. After his attention improved, a collateral list from the caregiver and the pharmacy was verified: lisinopril 10 mg daily, atorvastatin 40 mg daily, and metformin 500 mg twice daily. Ibuprofen 400 mg orally every 8 hours as needed was on that list. Fever and a urinalysis with leukocyte esterase led to a urine culture that grew Escherichia coli. He completed seven days of ceftriaxone 1 g intravenously once daily before discharge and is not taking an antibiotic at discharge. Outpatient creatinine was 1.0 mg/dL. Admission creatinine was 1.5 mg/dL. Ibuprofen was stopped and was not restarted. Lisinopril and metformin were held while creatinine was above baseline and intake was poor, then restarted when creatinine returned to 1.0 mg/dL and he was eating. Atorvastatin was continued. Confusion returned to the caregiver's reported baseline.</w:t>
      </w:r>
    </w:p>
    <w:p>
      <w:pPr>
        <w:pStyle w:val="Heading3"/>
      </w:pPr>
      <w:r>
        <w:rPr>
          <w:rFonts w:ascii="Calibri" w:hAnsi="Calibri"/>
          <w:color w:val="1F3A5F"/>
        </w:rPr>
        <w:t>Admission note</w:t>
      </w:r>
    </w:p>
    <w:p>
      <w:pPr>
        <w:spacing w:after="120"/>
      </w:pPr>
      <w:r>
        <w:rPr>
          <w:rFonts w:ascii="Calibri" w:hAnsi="Calibri" w:cs="Calibri"/>
          <w:b w:val="0"/>
          <w:sz w:val="22"/>
        </w:rPr>
        <w:t>Admission note. Acute confusion is a change from a known mild major neurocognitive disorder. Temperature 38.2 C. Urinalysis shows leukocyte esterase. Outpatient creatinine 1.0 mg/dL; admission creatinine 1.5 mg/dL. Ibuprofen, lisinopril, and metformin are held. Atorvastatin is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baseline cognitive function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resolved</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Acute delirium on mild major neurocognitive disorder</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Urinary tract infection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Lives at home with a family caregiver who can describe his cognitive baseline</w:t>
      </w:r>
    </w:p>
    <w:p>
      <w:pPr>
        <w:pStyle w:val="ListBullet"/>
        <w:spacing w:after="40" w:before="0"/>
      </w:pPr>
      <w:r>
        <w:rPr>
          <w:rFonts w:ascii="Calibri" w:hAnsi="Calibri" w:cs="Calibri"/>
          <w:b/>
          <w:sz w:val="22"/>
        </w:rPr>
        <w:t xml:space="preserve">Social context: </w:t>
      </w:r>
      <w:r>
        <w:rPr>
          <w:rFonts w:ascii="Calibri" w:hAnsi="Calibri" w:cs="Calibri"/>
          <w:b w:val="0"/>
          <w:sz w:val="22"/>
        </w:rPr>
        <w:t>Lives at home. A family caregiver reports his baseline: he recognizes family and holds a simple conversation.</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Urine culture grew Escherichia coli. Ceftriaxone 1 g intravenously once daily was given for seven days and the course finished before discharge. Fever resolved and attention returned to the caregiver's reported baseline. Creatinine returned to 1.0 mg/dL. Lisinopril 10 mg daily and metformin 500 mg twice daily were restarted. Ibuprofen was not restarted. The collateral medication list was verified with the caregiver and the pharmacy. No antibiotic is planned after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 Nitrite positive. Bacteria present.</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daily doses were completed before discharge. Not continued after discharge.</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discontinued; Indication: symptomatic analgesia; not a treatment for the admission diagnosis; Held reason: Stopped on admission because creatinine was above the outpatient baseline while he was taking an NSAID and eating poorly. Not restarted.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admission while creatinine was 1.5 mg/dL and intake was poor. Restarted after creatinine returned to 1.0 mg/dL and he was eating.</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Note: Held on admission while creatinine was 1.5 mg/dL and intake was poor. Restarted after creatinine returned to 1.0 mg/dL and he was eating.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He could not give a medication history while delirious. A caregiver and pharmacy list was verified after his attention improved. Ibuprofen was confirmed and stopped. No unverified name was turned into a discharge medicine.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including a creatinine check after the ACE inhibitor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on a known mild major neurocognitive disorder. Attention has returned to the caregiver's reported baseline.</w:t>
            </w:r>
          </w:p>
        </w:tc>
        <w:tc>
          <w:tcPr>
            <w:tcW w:type="dxa" w:w="2448"/>
          </w:tcPr>
          <w:p>
            <w:pPr>
              <w:spacing w:after="20" w:before="20"/>
            </w:pPr>
            <w:r>
              <w:rPr>
                <w:rFonts w:ascii="Calibri" w:hAnsi="Calibri" w:cs="Calibri"/>
                <w:b w:val="0"/>
                <w:sz w:val="20"/>
              </w:rPr>
              <w:t>Use the verified collateral medication list. Do not restart ibuprofen. Lisinopril and metformin may be restarted now that creatinine is at the outpatient baseline and he is eating.</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Susceptible to ceftriaxone.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while creatinine was 1.5 mg/dL. Restarted after creatinine returned to the outpatient baseline of 1.0 mg/dL. The geriatrics note says it may be restarted.</w:t>
            </w:r>
          </w:p>
        </w:tc>
      </w:tr>
      <w:tr>
        <w:trPr>
          <w:cantSplit/>
        </w:trPr>
        <w:tc>
          <w:tcPr>
            <w:tcW w:type="dxa" w:w="1872"/>
          </w:tcPr>
          <w:p>
            <w:pPr>
              <w:spacing w:after="20" w:before="20"/>
            </w:pPr>
            <w:r>
              <w:rPr>
                <w:rFonts w:ascii="Calibri" w:hAnsi="Calibri" w:cs="Calibri"/>
                <w:b w:val="0"/>
                <w:sz w:val="20"/>
              </w:rPr>
              <w:t>metformin hydrochloride 500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500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Type 2 diabetes mellitus without complications</w:t>
            </w:r>
          </w:p>
        </w:tc>
        <w:tc>
          <w:tcPr>
            <w:tcW w:type="dxa" w:w="1728"/>
          </w:tcPr>
          <w:p>
            <w:pPr>
              <w:spacing w:after="20" w:before="20"/>
            </w:pPr>
            <w:r>
              <w:rPr>
                <w:rFonts w:ascii="Calibri" w:hAnsi="Calibri" w:cs="Calibri"/>
                <w:b w:val="0"/>
                <w:sz w:val="20"/>
              </w:rPr>
              <w:t>Held while intake was poor and creatinine was above baseline. Restarted after he was eating and creatinine was 1.0 mg/dL.</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Continued through the admission on the verified collateral list. No new contraindication is described.</w:t>
            </w:r>
          </w:p>
        </w:tc>
      </w:tr>
      <w:tr>
        <w:trPr>
          <w:cantSplit/>
        </w:trPr>
        <w:tc>
          <w:tcPr>
            <w:tcW w:type="dxa" w:w="1872"/>
          </w:tcPr>
          <w:p>
            <w:pPr>
              <w:spacing w:after="20" w:before="20"/>
            </w:pPr>
            <w:r>
              <w:rPr>
                <w:rFonts w:ascii="Calibri" w:hAnsi="Calibri" w:cs="Calibri"/>
                <w:b w:val="0"/>
                <w:sz w:val="20"/>
              </w:rPr>
              <w:t>ibuprofen 400 MG Oral Tablet</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8 hours as needed</w:t>
            </w:r>
          </w:p>
        </w:tc>
        <w:tc>
          <w:tcPr>
            <w:tcW w:type="dxa" w:w="1728"/>
          </w:tcPr>
          <w:p>
            <w:pPr>
              <w:spacing w:after="20" w:before="20"/>
            </w:pPr>
            <w:r>
              <w:rPr>
                <w:rFonts w:ascii="Calibri" w:hAnsi="Calibri" w:cs="Calibri"/>
                <w:b w:val="0"/>
                <w:sz w:val="20"/>
              </w:rPr>
              <w:t>Prior symptomatic analgesia</w:t>
            </w:r>
          </w:p>
        </w:tc>
        <w:tc>
          <w:tcPr>
            <w:tcW w:type="dxa" w:w="1728"/>
          </w:tcPr>
          <w:p>
            <w:pPr>
              <w:spacing w:after="20" w:before="20"/>
            </w:pPr>
            <w:r>
              <w:rPr>
                <w:rFonts w:ascii="Calibri" w:hAnsi="Calibri" w:cs="Calibri"/>
                <w:b w:val="0"/>
                <w:sz w:val="20"/>
              </w:rPr>
              <w:t>Stopped because creatinine rose above the outpatient baseline during NSAID use and poor intake. The chart says it was not restarted.</w:t>
            </w:r>
          </w:p>
        </w:tc>
      </w:tr>
      <w:tr>
        <w:trPr>
          <w:cantSplit/>
        </w:trPr>
        <w:tc>
          <w:tcPr>
            <w:tcW w:type="dxa" w:w="1872"/>
          </w:tcPr>
          <w:p>
            <w:pPr>
              <w:spacing w:after="20" w:before="20"/>
            </w:pPr>
            <w:r>
              <w:rPr>
                <w:rFonts w:ascii="Calibri" w:hAnsi="Calibri" w:cs="Calibri"/>
                <w:b w:val="0"/>
                <w:sz w:val="20"/>
              </w:rPr>
              <w:t>ceftriaxone 1000 MG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Urinary tract infection</w:t>
            </w:r>
          </w:p>
        </w:tc>
        <w:tc>
          <w:tcPr>
            <w:tcW w:type="dxa" w:w="1728"/>
          </w:tcPr>
          <w:p>
            <w:pPr>
              <w:spacing w:after="20" w:before="20"/>
            </w:pPr>
            <w:r>
              <w:rPr>
                <w:rFonts w:ascii="Calibri" w:hAnsi="Calibri" w:cs="Calibri"/>
                <w:b w:val="0"/>
                <w:sz w:val="20"/>
              </w:rPr>
              <w:t>Seven daily doses were completed before discharge. The chart says no antibiotic is planned after discharge.</w:t>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serum creatinine</w:t>
            </w:r>
          </w:p>
        </w:tc>
        <w:tc>
          <w:tcPr>
            <w:tcW w:type="dxa" w:w="2592"/>
          </w:tcPr>
          <w:p>
            <w:pPr>
              <w:spacing w:after="20" w:before="20"/>
            </w:pPr>
            <w:r>
              <w:rPr>
                <w:rFonts w:ascii="Calibri" w:hAnsi="Calibri" w:cs="Calibri"/>
                <w:b w:val="0"/>
                <w:sz w:val="20"/>
              </w:rPr>
              <w:t>at the primary-care visit in 7 days</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after ACE-inhibitor restart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Primary care follow-up, including a creatinine check after the ACE inhibitor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Matched counterpart: G2-001</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woman with acute heart-failure decompensation after missed diuretic doses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improved after intravenous diuresis</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known systolic heart failure is admitted with one week of worsening dyspnea, orthopnea, and edema. She ran out of furosemide and missed four days of her 40 mg oral daily dose. She has no chest pain. Home medicines are furosemide 40 mg oral once daily, metoprolol succinate 25 mg oral once daily, and atorvastatin 40 mg oral once daily. She is not taking an ACE inhibitor, ARB, or ARNI. Admission weight is 84 kg. Her recorded dry weight is 78 kg. A chest radiograph shows pulmonary edema. Electrocardiogram shows sinus rhythm without ischemic ST-segment change. Troponin I was 18 ng/L and 16 ng/L six hours later, without a rise. Echocardiography shows a left ventricular ejection fraction of 30 percent and no new severe valvular lesion. Furosemide 40 mg was given intravenously twice daily on hospital days 1 through 3, which is not the home oral regimen. Weight fell to 81 kg and then to 78 kg. Intake and output were net negative on each of those three days. Creatinine fell from 1.7 mg/dL to 0.9 mg/dL. Potassium remained 4.1 to 4.7 mmol/L. Oxygen by nasal cannula was weaned to room air. At discharge she is at dry weight, warm, and breathing room air.</w:t>
      </w:r>
    </w:p>
    <w:p>
      <w:pPr>
        <w:pStyle w:val="Heading3"/>
      </w:pPr>
      <w:r>
        <w:rPr>
          <w:rFonts w:ascii="Calibri" w:hAnsi="Calibri"/>
          <w:color w:val="1F3A5F"/>
        </w:rPr>
        <w:t>Admission note</w:t>
      </w:r>
    </w:p>
    <w:p>
      <w:pPr>
        <w:spacing w:after="120"/>
      </w:pPr>
      <w:r>
        <w:rPr>
          <w:rFonts w:ascii="Calibri" w:hAnsi="Calibri" w:cs="Calibri"/>
          <w:b w:val="0"/>
          <w:sz w:val="22"/>
        </w:rPr>
        <w:t>Admission note. Congestion after four missed days of furosemide 40 mg oral daily. No chest pain. Weight 84 kg, dry weight 78 kg, oxygen saturation 92 percent on 2 L/min nasal cannula.</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Hospital days 1 through 3: furosemide 40 mg intravenously twice daily. Net negative intake and output each day. Weight 84 kg, then 81 kg, then 78 kg at the recorded dry weight. Troponin did not rise. She is on room air.</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1</w:t>
            </w:r>
          </w:p>
        </w:tc>
        <w:tc>
          <w:tcPr>
            <w:tcW w:type="dxa" w:w="2448"/>
          </w:tcPr>
          <w:p>
            <w:pPr>
              <w:spacing w:after="20" w:before="20"/>
            </w:pPr>
            <w:r>
              <w:rPr>
                <w:rFonts w:ascii="Calibri" w:hAnsi="Calibri" w:cs="Calibri"/>
                <w:b w:val="0"/>
                <w:sz w:val="20"/>
              </w:rPr>
              <w:t>1100</w:t>
            </w:r>
          </w:p>
        </w:tc>
        <w:tc>
          <w:tcPr>
            <w:tcW w:type="dxa" w:w="2448"/>
          </w:tcPr>
          <w:p>
            <w:pPr>
              <w:spacing w:after="20" w:before="20"/>
            </w:pPr>
            <w:r>
              <w:rPr>
                <w:rFonts w:ascii="Calibri" w:hAnsi="Calibri" w:cs="Calibri"/>
                <w:b w:val="0"/>
                <w:sz w:val="20"/>
              </w:rPr>
              <w:t>2900</w:t>
            </w:r>
          </w:p>
        </w:tc>
        <w:tc>
          <w:tcPr>
            <w:tcW w:type="dxa" w:w="2448"/>
          </w:tcPr>
          <w:p>
            <w:pPr>
              <w:spacing w:after="20" w:before="20"/>
            </w:pPr>
            <w:r>
              <w:rPr>
                <w:rFonts w:ascii="Calibri" w:hAnsi="Calibri" w:cs="Calibri"/>
                <w:b w:val="0"/>
                <w:sz w:val="20"/>
              </w:rPr>
              <w:t>-1800</w:t>
            </w:r>
          </w:p>
        </w:tc>
      </w:tr>
      <w:tr>
        <w:trPr>
          <w:cantSplit/>
        </w:trPr>
        <w:tc>
          <w:tcPr>
            <w:tcW w:type="dxa" w:w="2448"/>
          </w:tcPr>
          <w:p>
            <w:pPr>
              <w:spacing w:after="20" w:before="20"/>
            </w:pPr>
            <w:r>
              <w:rPr>
                <w:rFonts w:ascii="Calibri" w:hAnsi="Calibri" w:cs="Calibri"/>
                <w:b w:val="0"/>
                <w:sz w:val="20"/>
              </w:rPr>
              <w:t>hospital day 2</w:t>
            </w:r>
          </w:p>
        </w:tc>
        <w:tc>
          <w:tcPr>
            <w:tcW w:type="dxa" w:w="2448"/>
          </w:tcPr>
          <w:p>
            <w:pPr>
              <w:spacing w:after="20" w:before="20"/>
            </w:pPr>
            <w:r>
              <w:rPr>
                <w:rFonts w:ascii="Calibri" w:hAnsi="Calibri" w:cs="Calibri"/>
                <w:b w:val="0"/>
                <w:sz w:val="20"/>
              </w:rPr>
              <w:t>1300</w:t>
            </w:r>
          </w:p>
        </w:tc>
        <w:tc>
          <w:tcPr>
            <w:tcW w:type="dxa" w:w="2448"/>
          </w:tcPr>
          <w:p>
            <w:pPr>
              <w:spacing w:after="20" w:before="20"/>
            </w:pPr>
            <w:r>
              <w:rPr>
                <w:rFonts w:ascii="Calibri" w:hAnsi="Calibri" w:cs="Calibri"/>
                <w:b w:val="0"/>
                <w:sz w:val="20"/>
              </w:rPr>
              <w:t>2500</w:t>
            </w:r>
          </w:p>
        </w:tc>
        <w:tc>
          <w:tcPr>
            <w:tcW w:type="dxa" w:w="2448"/>
          </w:tcPr>
          <w:p>
            <w:pPr>
              <w:spacing w:after="20" w:before="20"/>
            </w:pPr>
            <w:r>
              <w:rPr>
                <w:rFonts w:ascii="Calibri" w:hAnsi="Calibri" w:cs="Calibri"/>
                <w:b w:val="0"/>
                <w:sz w:val="20"/>
              </w:rPr>
              <w:t>-1200</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1500</w:t>
            </w:r>
          </w:p>
        </w:tc>
        <w:tc>
          <w:tcPr>
            <w:tcW w:type="dxa" w:w="2448"/>
          </w:tcPr>
          <w:p>
            <w:pPr>
              <w:spacing w:after="20" w:before="20"/>
            </w:pPr>
            <w:r>
              <w:rPr>
                <w:rFonts w:ascii="Calibri" w:hAnsi="Calibri" w:cs="Calibri"/>
                <w:b w:val="0"/>
                <w:sz w:val="20"/>
              </w:rPr>
              <w:t>2000</w:t>
            </w:r>
          </w:p>
        </w:tc>
        <w:tc>
          <w:tcPr>
            <w:tcW w:type="dxa" w:w="2448"/>
          </w:tcPr>
          <w:p>
            <w:pPr>
              <w:spacing w:after="20" w:before="20"/>
            </w:pPr>
            <w:r>
              <w:rPr>
                <w:rFonts w:ascii="Calibri" w:hAnsi="Calibri" w:cs="Calibri"/>
                <w:b w:val="0"/>
                <w:sz w:val="20"/>
              </w:rPr>
              <w:t>-500</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18.0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Hospital days 1 through 3 only. Stopped once weight reached the 78 kg dry weight. This is not the home oral dose.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She missed four days of furosemide because the supply ran out. The other home medicines were continued. She has no ACE inhibitor, ARB, or ARNI at home.</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 with a plan to obtain furosemide so doses are not missed</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followed four missed days of oral furosemide. Ischemia is not supported by the history, electrocardiogram, or troponin. Ejection fraction is 30 percent. Dry weight of 78 kg was reached with intravenous furosemide.</w:t>
            </w:r>
          </w:p>
        </w:tc>
        <w:tc>
          <w:tcPr>
            <w:tcW w:type="dxa" w:w="2448"/>
          </w:tcPr>
          <w:p>
            <w:pPr>
              <w:spacing w:after="20" w:before="20"/>
            </w:pPr>
            <w:r>
              <w:rPr>
                <w:rFonts w:ascii="Calibri" w:hAnsi="Calibri" w:cs="Calibri"/>
                <w:b w:val="0"/>
                <w:sz w:val="20"/>
              </w:rPr>
              <w:t>Resume furosemide 40 mg orally once daily. The missed doses explain the accumulation, and the intravenous course has been stopped at dry weight. Start enalapril 5 mg orally twice daily for systolic heart failure. Creatinine is 0.9 mg/dL, potassium is 4.3 mmol/L, and systolic blood pressure is 110 mm Hg. Continue metoprolol succinate 25 mg daily and atorvastatin 40 mg daily. The ACE inhibitor has not yet been given.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furosemide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The accumulation followed four missed doses. Intravenous diuresis has stopped at the 78 kg dry weight. Cardiology says to resume 40 mg orally once daily, not to start a higher maintenance dose.</w:t>
            </w:r>
          </w:p>
        </w:tc>
      </w:tr>
      <w:tr>
        <w:trPr>
          <w:cantSplit/>
        </w:trPr>
        <w:tc>
          <w:tcPr>
            <w:tcW w:type="dxa" w:w="1872"/>
          </w:tcPr>
          <w:p>
            <w:pPr>
              <w:spacing w:after="20" w:before="20"/>
            </w:pPr>
            <w:r>
              <w:rPr>
                <w:rFonts w:ascii="Calibri" w:hAnsi="Calibri" w:cs="Calibri"/>
                <w:b w:val="0"/>
                <w:sz w:val="20"/>
              </w:rPr>
              <w:t>enalapril 5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Systolic heart failure with ejection fraction 30 percent</w:t>
            </w:r>
          </w:p>
        </w:tc>
        <w:tc>
          <w:tcPr>
            <w:tcW w:type="dxa" w:w="1728"/>
          </w:tcPr>
          <w:p>
            <w:pPr>
              <w:spacing w:after="20" w:before="20"/>
            </w:pPr>
            <w:r>
              <w:rPr>
                <w:rFonts w:ascii="Calibri" w:hAnsi="Calibri" w:cs="Calibri"/>
                <w:b w:val="0"/>
                <w:sz w:val="20"/>
              </w:rPr>
              <w:t>There is no ACE inhibitor, ARB, or ARNI on the home list. Cardiology recommends starting enalapril 5 mg orally twice daily. It has not been given yet. Creatinine is 0.9 mg/dL, potassium is 4.3 mmol/L, and systolic blood pressure is 110 mm Hg.</w:t>
            </w:r>
          </w:p>
        </w:tc>
      </w:tr>
      <w:tr>
        <w:trPr>
          <w:cantSplit/>
        </w:trPr>
        <w:tc>
          <w:tcPr>
            <w:tcW w:type="dxa" w:w="1872"/>
          </w:tcPr>
          <w:p>
            <w:pPr>
              <w:spacing w:after="20" w:before="20"/>
            </w:pPr>
            <w:r>
              <w:rPr>
                <w:rFonts w:ascii="Calibri" w:hAnsi="Calibri" w:cs="Calibri"/>
                <w:b w:val="0"/>
                <w:sz w:val="20"/>
              </w:rPr>
              <w:t>24 HR metoprolol succinate 25 MG Extended Release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Systolic heart failure</w:t>
            </w:r>
          </w:p>
        </w:tc>
        <w:tc>
          <w:tcPr>
            <w:tcW w:type="dxa" w:w="1728"/>
          </w:tcPr>
          <w:p>
            <w:pPr>
              <w:spacing w:after="20" w:before="20"/>
            </w:pPr>
            <w:r>
              <w:rPr>
                <w:rFonts w:ascii="Calibri" w:hAnsi="Calibri" w:cs="Calibri"/>
                <w:b w:val="0"/>
                <w:sz w:val="20"/>
              </w:rPr>
              <w:t>Continued through the admission. Heart rate at discharge is 69 beats per minute. Cardiology says to continue it.</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and cardiology says to continue it.</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furosemide 40 MG Oral Tablet</w:t>
            </w:r>
          </w:p>
        </w:tc>
        <w:tc>
          <w:tcPr>
            <w:tcW w:type="dxa" w:w="3312"/>
          </w:tcPr>
          <w:p>
            <w:pPr>
              <w:spacing w:after="20" w:before="20"/>
            </w:pPr>
            <w:r>
              <w:rPr>
                <w:rFonts w:ascii="Calibri" w:hAnsi="Calibri" w:cs="Calibri"/>
                <w:b w:val="0"/>
                <w:sz w:val="20"/>
              </w:rPr>
              <w:t>Obtain a supply so doses are not missed. Recheck weight and creatinine at the heart-failure visit.</w:t>
            </w:r>
          </w:p>
        </w:tc>
        <w:tc>
          <w:tcPr>
            <w:tcW w:type="dxa" w:w="3312"/>
          </w:tcPr>
          <w:p>
            <w:pPr>
              <w:spacing w:after="20" w:before="20"/>
            </w:pPr>
            <w:r>
              <w:rPr>
                <w:rFonts w:ascii="Calibri" w:hAnsi="Calibri" w:cs="Calibri"/>
                <w:b w:val="0"/>
                <w:sz w:val="20"/>
              </w:rPr>
            </w:r>
          </w:p>
        </w:tc>
      </w:tr>
      <w:tr>
        <w:trPr>
          <w:cantSplit/>
        </w:trPr>
        <w:tc>
          <w:tcPr>
            <w:tcW w:type="dxa" w:w="3168"/>
          </w:tcPr>
          <w:p>
            <w:pPr>
              <w:spacing w:after="20" w:before="20"/>
            </w:pPr>
            <w:r>
              <w:rPr>
                <w:rFonts w:ascii="Calibri" w:hAnsi="Calibri" w:cs="Calibri"/>
                <w:b w:val="0"/>
                <w:sz w:val="20"/>
              </w:rPr>
              <w:t>enalapril 5 MG Oral Tablet</w:t>
            </w:r>
          </w:p>
        </w:tc>
        <w:tc>
          <w:tcPr>
            <w:tcW w:type="dxa" w:w="3312"/>
          </w:tcPr>
          <w:p>
            <w:pPr>
              <w:spacing w:after="20" w:before="20"/>
            </w:pPr>
            <w:r>
              <w:rPr>
                <w:rFonts w:ascii="Calibri" w:hAnsi="Calibri" w:cs="Calibri"/>
                <w:b w:val="0"/>
                <w:sz w:val="20"/>
              </w:rPr>
              <w:t>Creatinine and potassium at the follow-up visit.</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weight, creatinine, and potassium</w:t>
            </w:r>
          </w:p>
        </w:tc>
        <w:tc>
          <w:tcPr>
            <w:tcW w:type="dxa" w:w="2592"/>
          </w:tcPr>
          <w:p>
            <w:pPr>
              <w:spacing w:after="20" w:before="20"/>
            </w:pPr>
            <w:r>
              <w:rPr>
                <w:rFonts w:ascii="Calibri" w:hAnsi="Calibri" w:cs="Calibri"/>
                <w:b w:val="0"/>
                <w:sz w:val="20"/>
              </w:rPr>
              <w:t>at the heart-failure visit in 7 days, sooner if dyspnea or lightheadedness returns</w:t>
            </w:r>
          </w:p>
        </w:tc>
        <w:tc>
          <w:tcPr>
            <w:tcW w:type="dxa" w:w="2304"/>
          </w:tcPr>
          <w:p>
            <w:pPr>
              <w:spacing w:after="20" w:before="20"/>
            </w:pPr>
            <w:r>
              <w:rPr>
                <w:rFonts w:ascii="Calibri" w:hAnsi="Calibri" w:cs="Calibri"/>
                <w:b w:val="0"/>
                <w:sz w:val="20"/>
              </w:rPr>
              <w:t>remain near the 78 kg dry weight</w:t>
            </w:r>
          </w:p>
        </w:tc>
        <w:tc>
          <w:tcPr>
            <w:tcW w:type="dxa" w:w="1728"/>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Heart-failure clinic after diuresis, with a plan to obtain furosemide so doses are not missed</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Matched counterpart: G2-005</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man with fever, dental disease, and mitral-valve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Fever,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fever resolved after antibiotics</w:t>
      </w:r>
    </w:p>
    <w:p>
      <w:pPr>
        <w:pStyle w:val="Heading3"/>
      </w:pPr>
      <w:r>
        <w:rPr>
          <w:rFonts w:ascii="Calibri" w:hAnsi="Calibri"/>
          <w:color w:val="1F3A5F"/>
        </w:rPr>
        <w:t>History of present illness</w:t>
      </w:r>
    </w:p>
    <w:p>
      <w:pPr>
        <w:spacing w:after="120"/>
      </w:pPr>
      <w:r>
        <w:rPr>
          <w:rFonts w:ascii="Calibri" w:hAnsi="Calibri" w:cs="Calibri"/>
          <w:b w:val="0"/>
          <w:sz w:val="22"/>
        </w:rPr>
        <w:t>An 82-year-old man is admitted with one week of fever and fatigue. He has no prosthetic valve. A dental examination shows several caries and periodontal disease. Home medicines are lisinopril 10 mg daily and atorvastatin 40 mg daily. Admission temperature is 38.8 C. Two blood-culture sets drawn before antibiotics grew Streptococcus mitis group, reported susceptible to penicillin. Ceftriaxone 2 g intravenously once daily was started after those cultures were drawn. Creatinine was 1.6 mg/dL on hospital day 1, above an outpatient baseline of 0.9 mg/dL, while he was febrile and eating poorly. Lisinopril was held that day. Repeat blood cultures on hospital day 3 showed no growth. A transesophageal echocardiogram shows an 8 mm mitral vegetation, mild mitral regurgitation, no abscess, and a left ventricular ejection fraction of 55 percent. Cardiac surgery found no current indication for an operation: he has no heart-failure symptoms from the valve lesion, no abscess, and the bacteremia has cleared. Ceftriaxone 2 g intravenously once daily is planned for four weeks counted from the first negative blood culture. Discharge creatinine is 0.8 mg/dL. Lisinopril 10 mg daily was restarted the day before discharge and the blood pressure remained in the 130s systolic. A peripherally inserted central catheter is in place for the remaining intravenous doses. Weekly blood count and creatinine are arranged.</w:t>
      </w:r>
    </w:p>
    <w:p>
      <w:pPr>
        <w:pStyle w:val="Heading3"/>
      </w:pPr>
      <w:r>
        <w:rPr>
          <w:rFonts w:ascii="Calibri" w:hAnsi="Calibri"/>
          <w:color w:val="1F3A5F"/>
        </w:rPr>
        <w:t>Admission note</w:t>
      </w:r>
    </w:p>
    <w:p>
      <w:pPr>
        <w:spacing w:after="120"/>
      </w:pPr>
      <w:r>
        <w:rPr>
          <w:rFonts w:ascii="Calibri" w:hAnsi="Calibri" w:cs="Calibri"/>
          <w:b w:val="0"/>
          <w:sz w:val="22"/>
        </w:rPr>
        <w:t>Admission note. Fever to 38.8 C and fatigue for one week. Poor dentition. No prosthetic valve. Blood cultures drawn before antibiotics. Outpatient creatinine 0.9 mg/dL. Lisinopril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 Chronic periodontitis and several dental caries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mitis group bacteremia, penicillin susceptible. Cleared on hospital day 3. Transesophageal echocardiogram with an 8 mm mitral vegetation and no abscess. Surgery is not indicated now. Ceftriaxone 2 g intravenously once daily for four weeks from the first negative culture. Lisinopril restarted after creatinine returned to 0.8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14.2</w:t>
            </w:r>
          </w:p>
        </w:tc>
        <w:tc>
          <w:tcPr>
            <w:tcW w:type="dxa" w:w="2160"/>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132/85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Leukocytes [#/volume] in Blood</w:t>
            </w:r>
          </w:p>
        </w:tc>
        <w:tc>
          <w:tcPr>
            <w:tcW w:type="dxa" w:w="1872"/>
          </w:tcPr>
          <w:p>
            <w:pPr>
              <w:spacing w:after="20" w:before="20"/>
            </w:pPr>
            <w:r>
              <w:rPr>
                <w:rFonts w:ascii="Calibri" w:hAnsi="Calibri" w:cs="Calibri"/>
                <w:b w:val="0"/>
                <w:sz w:val="20"/>
              </w:rPr>
              <w:t>7.4</w:t>
            </w:r>
          </w:p>
        </w:tc>
        <w:tc>
          <w:tcPr>
            <w:tcW w:type="dxa" w:w="2160"/>
          </w:tcPr>
          <w:p>
            <w:pPr>
              <w:spacing w:after="20" w:before="20"/>
            </w:pPr>
            <w:r>
              <w:rPr>
                <w:rFonts w:ascii="Calibri" w:hAnsi="Calibri" w:cs="Calibri"/>
                <w:b w:val="0"/>
                <w:sz w:val="20"/>
              </w:rPr>
              <w:t>10*3/uL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2 g intravenously once daily. Four weeks counted from the first negative blood culture on hospital day 3. Continues after discharge through the catheter.</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Held on hospital day 1 when creatinine was 1.6 mg/dL. Restarted the day before discharge after creatinine was 0.8 mg/dL.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r>
        <w:trPr>
          <w:cantSplit/>
        </w:trPr>
        <w:tc>
          <w:tcPr>
            <w:tcW w:type="dxa" w:w="3264"/>
          </w:tcPr>
          <w:p>
            <w:pPr>
              <w:spacing w:after="20" w:before="20"/>
            </w:pPr>
            <w:r>
              <w:rPr>
                <w:rFonts w:ascii="Calibri" w:hAnsi="Calibri" w:cs="Calibri"/>
                <w:b w:val="0"/>
                <w:sz w:val="20"/>
              </w:rPr>
              <w:t>Dental follow-up for caries and periodontal disease</w:t>
            </w:r>
          </w:p>
        </w:tc>
        <w:tc>
          <w:tcPr>
            <w:tcW w:type="dxa" w:w="3264"/>
          </w:tcPr>
          <w:p>
            <w:pPr>
              <w:spacing w:after="20" w:before="20"/>
            </w:pPr>
            <w:r>
              <w:rPr>
                <w:rFonts w:ascii="Calibri" w:hAnsi="Calibri" w:cs="Calibri"/>
                <w:b w:val="0"/>
                <w:sz w:val="20"/>
              </w:rPr>
              <w:t>2 weeks</w:t>
            </w:r>
          </w:p>
        </w:tc>
        <w:tc>
          <w:tcPr>
            <w:tcW w:type="dxa" w:w="3264"/>
          </w:tcPr>
          <w:p>
            <w:pPr>
              <w:spacing w:after="20" w:before="20"/>
            </w:pPr>
            <w:r>
              <w:rPr>
                <w:rFonts w:ascii="Calibri" w:hAnsi="Calibri" w:cs="Calibri"/>
                <w:b w:val="0"/>
                <w:sz w:val="20"/>
              </w:rPr>
              <w:t>dentistry</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8 mm mitral vegetation. Mild mitral regurgitation. No abscess. Left ventricular ejection fraction 55 percent.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mitis group endocarditis on a native mitral valve. Bacteremia cleared on hospital day 3. No abscess.</w:t>
            </w:r>
          </w:p>
        </w:tc>
        <w:tc>
          <w:tcPr>
            <w:tcW w:type="dxa" w:w="2448"/>
          </w:tcPr>
          <w:p>
            <w:pPr>
              <w:spacing w:after="20" w:before="20"/>
            </w:pPr>
            <w:r>
              <w:rPr>
                <w:rFonts w:ascii="Calibri" w:hAnsi="Calibri" w:cs="Calibri"/>
                <w:b w:val="0"/>
                <w:sz w:val="20"/>
              </w:rPr>
              <w:t>Continue ceftriaxone 2 g intravenously once daily to complete four weeks from the first negative culture. Weekly complete blood count and creatinine. Infectious-diseases follow-up in 7 days.</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Mitral 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mitis group</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Reported susceptible to penicillin.</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 The four-week ceftriaxone course is counted from this day.</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right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Site without erythema or drainage.</w:t>
            </w:r>
          </w:p>
        </w:tc>
        <w:tc>
          <w:tcPr>
            <w:tcW w:type="dxa" w:w="1399"/>
          </w:tcPr>
          <w:p>
            <w:pPr>
              <w:spacing w:after="20" w:before="20"/>
            </w:pPr>
            <w:r>
              <w:rPr>
                <w:rFonts w:ascii="Calibri" w:hAnsi="Calibri" w:cs="Calibri"/>
                <w:b w:val="0"/>
                <w:sz w:val="20"/>
              </w:rPr>
              <w:t>Standard line care during the remaining ceftriaxone course.</w:t>
            </w:r>
          </w:p>
        </w:tc>
        <w:tc>
          <w:tcPr>
            <w:tcW w:type="dxa" w:w="1399"/>
          </w:tcPr>
          <w:p>
            <w:pPr>
              <w:spacing w:after="20" w:before="20"/>
            </w:pPr>
            <w:r>
              <w:rPr>
                <w:rFonts w:ascii="Calibri" w:hAnsi="Calibri" w:cs="Calibri"/>
                <w:b w:val="0"/>
                <w:sz w:val="20"/>
              </w:rPr>
              <w:t>Remove when the four-week intravenous course is complete.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ceftriaxone 2000 MG Injection</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2000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Native mitral-valve endocarditis due to penicillin-susceptible Streptococcus mitis group</w:t>
            </w:r>
          </w:p>
        </w:tc>
        <w:tc>
          <w:tcPr>
            <w:tcW w:type="dxa" w:w="1728"/>
          </w:tcPr>
          <w:p>
            <w:pPr>
              <w:spacing w:after="20" w:before="20"/>
            </w:pPr>
            <w:r>
              <w:rPr>
                <w:rFonts w:ascii="Calibri" w:hAnsi="Calibri" w:cs="Calibri"/>
                <w:b w:val="0"/>
                <w:sz w:val="20"/>
              </w:rPr>
              <w:t>Started in the hospital after cultures were drawn. Infectious diseases recommends completing four weeks from the first negative culture on hospital day 3. The catheter is in place.</w:t>
            </w:r>
          </w:p>
        </w:tc>
      </w:tr>
      <w:tr>
        <w:trPr>
          <w:cantSplit/>
        </w:trPr>
        <w:tc>
          <w:tcPr>
            <w:tcW w:type="dxa" w:w="1872"/>
          </w:tcPr>
          <w:p>
            <w:pPr>
              <w:spacing w:after="20" w:before="20"/>
            </w:pPr>
            <w:r>
              <w:rPr>
                <w:rFonts w:ascii="Calibri" w:hAnsi="Calibri" w:cs="Calibri"/>
                <w:b w:val="0"/>
                <w:sz w:val="20"/>
              </w:rPr>
              <w:t>lisinopril 10 MG Oral Tablet</w:t>
            </w:r>
          </w:p>
        </w:tc>
        <w:tc>
          <w:tcPr>
            <w:tcW w:type="dxa" w:w="1152"/>
          </w:tcPr>
          <w:p>
            <w:pPr>
              <w:spacing w:after="20" w:before="20"/>
            </w:pPr>
            <w:r>
              <w:rPr>
                <w:rFonts w:ascii="Calibri" w:hAnsi="Calibri" w:cs="Calibri"/>
                <w:b w:val="0"/>
                <w:sz w:val="20"/>
              </w:rPr>
              <w:t>restart</w:t>
            </w:r>
          </w:p>
        </w:tc>
        <w:tc>
          <w:tcPr>
            <w:tcW w:type="dxa" w:w="1008"/>
          </w:tcPr>
          <w:p>
            <w:pPr>
              <w:spacing w:after="20" w:before="20"/>
            </w:pPr>
            <w:r>
              <w:rPr>
                <w:rFonts w:ascii="Calibri" w:hAnsi="Calibri" w:cs="Calibri"/>
                <w:b w:val="0"/>
                <w:sz w:val="20"/>
              </w:rPr>
              <w:t>10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Held when creatinine was 1.6 mg/dL. Restarted the day before discharge after creatinine was 0.8 mg/dL, and systolic blood pressure stayed in the 130s.</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through the admission. No new contraindication is described.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ceftriaxone 2000 MG Injection</w:t>
            </w:r>
          </w:p>
        </w:tc>
        <w:tc>
          <w:tcPr>
            <w:tcW w:type="dxa" w:w="3312"/>
          </w:tcPr>
          <w:p>
            <w:pPr>
              <w:spacing w:after="20" w:before="20"/>
            </w:pPr>
            <w:r>
              <w:rPr>
                <w:rFonts w:ascii="Calibri" w:hAnsi="Calibri" w:cs="Calibri"/>
                <w:b w:val="0"/>
                <w:sz w:val="20"/>
              </w:rPr>
              <w:t>Weekly complete blood count and creatinine.</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weekly complete blood count and creatinine during parenteral therapy</w:t>
            </w:r>
          </w:p>
        </w:tc>
        <w:tc>
          <w:tcPr>
            <w:tcW w:type="dxa" w:w="2592"/>
          </w:tcPr>
          <w:p>
            <w:pPr>
              <w:spacing w:after="20" w:before="20"/>
            </w:pPr>
            <w:r>
              <w:rPr>
                <w:rFonts w:ascii="Calibri" w:hAnsi="Calibri" w:cs="Calibri"/>
                <w:b w:val="0"/>
                <w:sz w:val="20"/>
              </w:rPr>
              <w:t>weekly</w:t>
            </w:r>
          </w:p>
        </w:tc>
        <w:tc>
          <w:tcPr>
            <w:tcW w:type="dxa" w:w="2304"/>
          </w:tcPr>
          <w:p>
            <w:pPr>
              <w:spacing w:after="20" w:before="20"/>
            </w:pPr>
            <w:r>
              <w:rPr>
                <w:rFonts w:ascii="Calibri" w:hAnsi="Calibri" w:cs="Calibri"/>
                <w:b w:val="0"/>
                <w:sz w:val="20"/>
              </w:rPr>
            </w:r>
          </w:p>
        </w:tc>
        <w:tc>
          <w:tcPr>
            <w:tcW w:type="dxa" w:w="1728"/>
          </w:tcPr>
          <w:p>
            <w:pPr>
              <w:spacing w:after="20" w:before="20"/>
            </w:pPr>
            <w:r>
              <w:rPr>
                <w:rFonts w:ascii="Calibri" w:hAnsi="Calibri" w:cs="Calibri"/>
                <w:b w:val="0"/>
                <w:sz w:val="20"/>
              </w:rPr>
              <w:t>for the remaining ceftriaxone course</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Infectious-disease follow-up with parenteral-therapy laboratory monitoring</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infectious disease</w:t>
            </w:r>
          </w:p>
        </w:tc>
      </w:tr>
      <w:tr>
        <w:trPr>
          <w:cantSplit/>
        </w:trPr>
        <w:tc>
          <w:tcPr>
            <w:tcW w:type="dxa" w:w="4896"/>
          </w:tcPr>
          <w:p>
            <w:pPr>
              <w:spacing w:after="20" w:before="20"/>
            </w:pPr>
            <w:r>
              <w:rPr>
                <w:rFonts w:ascii="Calibri" w:hAnsi="Calibri" w:cs="Calibri"/>
                <w:b w:val="0"/>
                <w:sz w:val="20"/>
              </w:rPr>
              <w:t>Dental follow-up for caries and periodontal disease</w:t>
            </w:r>
          </w:p>
        </w:tc>
        <w:tc>
          <w:tcPr>
            <w:tcW w:type="dxa" w:w="2304"/>
          </w:tcPr>
          <w:p>
            <w:pPr>
              <w:spacing w:after="20" w:before="20"/>
            </w:pPr>
            <w:r>
              <w:rPr>
                <w:rFonts w:ascii="Calibri" w:hAnsi="Calibri" w:cs="Calibri"/>
                <w:b w:val="0"/>
                <w:sz w:val="20"/>
              </w:rPr>
              <w:t>2 weeks</w:t>
            </w:r>
          </w:p>
        </w:tc>
        <w:tc>
          <w:tcPr>
            <w:tcW w:type="dxa" w:w="2592"/>
          </w:tcPr>
          <w:p>
            <w:pPr>
              <w:spacing w:after="20" w:before="20"/>
            </w:pPr>
            <w:r>
              <w:rPr>
                <w:rFonts w:ascii="Calibri" w:hAnsi="Calibri" w:cs="Calibri"/>
                <w:b w:val="0"/>
                <w:sz w:val="20"/>
              </w:rPr>
              <w:t>dentistry</w:t>
            </w:r>
          </w:p>
        </w:tc>
      </w:tr>
    </w:tbl>
    <w:p>
      <w:pPr>
        <w:spacing w:after="40"/>
      </w:pPr>
    </w:p>
    <w:p>
      <w:pPr>
        <w:spacing w:after="120"/>
      </w:pPr>
      <w:r>
        <w:rPr>
          <w:rFonts w:ascii="Calibri" w:hAnsi="Calibri" w:cs="Calibri"/>
          <w:b w:val="0"/>
          <w:sz w:val="22"/>
        </w:rPr>
        <w:t>Matched counterpart: G2-009</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woman with diarrhea after kidney transplant, found to have cytomegalovirus colitis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and poor intake</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diarrhea slowed after volume repletion and antiviral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woman with a remote kidney transplant is admitted for several days of watery diarrhea and poor intake. She is not admitted with a diagnosis of cytomegalovirus colitis. Home immunosuppression is tacrolimus 1 mg orally every 12 hours, mycophenolate mofetil 1000 mg orally twice daily, and prednisone 5 mg orally once daily. She also takes amlodipine 5 mg daily and atorvastatin 40 mg daily. Valganciclovir is not a home medicine. Admission weight is 64 kg. Blood pressure is 100/62 mm Hg and heart rate is 110 beats per minute. Creatinine is 1.8 mg/dL, above an outpatient baseline of 1.0 mg/dL. Potassium is 3.2 mmol/L. Stool culture did not grow a bacterial pathogen, and Clostridioides difficile toxin is negative. On hospital day 2, colonoscopy shows colitis and the biopsy immunohistochemistry is positive for cytomegalovirus. Plasma cytomegalovirus DNA is 8500 IU/mL. Mycophenolate is held. Ganciclovir 5 mg/kg intravenously every 12 hours is started after the biopsy; at 66 kg that dose is 330 mg. Potassium chloride, 40 mEq orally, is given for the admission potassium. Diarrhea slows to one or two formed stools a day. Discharge weight is 66 kg, creatinine is 0.9 mg/dL, and potassium is 4.0 mmol/L. The transplant pharmacist records creatinine clearance above 60 mL/min from the discharge age, weight, and creatinine. Intravenous ganciclovir is stopped and valganciclovir 900 mg orally twice daily, given as 450 mg tablets, is started. Tacrolimus 1 mg every 12 hours continues; a discharge trough is 6.5 ng/mL and the transplant target on the chart is 5 to 8 ng/mL. Prednisone 5 mg daily continues. Mycophenolate stays held. Transplant clinic in 7 days will decide whether to restart it. No standing potassium is prescribed because the potassium is 4.0 mmol/L and the diarrhea has slowed.</w:t>
      </w:r>
    </w:p>
    <w:p>
      <w:pPr>
        <w:pStyle w:val="Heading3"/>
      </w:pPr>
      <w:r>
        <w:rPr>
          <w:rFonts w:ascii="Calibri" w:hAnsi="Calibri"/>
          <w:color w:val="1F3A5F"/>
        </w:rPr>
        <w:t>Admission note</w:t>
      </w:r>
    </w:p>
    <w:p>
      <w:pPr>
        <w:spacing w:after="120"/>
      </w:pPr>
      <w:r>
        <w:rPr>
          <w:rFonts w:ascii="Calibri" w:hAnsi="Calibri" w:cs="Calibri"/>
          <w:b w:val="0"/>
          <w:sz w:val="22"/>
        </w:rPr>
        <w:t>Admission note for diarrhea and poor intake after kidney transplant. The cause is not yet known. Creatinine 1.8 mg/dL, potassium 3.2 mmol/L, baseline creatinine 1.0 mg/dL. Mycophenolate is held. Valganciclovir is not a home medicine.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improving</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established during 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Found on hospital day 2 by colonoscopic biopsy. Not the admitting label.</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Diarrhea after kidney transplant</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Cytomegalovirus colitis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Bacterial stool studies and Clostridioides difficile toxin are negative. Colonoscopic biopsy is positive for cytomegalovirus. Plasma cytomegalovirus DNA is 8500 IU/mL. Ganciclovir was given intravenously, then changed to valganciclovir 900 mg orally twice daily after creatinine clearance was above 60 mL/min. Mycophenolate remains held for the transplant visit.</w:t>
      </w:r>
    </w:p>
    <w:p>
      <w:pPr>
        <w:pStyle w:val="Heading3"/>
      </w:pPr>
      <w:r>
        <w:rPr>
          <w:rFonts w:ascii="Calibri" w:hAnsi="Calibri"/>
          <w:color w:val="1F3A5F"/>
        </w:rPr>
        <w:t>Intake and output</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Intake (mL)</w:t>
            </w:r>
          </w:p>
        </w:tc>
        <w:tc>
          <w:tcPr>
            <w:tcW w:type="dxa" w:w="1958"/>
            <w:shd w:val="clear" w:color="auto" w:fill="D9E2F3"/>
          </w:tcPr>
          <w:p>
            <w:pPr>
              <w:spacing w:after="20" w:before="20"/>
            </w:pPr>
            <w:r>
              <w:rPr>
                <w:rFonts w:ascii="Calibri" w:hAnsi="Calibri" w:cs="Calibri"/>
                <w:b/>
                <w:sz w:val="20"/>
              </w:rPr>
              <w:t>Output (mL)</w:t>
            </w:r>
          </w:p>
        </w:tc>
        <w:tc>
          <w:tcPr>
            <w:tcW w:type="dxa" w:w="1958"/>
            <w:shd w:val="clear" w:color="auto" w:fill="D9E2F3"/>
          </w:tcPr>
          <w:p>
            <w:pPr>
              <w:spacing w:after="20" w:before="20"/>
            </w:pPr>
            <w:r>
              <w:rPr>
                <w:rFonts w:ascii="Calibri" w:hAnsi="Calibri" w:cs="Calibri"/>
                <w:b/>
                <w:sz w:val="20"/>
              </w:rPr>
              <w:t>Net (mL)</w:t>
            </w:r>
          </w:p>
        </w:tc>
        <w:tc>
          <w:tcPr>
            <w:tcW w:type="dxa" w:w="1958"/>
            <w:shd w:val="clear" w:color="auto" w:fill="D9E2F3"/>
          </w:tcPr>
          <w:p>
            <w:pPr>
              <w:spacing w:after="20" w:before="20"/>
            </w:pPr>
            <w:r>
              <w:rPr>
                <w:rFonts w:ascii="Calibri" w:hAnsi="Calibri" w:cs="Calibri"/>
                <w:b/>
                <w:sz w:val="20"/>
              </w:rPr>
              <w:t>Notes</w:t>
            </w:r>
          </w:p>
        </w:tc>
      </w:tr>
      <w:tr>
        <w:trPr>
          <w:cantSplit/>
        </w:trPr>
        <w:tc>
          <w:tcPr>
            <w:tcW w:type="dxa" w:w="1958"/>
          </w:tcPr>
          <w:p>
            <w:pPr>
              <w:spacing w:after="20" w:before="20"/>
            </w:pPr>
            <w:r>
              <w:rPr>
                <w:rFonts w:ascii="Calibri" w:hAnsi="Calibri" w:cs="Calibri"/>
                <w:b w:val="0"/>
                <w:sz w:val="20"/>
              </w:rPr>
              <w:t>hospital day 1</w:t>
            </w:r>
          </w:p>
        </w:tc>
        <w:tc>
          <w:tcPr>
            <w:tcW w:type="dxa" w:w="1958"/>
          </w:tcPr>
          <w:p>
            <w:pPr>
              <w:spacing w:after="20" w:before="20"/>
            </w:pPr>
            <w:r>
              <w:rPr>
                <w:rFonts w:ascii="Calibri" w:hAnsi="Calibri" w:cs="Calibri"/>
                <w:b w:val="0"/>
                <w:sz w:val="20"/>
              </w:rPr>
              <w:t>2800</w:t>
            </w:r>
          </w:p>
        </w:tc>
        <w:tc>
          <w:tcPr>
            <w:tcW w:type="dxa" w:w="1958"/>
          </w:tcPr>
          <w:p>
            <w:pPr>
              <w:spacing w:after="20" w:before="20"/>
            </w:pPr>
            <w:r>
              <w:rPr>
                <w:rFonts w:ascii="Calibri" w:hAnsi="Calibri" w:cs="Calibri"/>
                <w:b w:val="0"/>
                <w:sz w:val="20"/>
              </w:rPr>
              <w:t>1600</w:t>
            </w:r>
          </w:p>
        </w:tc>
        <w:tc>
          <w:tcPr>
            <w:tcW w:type="dxa" w:w="1958"/>
          </w:tcPr>
          <w:p>
            <w:pPr>
              <w:spacing w:after="20" w:before="20"/>
            </w:pPr>
            <w:r>
              <w:rPr>
                <w:rFonts w:ascii="Calibri" w:hAnsi="Calibri" w:cs="Calibri"/>
                <w:b w:val="0"/>
                <w:sz w:val="20"/>
              </w:rPr>
              <w:t>1200</w:t>
            </w:r>
          </w:p>
        </w:tc>
        <w:tc>
          <w:tcPr>
            <w:tcW w:type="dxa" w:w="1958"/>
          </w:tcPr>
          <w:p>
            <w:pPr>
              <w:spacing w:after="20" w:before="20"/>
            </w:pPr>
            <w:r>
              <w:rPr>
                <w:rFonts w:ascii="Calibri" w:hAnsi="Calibri" w:cs="Calibri"/>
                <w:b w:val="0"/>
                <w:sz w:val="20"/>
              </w:rPr>
              <w:t>Intravenous volume repletion while diarrhea was still frequent.</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100/62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 Note: Discharge trough 6.5 ng/mL. Transplant target written on the chart is 5 to 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ganciclovir injection</w:t>
            </w:r>
          </w:p>
        </w:tc>
        <w:tc>
          <w:tcPr>
            <w:tcW w:type="dxa" w:w="1224"/>
          </w:tcPr>
          <w:p>
            <w:pPr>
              <w:spacing w:after="20" w:before="20"/>
            </w:pPr>
            <w:r>
              <w:rPr>
                <w:rFonts w:ascii="Calibri" w:hAnsi="Calibri" w:cs="Calibri"/>
                <w:b w:val="0"/>
                <w:sz w:val="20"/>
              </w:rPr>
              <w:t>330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Status: discontinued; Indication: Cytomegalovirus colitis; Note: 5 mg/kg at 66 kg, started after the biopsy. Stopped when oral valganciclovir was begun. Not a discharge medicine.</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cytomegalovirus colitis was established. Transplant says not to restart it at discharge. Reassess at the visit in 7 days.; Note: Given as 500 MG tablets.</w:t>
            </w:r>
          </w:p>
        </w:tc>
      </w:tr>
      <w:tr>
        <w:trPr>
          <w:cantSplit/>
        </w:trPr>
        <w:tc>
          <w:tcPr>
            <w:tcW w:type="dxa" w:w="3384"/>
          </w:tcPr>
          <w:p>
            <w:pPr>
              <w:spacing w:after="20" w:before="20"/>
            </w:pPr>
            <w:r>
              <w:rPr>
                <w:rFonts w:ascii="Calibri" w:hAnsi="Calibri" w:cs="Calibri"/>
                <w:b w:val="0"/>
                <w:sz w:val="20"/>
              </w:rPr>
              <w:t>prednisone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Maintenance corticosteroid continued.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intravenous ganciclovir, once creatinine clearance was above 60 mL/min. Induction dose 900 mg orally twice daily, given as 450 mg tablets.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serum creatinine, complete blood count, and plasma cytomegalovirus DNA</w:t>
            </w:r>
          </w:p>
        </w:tc>
        <w:tc>
          <w:tcPr>
            <w:tcW w:type="dxa" w:w="3264"/>
          </w:tcPr>
          <w:p>
            <w:pPr>
              <w:spacing w:after="20" w:before="20"/>
            </w:pPr>
            <w:r>
              <w:rPr>
                <w:rFonts w:ascii="Calibri" w:hAnsi="Calibri" w:cs="Calibri"/>
                <w:b w:val="0"/>
                <w:sz w:val="20"/>
              </w:rPr>
              <w:t>at the transplant visit in 7 days, sooner if diarrhea or fever returns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to review antiviral induction and whether mycophenolate can restart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Cytomegalovirus colitis after the biopsy. Volume depletion on admission has improved. Tacrolimus trough is in the stated target range.</w:t>
            </w:r>
          </w:p>
        </w:tc>
        <w:tc>
          <w:tcPr>
            <w:tcW w:type="dxa" w:w="2448"/>
          </w:tcPr>
          <w:p>
            <w:pPr>
              <w:spacing w:after="20" w:before="20"/>
            </w:pPr>
            <w:r>
              <w:rPr>
                <w:rFonts w:ascii="Calibri" w:hAnsi="Calibri" w:cs="Calibri"/>
                <w:b w:val="0"/>
                <w:sz w:val="20"/>
              </w:rPr>
              <w:t>Continue tacrolimus 1 mg every 12 hours and prednisone 5 mg daily. Do not restart mycophenolate at discharge. Reassess that hold in clinic in 7 days.</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 Bacterial stool studies and Clostridioides difficile toxin are negative.</w:t>
            </w:r>
          </w:p>
        </w:tc>
        <w:tc>
          <w:tcPr>
            <w:tcW w:type="dxa" w:w="2448"/>
          </w:tcPr>
          <w:p>
            <w:pPr>
              <w:spacing w:after="20" w:before="20"/>
            </w:pPr>
            <w:r>
              <w:rPr>
                <w:rFonts w:ascii="Calibri" w:hAnsi="Calibri" w:cs="Calibri"/>
                <w:b w:val="0"/>
                <w:sz w:val="20"/>
              </w:rPr>
              <w:t>Induction valganciclovir 900 mg orally twice daily now that creatinine clearance is above 60 mL/min. Recheck the viral load, blood count, and creatinine. Duration extends at least through the early follow-up and depends on symptom resolution and the viral load.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c>
          <w:tcPr>
            <w:tcW w:type="dxa" w:w="1632"/>
            <w:shd w:val="clear" w:color="auto" w:fill="D9E2F3"/>
          </w:tcPr>
          <w:p>
            <w:pPr>
              <w:spacing w:after="20" w:before="20"/>
            </w:pPr>
            <w:r>
              <w:rPr>
                <w:rFonts w:ascii="Calibri" w:hAnsi="Calibri" w:cs="Calibri"/>
                <w:b/>
                <w:sz w:val="20"/>
              </w:rPr>
              <w:t>Notes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stool culture</w:t>
            </w:r>
          </w:p>
        </w:tc>
        <w:tc>
          <w:tcPr>
            <w:tcW w:type="dxa" w:w="1632"/>
          </w:tcPr>
          <w:p>
            <w:pPr>
              <w:spacing w:after="20" w:before="20"/>
            </w:pPr>
            <w:r>
              <w:rPr>
                <w:rFonts w:ascii="Calibri" w:hAnsi="Calibri" w:cs="Calibri"/>
                <w:b w:val="0"/>
                <w:sz w:val="20"/>
              </w:rPr>
              <w:t>no growth</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t>No bacterial pathogen.</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stool</w:t>
            </w:r>
          </w:p>
        </w:tc>
        <w:tc>
          <w:tcPr>
            <w:tcW w:type="dxa" w:w="1632"/>
          </w:tcPr>
          <w:p>
            <w:pPr>
              <w:spacing w:after="20" w:before="20"/>
            </w:pPr>
            <w:r>
              <w:rPr>
                <w:rFonts w:ascii="Calibri" w:hAnsi="Calibri" w:cs="Calibri"/>
                <w:b w:val="0"/>
                <w:sz w:val="20"/>
              </w:rPr>
              <w:t>Clostridioides difficile toxin</w:t>
            </w:r>
          </w:p>
        </w:tc>
        <w:tc>
          <w:tcPr>
            <w:tcW w:type="dxa" w:w="1632"/>
          </w:tcPr>
          <w:p>
            <w:pPr>
              <w:spacing w:after="20" w:before="20"/>
            </w:pPr>
            <w:r>
              <w:rPr>
                <w:rFonts w:ascii="Calibri" w:hAnsi="Calibri" w:cs="Calibri"/>
                <w:b w:val="0"/>
                <w:sz w:val="20"/>
              </w:rPr>
              <w:t>negative</w:t>
            </w:r>
          </w:p>
        </w:tc>
        <w:tc>
          <w:tcPr>
            <w:tcW w:type="dxa" w:w="1632"/>
          </w:tcPr>
          <w:p>
            <w:pPr>
              <w:spacing w:after="20" w:before="20"/>
            </w:pPr>
            <w:r>
              <w:rPr>
                <w:rFonts w:ascii="Calibri" w:hAnsi="Calibri" w:cs="Calibri"/>
                <w:b w:val="0"/>
                <w:sz w:val="20"/>
              </w:rPr>
              <w:t>final</w:t>
            </w:r>
          </w:p>
        </w:tc>
        <w:tc>
          <w:tcPr>
            <w:tcW w:type="dxa" w:w="1632"/>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Hidden reference discharge plan</w:t>
      </w:r>
    </w:p>
    <w:p>
      <w:pPr>
        <w:spacing w:after="120"/>
      </w:pPr>
      <w:r>
        <w:rPr>
          <w:rFonts w:ascii="Calibri" w:hAnsi="Calibri" w:cs="Calibri"/>
          <w:b w:val="0"/>
          <w:sz w:val="22"/>
        </w:rPr>
        <w:t>For clinician validation only — not shown to residents.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87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Action</w:t>
            </w:r>
          </w:p>
        </w:tc>
        <w:tc>
          <w:tcPr>
            <w:tcW w:type="dxa" w:w="1008"/>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296"/>
            <w:shd w:val="clear" w:color="auto" w:fill="D9E2F3"/>
          </w:tcPr>
          <w:p>
            <w:pPr>
              <w:spacing w:after="20" w:before="20"/>
            </w:pPr>
            <w:r>
              <w:rPr>
                <w:rFonts w:ascii="Calibri" w:hAnsi="Calibri" w:cs="Calibri"/>
                <w:b/>
                <w:sz w:val="20"/>
              </w:rPr>
              <w:t>Frequency</w:t>
            </w:r>
          </w:p>
        </w:tc>
        <w:tc>
          <w:tcPr>
            <w:tcW w:type="dxa" w:w="1728"/>
            <w:shd w:val="clear" w:color="auto" w:fill="D9E2F3"/>
          </w:tcPr>
          <w:p>
            <w:pPr>
              <w:spacing w:after="20" w:before="20"/>
            </w:pPr>
            <w:r>
              <w:rPr>
                <w:rFonts w:ascii="Calibri" w:hAnsi="Calibri" w:cs="Calibri"/>
                <w:b/>
                <w:sz w:val="20"/>
              </w:rPr>
              <w:t>Indication</w:t>
            </w:r>
          </w:p>
        </w:tc>
        <w:tc>
          <w:tcPr>
            <w:tcW w:type="dxa" w:w="1728"/>
            <w:shd w:val="clear" w:color="auto" w:fill="D9E2F3"/>
          </w:tcPr>
          <w:p>
            <w:pPr>
              <w:spacing w:after="20" w:before="20"/>
            </w:pPr>
            <w:r>
              <w:rPr>
                <w:rFonts w:ascii="Calibri" w:hAnsi="Calibri" w:cs="Calibri"/>
                <w:b/>
                <w:sz w:val="20"/>
              </w:rPr>
              <w:t>Rationale</w:t>
            </w:r>
          </w:p>
        </w:tc>
      </w:tr>
      <w:tr>
        <w:trPr>
          <w:cantSplit/>
        </w:trPr>
        <w:tc>
          <w:tcPr>
            <w:tcW w:type="dxa" w:w="1872"/>
          </w:tcPr>
          <w:p>
            <w:pPr>
              <w:spacing w:after="20" w:before="20"/>
            </w:pPr>
            <w:r>
              <w:rPr>
                <w:rFonts w:ascii="Calibri" w:hAnsi="Calibri" w:cs="Calibri"/>
                <w:b w:val="0"/>
                <w:sz w:val="20"/>
              </w:rPr>
              <w:t>valganciclovir 450 MG Oral Tablet</w:t>
            </w:r>
          </w:p>
        </w:tc>
        <w:tc>
          <w:tcPr>
            <w:tcW w:type="dxa" w:w="1152"/>
          </w:tcPr>
          <w:p>
            <w:pPr>
              <w:spacing w:after="20" w:before="20"/>
            </w:pPr>
            <w:r>
              <w:rPr>
                <w:rFonts w:ascii="Calibri" w:hAnsi="Calibri" w:cs="Calibri"/>
                <w:b w:val="0"/>
                <w:sz w:val="20"/>
              </w:rPr>
              <w:t>start</w:t>
            </w:r>
          </w:p>
        </w:tc>
        <w:tc>
          <w:tcPr>
            <w:tcW w:type="dxa" w:w="1008"/>
          </w:tcPr>
          <w:p>
            <w:pPr>
              <w:spacing w:after="20" w:before="20"/>
            </w:pPr>
            <w:r>
              <w:rPr>
                <w:rFonts w:ascii="Calibri" w:hAnsi="Calibri" w:cs="Calibri"/>
                <w:b w:val="0"/>
                <w:sz w:val="20"/>
              </w:rPr>
              <w:t>900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Cytomegalovirus colitis, after a positive biopsy</w:t>
            </w:r>
          </w:p>
        </w:tc>
        <w:tc>
          <w:tcPr>
            <w:tcW w:type="dxa" w:w="1728"/>
          </w:tcPr>
          <w:p>
            <w:pPr>
              <w:spacing w:after="20" w:before="20"/>
            </w:pPr>
            <w:r>
              <w:rPr>
                <w:rFonts w:ascii="Calibri" w:hAnsi="Calibri" w:cs="Calibri"/>
                <w:b w:val="0"/>
                <w:sz w:val="20"/>
              </w:rPr>
              <w:t>Not a home medicine. Started after intravenous ganciclovir once the pharmacist recorded creatinine clearance above 60 mL/min. Induction dose, given as 450 mg tablets. Duration is rechecked with the viral load; it is not a completed course at discharge.</w:t>
            </w:r>
          </w:p>
        </w:tc>
      </w:tr>
      <w:tr>
        <w:trPr>
          <w:cantSplit/>
        </w:trPr>
        <w:tc>
          <w:tcPr>
            <w:tcW w:type="dxa" w:w="1872"/>
          </w:tcPr>
          <w:p>
            <w:pPr>
              <w:spacing w:after="20" w:before="20"/>
            </w:pPr>
            <w:r>
              <w:rPr>
                <w:rFonts w:ascii="Calibri" w:hAnsi="Calibri" w:cs="Calibri"/>
                <w:b w:val="0"/>
                <w:sz w:val="20"/>
              </w:rPr>
              <w:t>mycophenolate mofetil 500 MG Oral Tablet</w:t>
            </w:r>
          </w:p>
        </w:tc>
        <w:tc>
          <w:tcPr>
            <w:tcW w:type="dxa" w:w="1152"/>
          </w:tcPr>
          <w:p>
            <w:pPr>
              <w:spacing w:after="20" w:before="20"/>
            </w:pPr>
            <w:r>
              <w:rPr>
                <w:rFonts w:ascii="Calibri" w:hAnsi="Calibri" w:cs="Calibri"/>
                <w:b w:val="0"/>
                <w:sz w:val="20"/>
              </w:rPr>
              <w:t>hold</w:t>
            </w:r>
          </w:p>
        </w:tc>
        <w:tc>
          <w:tcPr>
            <w:tcW w:type="dxa" w:w="1008"/>
          </w:tcPr>
          <w:p>
            <w:pPr>
              <w:spacing w:after="20" w:before="20"/>
            </w:pPr>
            <w:r>
              <w:rPr>
                <w:rFonts w:ascii="Calibri" w:hAnsi="Calibri" w:cs="Calibri"/>
                <w:b w:val="0"/>
                <w:sz w:val="20"/>
              </w:rPr>
              <w:t>1000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twice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Held after the biopsy established cytomegalovirus colitis. The transplant note says not to restart it at discharge and to reassess in 7 days.</w:t>
            </w:r>
          </w:p>
        </w:tc>
      </w:tr>
      <w:tr>
        <w:trPr>
          <w:cantSplit/>
        </w:trPr>
        <w:tc>
          <w:tcPr>
            <w:tcW w:type="dxa" w:w="1872"/>
          </w:tcPr>
          <w:p>
            <w:pPr>
              <w:spacing w:after="20" w:before="20"/>
            </w:pPr>
            <w:r>
              <w:rPr>
                <w:rFonts w:ascii="Calibri" w:hAnsi="Calibri" w:cs="Calibri"/>
                <w:b w:val="0"/>
                <w:sz w:val="20"/>
              </w:rPr>
              <w:t>BX Rating tacrolimus 1 MG Oral Capsule</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1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Discharge trough 6.5 ng/mL is inside the 5 to 8 ng/mL target written by transplant. The note says to continue 1 mg every 12 hours.</w:t>
            </w:r>
          </w:p>
        </w:tc>
      </w:tr>
      <w:tr>
        <w:trPr>
          <w:cantSplit/>
        </w:trPr>
        <w:tc>
          <w:tcPr>
            <w:tcW w:type="dxa" w:w="1872"/>
          </w:tcPr>
          <w:p>
            <w:pPr>
              <w:spacing w:after="20" w:before="20"/>
            </w:pPr>
            <w:r>
              <w:rPr>
                <w:rFonts w:ascii="Calibri" w:hAnsi="Calibri" w:cs="Calibri"/>
                <w:b w:val="0"/>
                <w:sz w:val="20"/>
              </w:rPr>
              <w:t>prednisone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Kidney transplant status</w:t>
            </w:r>
          </w:p>
        </w:tc>
        <w:tc>
          <w:tcPr>
            <w:tcW w:type="dxa" w:w="1728"/>
          </w:tcPr>
          <w:p>
            <w:pPr>
              <w:spacing w:after="20" w:before="20"/>
            </w:pPr>
            <w:r>
              <w:rPr>
                <w:rFonts w:ascii="Calibri" w:hAnsi="Calibri" w:cs="Calibri"/>
                <w:b w:val="0"/>
                <w:sz w:val="20"/>
              </w:rPr>
              <w:t>Home maintenance corticosteroid. Transplant says to continue it.</w:t>
            </w:r>
          </w:p>
        </w:tc>
      </w:tr>
      <w:tr>
        <w:trPr>
          <w:cantSplit/>
        </w:trPr>
        <w:tc>
          <w:tcPr>
            <w:tcW w:type="dxa" w:w="1872"/>
          </w:tcPr>
          <w:p>
            <w:pPr>
              <w:spacing w:after="20" w:before="20"/>
            </w:pPr>
            <w:r>
              <w:rPr>
                <w:rFonts w:ascii="Calibri" w:hAnsi="Calibri" w:cs="Calibri"/>
                <w:b w:val="0"/>
                <w:sz w:val="20"/>
              </w:rPr>
              <w:t>amlodipine 5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5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Essential (primary) hypertension</w:t>
            </w:r>
          </w:p>
        </w:tc>
        <w:tc>
          <w:tcPr>
            <w:tcW w:type="dxa" w:w="1728"/>
          </w:tcPr>
          <w:p>
            <w:pPr>
              <w:spacing w:after="20" w:before="20"/>
            </w:pPr>
            <w:r>
              <w:rPr>
                <w:rFonts w:ascii="Calibri" w:hAnsi="Calibri" w:cs="Calibri"/>
                <w:b w:val="0"/>
                <w:sz w:val="20"/>
              </w:rPr>
              <w:t>Home medicine continued. Discharge blood pressure is 128/76 mm Hg.</w:t>
            </w:r>
          </w:p>
        </w:tc>
      </w:tr>
      <w:tr>
        <w:trPr>
          <w:cantSplit/>
        </w:trPr>
        <w:tc>
          <w:tcPr>
            <w:tcW w:type="dxa" w:w="1872"/>
          </w:tcPr>
          <w:p>
            <w:pPr>
              <w:spacing w:after="20" w:before="20"/>
            </w:pPr>
            <w:r>
              <w:rPr>
                <w:rFonts w:ascii="Calibri" w:hAnsi="Calibri" w:cs="Calibri"/>
                <w:b w:val="0"/>
                <w:sz w:val="20"/>
              </w:rPr>
              <w:t>atorvastatin 40 MG Oral Tablet</w:t>
            </w:r>
          </w:p>
        </w:tc>
        <w:tc>
          <w:tcPr>
            <w:tcW w:type="dxa" w:w="1152"/>
          </w:tcPr>
          <w:p>
            <w:pPr>
              <w:spacing w:after="20" w:before="20"/>
            </w:pPr>
            <w:r>
              <w:rPr>
                <w:rFonts w:ascii="Calibri" w:hAnsi="Calibri" w:cs="Calibri"/>
                <w:b w:val="0"/>
                <w:sz w:val="20"/>
              </w:rPr>
              <w:t>continue</w:t>
            </w:r>
          </w:p>
        </w:tc>
        <w:tc>
          <w:tcPr>
            <w:tcW w:type="dxa" w:w="1008"/>
          </w:tcPr>
          <w:p>
            <w:pPr>
              <w:spacing w:after="20" w:before="20"/>
            </w:pPr>
            <w:r>
              <w:rPr>
                <w:rFonts w:ascii="Calibri" w:hAnsi="Calibri" w:cs="Calibri"/>
                <w:b w:val="0"/>
                <w:sz w:val="20"/>
              </w:rPr>
              <w:t>40 MG</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 daily</w:t>
            </w:r>
          </w:p>
        </w:tc>
        <w:tc>
          <w:tcPr>
            <w:tcW w:type="dxa" w:w="1728"/>
          </w:tcPr>
          <w:p>
            <w:pPr>
              <w:spacing w:after="20" w:before="20"/>
            </w:pPr>
            <w:r>
              <w:rPr>
                <w:rFonts w:ascii="Calibri" w:hAnsi="Calibri" w:cs="Calibri"/>
                <w:b w:val="0"/>
                <w:sz w:val="20"/>
              </w:rPr>
              <w:t>Mixed hyperlipidemia</w:t>
            </w:r>
          </w:p>
        </w:tc>
        <w:tc>
          <w:tcPr>
            <w:tcW w:type="dxa" w:w="1728"/>
          </w:tcPr>
          <w:p>
            <w:pPr>
              <w:spacing w:after="20" w:before="20"/>
            </w:pPr>
            <w:r>
              <w:rPr>
                <w:rFonts w:ascii="Calibri" w:hAnsi="Calibri" w:cs="Calibri"/>
                <w:b w:val="0"/>
                <w:sz w:val="20"/>
              </w:rPr>
              <w:t>Home medicine continued. No new contraindication is described.</w:t>
            </w:r>
          </w:p>
        </w:tc>
      </w:tr>
      <w:tr>
        <w:trPr>
          <w:cantSplit/>
        </w:trPr>
        <w:tc>
          <w:tcPr>
            <w:tcW w:type="dxa" w:w="1872"/>
          </w:tcPr>
          <w:p>
            <w:pPr>
              <w:spacing w:after="20" w:before="20"/>
            </w:pPr>
            <w:r>
              <w:rPr>
                <w:rFonts w:ascii="Calibri" w:hAnsi="Calibri" w:cs="Calibri"/>
                <w:b w:val="0"/>
                <w:sz w:val="20"/>
              </w:rPr>
              <w:t>ganciclovir injection</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330 MG</w:t>
            </w:r>
          </w:p>
        </w:tc>
        <w:tc>
          <w:tcPr>
            <w:tcW w:type="dxa" w:w="1008"/>
          </w:tcPr>
          <w:p>
            <w:pPr>
              <w:spacing w:after="20" w:before="20"/>
            </w:pPr>
            <w:r>
              <w:rPr>
                <w:rFonts w:ascii="Calibri" w:hAnsi="Calibri" w:cs="Calibri"/>
                <w:b w:val="0"/>
                <w:sz w:val="20"/>
              </w:rPr>
              <w:t>intravenous</w:t>
            </w:r>
          </w:p>
        </w:tc>
        <w:tc>
          <w:tcPr>
            <w:tcW w:type="dxa" w:w="1296"/>
          </w:tcPr>
          <w:p>
            <w:pPr>
              <w:spacing w:after="20" w:before="20"/>
            </w:pPr>
            <w:r>
              <w:rPr>
                <w:rFonts w:ascii="Calibri" w:hAnsi="Calibri" w:cs="Calibri"/>
                <w:b w:val="0"/>
                <w:sz w:val="20"/>
              </w:rPr>
              <w:t>every 12 hours</w:t>
            </w:r>
          </w:p>
        </w:tc>
        <w:tc>
          <w:tcPr>
            <w:tcW w:type="dxa" w:w="1728"/>
          </w:tcPr>
          <w:p>
            <w:pPr>
              <w:spacing w:after="20" w:before="20"/>
            </w:pPr>
            <w:r>
              <w:rPr>
                <w:rFonts w:ascii="Calibri" w:hAnsi="Calibri" w:cs="Calibri"/>
                <w:b w:val="0"/>
                <w:sz w:val="20"/>
              </w:rPr>
              <w:t>Cytomegalovirus colitis</w:t>
            </w:r>
          </w:p>
        </w:tc>
        <w:tc>
          <w:tcPr>
            <w:tcW w:type="dxa" w:w="1728"/>
          </w:tcPr>
          <w:p>
            <w:pPr>
              <w:spacing w:after="20" w:before="20"/>
            </w:pPr>
            <w:r>
              <w:rPr>
                <w:rFonts w:ascii="Calibri" w:hAnsi="Calibri" w:cs="Calibri"/>
                <w:b w:val="0"/>
                <w:sz w:val="20"/>
              </w:rPr>
              <w:t>Intravenous induction was stopped when oral valganciclovir began. It is not a discharge medicine.</w:t>
            </w:r>
          </w:p>
        </w:tc>
      </w:tr>
      <w:tr>
        <w:trPr>
          <w:cantSplit/>
        </w:trPr>
        <w:tc>
          <w:tcPr>
            <w:tcW w:type="dxa" w:w="1872"/>
          </w:tcPr>
          <w:p>
            <w:pPr>
              <w:spacing w:after="20" w:before="20"/>
            </w:pPr>
            <w:r>
              <w:rPr>
                <w:rFonts w:ascii="Calibri" w:hAnsi="Calibri" w:cs="Calibri"/>
                <w:b w:val="0"/>
                <w:sz w:val="20"/>
              </w:rPr>
              <w:t>potassium chloride</w:t>
            </w:r>
          </w:p>
        </w:tc>
        <w:tc>
          <w:tcPr>
            <w:tcW w:type="dxa" w:w="1152"/>
          </w:tcPr>
          <w:p>
            <w:pPr>
              <w:spacing w:after="20" w:before="20"/>
            </w:pPr>
            <w:r>
              <w:rPr>
                <w:rFonts w:ascii="Calibri" w:hAnsi="Calibri" w:cs="Calibri"/>
                <w:b w:val="0"/>
                <w:sz w:val="20"/>
              </w:rPr>
              <w:t>stop</w:t>
            </w:r>
          </w:p>
        </w:tc>
        <w:tc>
          <w:tcPr>
            <w:tcW w:type="dxa" w:w="1008"/>
          </w:tcPr>
          <w:p>
            <w:pPr>
              <w:spacing w:after="20" w:before="20"/>
            </w:pPr>
            <w:r>
              <w:rPr>
                <w:rFonts w:ascii="Calibri" w:hAnsi="Calibri" w:cs="Calibri"/>
                <w:b w:val="0"/>
                <w:sz w:val="20"/>
              </w:rPr>
              <w:t>40 MEQ</w:t>
            </w:r>
          </w:p>
        </w:tc>
        <w:tc>
          <w:tcPr>
            <w:tcW w:type="dxa" w:w="1008"/>
          </w:tcPr>
          <w:p>
            <w:pPr>
              <w:spacing w:after="20" w:before="20"/>
            </w:pPr>
            <w:r>
              <w:rPr>
                <w:rFonts w:ascii="Calibri" w:hAnsi="Calibri" w:cs="Calibri"/>
                <w:b w:val="0"/>
                <w:sz w:val="20"/>
              </w:rPr>
              <w:t>oral</w:t>
            </w:r>
          </w:p>
        </w:tc>
        <w:tc>
          <w:tcPr>
            <w:tcW w:type="dxa" w:w="1296"/>
          </w:tcPr>
          <w:p>
            <w:pPr>
              <w:spacing w:after="20" w:before="20"/>
            </w:pPr>
            <w:r>
              <w:rPr>
                <w:rFonts w:ascii="Calibri" w:hAnsi="Calibri" w:cs="Calibri"/>
                <w:b w:val="0"/>
                <w:sz w:val="20"/>
              </w:rPr>
              <w:t>once</w:t>
            </w:r>
          </w:p>
        </w:tc>
        <w:tc>
          <w:tcPr>
            <w:tcW w:type="dxa" w:w="1728"/>
          </w:tcPr>
          <w:p>
            <w:pPr>
              <w:spacing w:after="20" w:before="20"/>
            </w:pPr>
            <w:r>
              <w:rPr>
                <w:rFonts w:ascii="Calibri" w:hAnsi="Calibri" w:cs="Calibri"/>
                <w:b w:val="0"/>
                <w:sz w:val="20"/>
              </w:rPr>
              <w:t>Admission potassium 3.2 mmol/L</w:t>
            </w:r>
          </w:p>
        </w:tc>
        <w:tc>
          <w:tcPr>
            <w:tcW w:type="dxa" w:w="1728"/>
          </w:tcPr>
          <w:p>
            <w:pPr>
              <w:spacing w:after="20" w:before="20"/>
            </w:pPr>
            <w:r>
              <w:rPr>
                <w:rFonts w:ascii="Calibri" w:hAnsi="Calibri" w:cs="Calibri"/>
                <w:b w:val="0"/>
                <w:sz w:val="20"/>
              </w:rPr>
              <w:t>One replacement dose is described. Discharge potassium is 4.0 mmol/L and diarrhea has slowed, so no standing potassium is indicated.</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168"/>
            <w:shd w:val="clear" w:color="auto" w:fill="D9E2F3"/>
          </w:tcPr>
          <w:p>
            <w:pPr>
              <w:spacing w:after="20" w:before="20"/>
            </w:pPr>
            <w:r>
              <w:rPr>
                <w:rFonts w:ascii="Calibri" w:hAnsi="Calibri" w:cs="Calibri"/>
                <w:b/>
                <w:sz w:val="20"/>
              </w:rPr>
              <w:t>Medication</w:t>
            </w:r>
          </w:p>
        </w:tc>
        <w:tc>
          <w:tcPr>
            <w:tcW w:type="dxa" w:w="3312"/>
            <w:shd w:val="clear" w:color="auto" w:fill="D9E2F3"/>
          </w:tcPr>
          <w:p>
            <w:pPr>
              <w:spacing w:after="20" w:before="20"/>
            </w:pPr>
            <w:r>
              <w:rPr>
                <w:rFonts w:ascii="Calibri" w:hAnsi="Calibri" w:cs="Calibri"/>
                <w:b/>
                <w:sz w:val="20"/>
              </w:rPr>
              <w:t>Monitoring</w:t>
            </w:r>
          </w:p>
        </w:tc>
        <w:tc>
          <w:tcPr>
            <w:tcW w:type="dxa" w:w="3312"/>
            <w:shd w:val="clear" w:color="auto" w:fill="D9E2F3"/>
          </w:tcPr>
          <w:p>
            <w:pPr>
              <w:spacing w:after="20" w:before="20"/>
            </w:pPr>
            <w:r>
              <w:rPr>
                <w:rFonts w:ascii="Calibri" w:hAnsi="Calibri" w:cs="Calibri"/>
                <w:b/>
                <w:sz w:val="20"/>
              </w:rPr>
              <w:t>Follow-up</w:t>
            </w:r>
          </w:p>
        </w:tc>
      </w:tr>
      <w:tr>
        <w:trPr>
          <w:cantSplit/>
        </w:trPr>
        <w:tc>
          <w:tcPr>
            <w:tcW w:type="dxa" w:w="3168"/>
          </w:tcPr>
          <w:p>
            <w:pPr>
              <w:spacing w:after="20" w:before="20"/>
            </w:pPr>
            <w:r>
              <w:rPr>
                <w:rFonts w:ascii="Calibri" w:hAnsi="Calibri" w:cs="Calibri"/>
                <w:b w:val="0"/>
                <w:sz w:val="20"/>
              </w:rPr>
              <w:t>valganciclovir 450 MG Oral Tablet</w:t>
            </w:r>
          </w:p>
        </w:tc>
        <w:tc>
          <w:tcPr>
            <w:tcW w:type="dxa" w:w="3312"/>
          </w:tcPr>
          <w:p>
            <w:pPr>
              <w:spacing w:after="20" w:before="20"/>
            </w:pPr>
            <w:r>
              <w:rPr>
                <w:rFonts w:ascii="Calibri" w:hAnsi="Calibri" w:cs="Calibri"/>
                <w:b w:val="0"/>
                <w:sz w:val="20"/>
              </w:rPr>
              <w:t>Blood count, creatinine, and plasma cytomegalovirus DNA.</w:t>
            </w:r>
          </w:p>
        </w:tc>
        <w:tc>
          <w:tcPr>
            <w:tcW w:type="dxa" w:w="3312"/>
          </w:tcPr>
          <w:p>
            <w:pPr>
              <w:spacing w:after="20" w:before="20"/>
            </w:pPr>
            <w:r>
              <w:rPr>
                <w:rFonts w:ascii="Calibri" w:hAnsi="Calibri" w:cs="Calibri"/>
                <w:b w:val="0"/>
                <w:sz w:val="20"/>
              </w:rPr>
            </w:r>
          </w:p>
        </w:tc>
      </w:tr>
    </w:tbl>
    <w:p>
      <w:pPr>
        <w:spacing w:after="40"/>
      </w:pP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3168"/>
            <w:shd w:val="clear" w:color="auto" w:fill="D9E2F3"/>
          </w:tcPr>
          <w:p>
            <w:pPr>
              <w:spacing w:after="20" w:before="20"/>
            </w:pPr>
            <w:r>
              <w:rPr>
                <w:rFonts w:ascii="Calibri" w:hAnsi="Calibri" w:cs="Calibri"/>
                <w:b/>
                <w:sz w:val="20"/>
              </w:rPr>
              <w:t>Monitoring parameter</w:t>
            </w:r>
          </w:p>
        </w:tc>
        <w:tc>
          <w:tcPr>
            <w:tcW w:type="dxa" w:w="2592"/>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Target</w:t>
            </w:r>
          </w:p>
        </w:tc>
        <w:tc>
          <w:tcPr>
            <w:tcW w:type="dxa" w:w="1728"/>
            <w:shd w:val="clear" w:color="auto" w:fill="D9E2F3"/>
          </w:tcPr>
          <w:p>
            <w:pPr>
              <w:spacing w:after="20" w:before="20"/>
            </w:pPr>
            <w:r>
              <w:rPr>
                <w:rFonts w:ascii="Calibri" w:hAnsi="Calibri" w:cs="Calibri"/>
                <w:b/>
                <w:sz w:val="20"/>
              </w:rPr>
              <w:t>Duration</w:t>
            </w:r>
          </w:p>
        </w:tc>
      </w:tr>
      <w:tr>
        <w:trPr>
          <w:cantSplit/>
        </w:trPr>
        <w:tc>
          <w:tcPr>
            <w:tcW w:type="dxa" w:w="3168"/>
          </w:tcPr>
          <w:p>
            <w:pPr>
              <w:spacing w:after="20" w:before="20"/>
            </w:pPr>
            <w:r>
              <w:rPr>
                <w:rFonts w:ascii="Calibri" w:hAnsi="Calibri" w:cs="Calibri"/>
                <w:b w:val="0"/>
                <w:sz w:val="20"/>
              </w:rPr>
              <w:t>tacrolimus trough, serum creatinine, complete blood count, and plasma cytomegalovirus DNA</w:t>
            </w:r>
          </w:p>
        </w:tc>
        <w:tc>
          <w:tcPr>
            <w:tcW w:type="dxa" w:w="2592"/>
          </w:tcPr>
          <w:p>
            <w:pPr>
              <w:spacing w:after="20" w:before="20"/>
            </w:pPr>
            <w:r>
              <w:rPr>
                <w:rFonts w:ascii="Calibri" w:hAnsi="Calibri" w:cs="Calibri"/>
                <w:b w:val="0"/>
                <w:sz w:val="20"/>
              </w:rPr>
              <w:t>at the transplant visit in 7 days, sooner if diarrhea or fever returns</w:t>
            </w:r>
          </w:p>
        </w:tc>
        <w:tc>
          <w:tcPr>
            <w:tcW w:type="dxa" w:w="2304"/>
          </w:tcPr>
          <w:p>
            <w:pPr>
              <w:spacing w:after="20" w:before="20"/>
            </w:pPr>
            <w:r>
              <w:rPr>
                <w:rFonts w:ascii="Calibri" w:hAnsi="Calibri" w:cs="Calibri"/>
                <w:b w:val="0"/>
                <w:sz w:val="20"/>
              </w:rPr>
              <w:t>tacrolimus trough 5 to 8 ng/mL</w:t>
            </w:r>
          </w:p>
        </w:tc>
        <w:tc>
          <w:tcPr>
            <w:tcW w:type="dxa" w:w="1728"/>
          </w:tcPr>
          <w:p>
            <w:pPr>
              <w:spacing w:after="20" w:before="20"/>
            </w:pPr>
            <w:r>
              <w:rPr>
                <w:rFonts w:ascii="Calibri" w:hAnsi="Calibri" w:cs="Calibri"/>
                <w:b w:val="0"/>
                <w:sz w:val="20"/>
              </w:rPr>
              <w:t>through antiviral induction</w:t>
            </w:r>
          </w:p>
        </w:tc>
      </w:tr>
    </w:tbl>
    <w:p>
      <w:pPr>
        <w:spacing w:after="40"/>
      </w:pP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896"/>
            <w:shd w:val="clear" w:color="auto" w:fill="D9E2F3"/>
          </w:tcPr>
          <w:p>
            <w:pPr>
              <w:spacing w:after="20" w:before="20"/>
            </w:pPr>
            <w:r>
              <w:rPr>
                <w:rFonts w:ascii="Calibri" w:hAnsi="Calibri" w:cs="Calibri"/>
                <w:b/>
                <w:sz w:val="20"/>
              </w:rPr>
              <w:t>Follow-up</w:t>
            </w:r>
          </w:p>
        </w:tc>
        <w:tc>
          <w:tcPr>
            <w:tcW w:type="dxa" w:w="2304"/>
            <w:shd w:val="clear" w:color="auto" w:fill="D9E2F3"/>
          </w:tcPr>
          <w:p>
            <w:pPr>
              <w:spacing w:after="20" w:before="20"/>
            </w:pPr>
            <w:r>
              <w:rPr>
                <w:rFonts w:ascii="Calibri" w:hAnsi="Calibri" w:cs="Calibri"/>
                <w:b/>
                <w:sz w:val="20"/>
              </w:rPr>
              <w:t>Timing</w:t>
            </w:r>
          </w:p>
        </w:tc>
        <w:tc>
          <w:tcPr>
            <w:tcW w:type="dxa" w:w="2592"/>
            <w:shd w:val="clear" w:color="auto" w:fill="D9E2F3"/>
          </w:tcPr>
          <w:p>
            <w:pPr>
              <w:spacing w:after="20" w:before="20"/>
            </w:pPr>
            <w:r>
              <w:rPr>
                <w:rFonts w:ascii="Calibri" w:hAnsi="Calibri" w:cs="Calibri"/>
                <w:b/>
                <w:sz w:val="20"/>
              </w:rPr>
              <w:t>Service</w:t>
            </w:r>
          </w:p>
        </w:tc>
      </w:tr>
      <w:tr>
        <w:trPr>
          <w:cantSplit/>
        </w:trPr>
        <w:tc>
          <w:tcPr>
            <w:tcW w:type="dxa" w:w="4896"/>
          </w:tcPr>
          <w:p>
            <w:pPr>
              <w:spacing w:after="20" w:before="20"/>
            </w:pPr>
            <w:r>
              <w:rPr>
                <w:rFonts w:ascii="Calibri" w:hAnsi="Calibri" w:cs="Calibri"/>
                <w:b w:val="0"/>
                <w:sz w:val="20"/>
              </w:rPr>
              <w:t>Transplant clinic to review antiviral induction and whether mycophenolate can restart</w:t>
            </w:r>
          </w:p>
        </w:tc>
        <w:tc>
          <w:tcPr>
            <w:tcW w:type="dxa" w:w="2304"/>
          </w:tcPr>
          <w:p>
            <w:pPr>
              <w:spacing w:after="20" w:before="20"/>
            </w:pPr>
            <w:r>
              <w:rPr>
                <w:rFonts w:ascii="Calibri" w:hAnsi="Calibri" w:cs="Calibri"/>
                <w:b w:val="0"/>
                <w:sz w:val="20"/>
              </w:rPr>
              <w:t>7 days</w:t>
            </w:r>
          </w:p>
        </w:tc>
        <w:tc>
          <w:tcPr>
            <w:tcW w:type="dxa" w:w="2592"/>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Matched counterpart: G2-013</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1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revised overlap cases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overlap cases    VAL-801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overlap cases    VAL-805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overlap cases    VAL-809</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revised overlap cases    VAL-813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revised overlap cases</dc:title>
  <dc:subject/>
  <dc:creator/>
  <cp:keywords/>
  <dc:description/>
  <cp:lastModifiedBy/>
  <cp:revision>1</cp:revision>
  <dcterms:created xsi:type="dcterms:W3CDTF">2013-12-23T23:15:00Z</dcterms:created>
  <dcterms:modified xsi:type="dcterms:W3CDTF">2013-12-23T23:15:00Z</dcterms:modified>
  <cp:category/>
  <dc:identifier/>
</cp:coreProperties>
</file>