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AD3D" w14:textId="77777777" w:rsidR="008A6408" w:rsidRDefault="008A6408" w:rsidP="008A6408">
      <w:pPr>
        <w:pStyle w:val="Default"/>
      </w:pPr>
      <w:r>
        <w:t>1</w:t>
      </w:r>
      <w:r w:rsidR="003D7C92">
        <w:t>-20240227-ChNo</w:t>
      </w:r>
    </w:p>
    <w:p w14:paraId="7084D75F" w14:textId="77777777" w:rsidR="008A6408" w:rsidRDefault="008A6408" w:rsidP="008A6408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3"/>
        <w:gridCol w:w="4593"/>
      </w:tblGrid>
      <w:tr w:rsidR="008A6408" w14:paraId="513C6D67" w14:textId="77777777">
        <w:trPr>
          <w:trHeight w:val="103"/>
        </w:trPr>
        <w:tc>
          <w:tcPr>
            <w:tcW w:w="9186" w:type="dxa"/>
            <w:gridSpan w:val="2"/>
          </w:tcPr>
          <w:p w14:paraId="33474C07" w14:textId="77777777" w:rsidR="008A6408" w:rsidRDefault="008A6408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Hauptdiagnose </w:t>
            </w:r>
          </w:p>
        </w:tc>
      </w:tr>
      <w:tr w:rsidR="008A6408" w14:paraId="5EB3746F" w14:textId="77777777" w:rsidTr="003321FF">
        <w:trPr>
          <w:trHeight w:val="458"/>
        </w:trPr>
        <w:tc>
          <w:tcPr>
            <w:tcW w:w="9186" w:type="dxa"/>
            <w:gridSpan w:val="2"/>
          </w:tcPr>
          <w:p w14:paraId="163DDF7D" w14:textId="77777777" w:rsidR="008A6408" w:rsidRDefault="008A6408">
            <w:pPr>
              <w:pStyle w:val="Default"/>
              <w:rPr>
                <w:rFonts w:eastAsia="MS Gothic"/>
                <w:sz w:val="20"/>
                <w:szCs w:val="20"/>
              </w:rPr>
            </w:pPr>
            <w:r>
              <w:rPr>
                <w:rFonts w:ascii="MS Gothic" w:eastAsia="MS Gothic" w:cs="MS Gothic" w:hint="eastAsia"/>
                <w:sz w:val="20"/>
                <w:szCs w:val="20"/>
              </w:rPr>
              <w:t>☐</w:t>
            </w:r>
            <w:r>
              <w:rPr>
                <w:rFonts w:ascii="MS Gothic" w:eastAsia="MS Gothic" w:cs="MS Gothic"/>
                <w:sz w:val="20"/>
                <w:szCs w:val="20"/>
              </w:rPr>
              <w:t xml:space="preserve"> </w:t>
            </w:r>
            <w:r>
              <w:rPr>
                <w:rFonts w:eastAsia="MS Gothic"/>
                <w:sz w:val="20"/>
                <w:szCs w:val="20"/>
              </w:rPr>
              <w:t xml:space="preserve">Erstvorstellung </w:t>
            </w:r>
            <w:r>
              <w:rPr>
                <w:rFonts w:ascii="MS Gothic" w:eastAsia="MS Gothic" w:cs="MS Gothic" w:hint="eastAsia"/>
                <w:sz w:val="20"/>
                <w:szCs w:val="20"/>
              </w:rPr>
              <w:t>☒</w:t>
            </w:r>
            <w:r>
              <w:rPr>
                <w:rFonts w:ascii="MS Gothic" w:eastAsia="MS Gothic" w:cs="MS Gothic"/>
                <w:sz w:val="20"/>
                <w:szCs w:val="20"/>
              </w:rPr>
              <w:t xml:space="preserve"> </w:t>
            </w:r>
            <w:r>
              <w:rPr>
                <w:rFonts w:eastAsia="MS Gothic"/>
                <w:sz w:val="20"/>
                <w:szCs w:val="20"/>
              </w:rPr>
              <w:t xml:space="preserve">Folgevorstellung </w:t>
            </w:r>
          </w:p>
        </w:tc>
      </w:tr>
      <w:tr w:rsidR="008A6408" w14:paraId="6BA1EA55" w14:textId="77777777">
        <w:trPr>
          <w:trHeight w:val="2373"/>
        </w:trPr>
        <w:tc>
          <w:tcPr>
            <w:tcW w:w="4593" w:type="dxa"/>
          </w:tcPr>
          <w:p w14:paraId="25869EBE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Diffuses grosszelliges B-Zell-Lymphom Stadium IV, R-IPI 3 </w:t>
            </w:r>
            <w:proofErr w:type="spellStart"/>
            <w:r>
              <w:rPr>
                <w:b/>
                <w:bCs/>
                <w:sz w:val="20"/>
                <w:szCs w:val="20"/>
              </w:rPr>
              <w:t>Pkte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, ED 09/2023 </w:t>
            </w:r>
          </w:p>
          <w:p w14:paraId="38849F63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Klinik: Tumor Schädel frontal rechts </w:t>
            </w:r>
          </w:p>
          <w:p w14:paraId="52E373ED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- 31.08.23 MRI Schädel: Läsion frontoparietal rechts, zentriert um das Os frontale mit grossem extra- und intrakraniellen Anteil. Impression des rechten Frontal-lappens, kein assoziiertes </w:t>
            </w:r>
            <w:proofErr w:type="spellStart"/>
            <w:r>
              <w:rPr>
                <w:sz w:val="20"/>
                <w:szCs w:val="20"/>
              </w:rPr>
              <w:t>Parenchymödem</w:t>
            </w:r>
            <w:proofErr w:type="spellEnd"/>
            <w:r>
              <w:rPr>
                <w:sz w:val="20"/>
                <w:szCs w:val="20"/>
              </w:rPr>
              <w:t xml:space="preserve">. Keine </w:t>
            </w:r>
            <w:proofErr w:type="spellStart"/>
            <w:r>
              <w:rPr>
                <w:sz w:val="20"/>
                <w:szCs w:val="20"/>
              </w:rPr>
              <w:t>Herniation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7AE33891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- 07.09.23 offene Biopsie (Dr. Zubak, Dr. Bader) </w:t>
            </w:r>
          </w:p>
          <w:p w14:paraId="79FDFAF9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</w:p>
          <w:p w14:paraId="1F921CAB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Histologie (IGMP B2023.35224): Diffuses grosszelliges B-Zell-Lymphom, NOS, IHC: </w:t>
            </w:r>
            <w:proofErr w:type="spellStart"/>
            <w:r>
              <w:rPr>
                <w:sz w:val="20"/>
                <w:szCs w:val="20"/>
              </w:rPr>
              <w:t>Mib</w:t>
            </w:r>
            <w:proofErr w:type="spellEnd"/>
            <w:r>
              <w:rPr>
                <w:sz w:val="20"/>
                <w:szCs w:val="20"/>
              </w:rPr>
              <w:t xml:space="preserve"> 80%, Bcl-6 +, Bcl-2 +, MYC - </w:t>
            </w:r>
          </w:p>
          <w:p w14:paraId="4362897D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FISH: MYC, BCL2: Keine Translokation, BCL6: Translokation </w:t>
            </w:r>
          </w:p>
          <w:p w14:paraId="3641512F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- 11.09.23 Serologien HIV, HBV, HCV: negativ </w:t>
            </w:r>
          </w:p>
          <w:p w14:paraId="02D44A93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- 20.09.23 Kryokonservierung </w:t>
            </w:r>
          </w:p>
          <w:p w14:paraId="253D9C5B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- 21.09.23 PET/CT: Axilläre Lymphadenopathien rechts, Splenomegalie mit </w:t>
            </w:r>
            <w:proofErr w:type="spellStart"/>
            <w:r>
              <w:rPr>
                <w:sz w:val="20"/>
                <w:szCs w:val="20"/>
              </w:rPr>
              <w:t>splenischer</w:t>
            </w:r>
            <w:proofErr w:type="spellEnd"/>
            <w:r>
              <w:rPr>
                <w:sz w:val="20"/>
                <w:szCs w:val="20"/>
              </w:rPr>
              <w:t xml:space="preserve"> Befall, Masse Frontal rechts </w:t>
            </w:r>
          </w:p>
          <w:p w14:paraId="47A41651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- 25.09.23 R-CHOP, 1. Zyklus </w:t>
            </w:r>
          </w:p>
          <w:p w14:paraId="7CF9084D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- 26.09.23 </w:t>
            </w:r>
            <w:proofErr w:type="spellStart"/>
            <w:r>
              <w:rPr>
                <w:sz w:val="20"/>
                <w:szCs w:val="20"/>
              </w:rPr>
              <w:t>Lymphomboard</w:t>
            </w:r>
            <w:proofErr w:type="spellEnd"/>
            <w:r>
              <w:rPr>
                <w:sz w:val="20"/>
                <w:szCs w:val="20"/>
              </w:rPr>
              <w:t xml:space="preserve">: Eskalation auf </w:t>
            </w:r>
            <w:proofErr w:type="spellStart"/>
            <w:r>
              <w:rPr>
                <w:sz w:val="20"/>
                <w:szCs w:val="20"/>
              </w:rPr>
              <w:t>MATRix</w:t>
            </w:r>
            <w:proofErr w:type="spellEnd"/>
            <w:r>
              <w:rPr>
                <w:sz w:val="20"/>
                <w:szCs w:val="20"/>
              </w:rPr>
              <w:t xml:space="preserve">/R-ICE gem. MARIETTA Trial </w:t>
            </w:r>
          </w:p>
          <w:p w14:paraId="78C05ADE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- 16.10.23 – 17.12.23 :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MATRix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, 3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Zyklen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</w:t>
            </w:r>
          </w:p>
          <w:p w14:paraId="066B023E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- 14.12.23 PET-CT+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cMRI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: Partielle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Remission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(Deauville 4) </w:t>
            </w:r>
          </w:p>
          <w:p w14:paraId="5241C749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- 19.12.23 – 20.02.24: R-ICE, 3 Zyklen (Stammzellsammlung aus den 2. Zyklus) </w:t>
            </w:r>
          </w:p>
          <w:p w14:paraId="40870F4A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- 19.02.24 </w:t>
            </w:r>
            <w:proofErr w:type="spellStart"/>
            <w:r>
              <w:rPr>
                <w:sz w:val="20"/>
                <w:szCs w:val="20"/>
              </w:rPr>
              <w:t>cMRI</w:t>
            </w:r>
            <w:proofErr w:type="spellEnd"/>
            <w:r>
              <w:rPr>
                <w:sz w:val="20"/>
                <w:szCs w:val="20"/>
              </w:rPr>
              <w:t xml:space="preserve">: Befund ausstehend </w:t>
            </w:r>
          </w:p>
          <w:p w14:paraId="18626692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- 22.02.24 PET/CT: Befund ausstehend </w:t>
            </w:r>
          </w:p>
          <w:p w14:paraId="1205BCF8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93" w:type="dxa"/>
          </w:tcPr>
          <w:p w14:paraId="012F25FA" w14:textId="77777777" w:rsidR="008A6408" w:rsidRDefault="008A640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Ann-Arbor Stadium </w:t>
            </w:r>
          </w:p>
          <w:p w14:paraId="08D09DEC" w14:textId="77777777" w:rsidR="008A6408" w:rsidRDefault="008A6408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 </w:t>
            </w:r>
          </w:p>
          <w:p w14:paraId="46471FC2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MS Gothic" w:eastAsia="MS Gothic" w:cs="MS Gothic" w:hint="eastAsia"/>
                <w:sz w:val="18"/>
                <w:szCs w:val="18"/>
              </w:rPr>
              <w:t>☐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III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☒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IV </w:t>
            </w:r>
          </w:p>
          <w:p w14:paraId="319A1D39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rFonts w:eastAsia="MS Gothic"/>
                <w:sz w:val="18"/>
                <w:szCs w:val="18"/>
              </w:rPr>
              <w:t xml:space="preserve">Begleitsymptome </w:t>
            </w:r>
          </w:p>
          <w:bookmarkEnd w:id="0"/>
          <w:bookmarkEnd w:id="1"/>
          <w:p w14:paraId="005FD75F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MS Gothic" w:eastAsia="MS Gothic" w:cs="MS Gothic" w:hint="eastAsia"/>
                <w:sz w:val="18"/>
                <w:szCs w:val="18"/>
              </w:rPr>
              <w:t>☐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A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☒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B </w:t>
            </w:r>
          </w:p>
          <w:p w14:paraId="77D60BCF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Prognose-Scores </w:t>
            </w:r>
          </w:p>
          <w:p w14:paraId="698FFC29" w14:textId="77777777" w:rsidR="008A6408" w:rsidRDefault="008A6408">
            <w:pPr>
              <w:pStyle w:val="Default"/>
              <w:rPr>
                <w:rFonts w:eastAsia="MS Gothic"/>
                <w:sz w:val="12"/>
                <w:szCs w:val="12"/>
              </w:rPr>
            </w:pPr>
            <w:r>
              <w:rPr>
                <w:rFonts w:eastAsia="MS Gothic"/>
                <w:sz w:val="12"/>
                <w:szCs w:val="12"/>
              </w:rPr>
              <w:t xml:space="preserve">für DLBCL </w:t>
            </w:r>
          </w:p>
          <w:p w14:paraId="53C991A0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IPI: 3 </w:t>
            </w:r>
          </w:p>
          <w:p w14:paraId="76E49411" w14:textId="77777777" w:rsidR="008A6408" w:rsidRDefault="008A6408">
            <w:pPr>
              <w:pStyle w:val="Default"/>
              <w:rPr>
                <w:rFonts w:eastAsia="MS Gothic"/>
                <w:sz w:val="12"/>
                <w:szCs w:val="12"/>
              </w:rPr>
            </w:pPr>
            <w:r>
              <w:rPr>
                <w:rFonts w:eastAsia="MS Gothic"/>
                <w:sz w:val="12"/>
                <w:szCs w:val="12"/>
              </w:rPr>
              <w:t xml:space="preserve">für Mantelzelllymphom </w:t>
            </w:r>
          </w:p>
          <w:p w14:paraId="3A11546D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MIPI: MIPI Score </w:t>
            </w:r>
          </w:p>
          <w:p w14:paraId="45E0A400" w14:textId="77777777" w:rsidR="008A6408" w:rsidRDefault="008A6408">
            <w:pPr>
              <w:pStyle w:val="Default"/>
              <w:rPr>
                <w:rFonts w:eastAsia="MS Gothic"/>
                <w:sz w:val="12"/>
                <w:szCs w:val="12"/>
              </w:rPr>
            </w:pPr>
            <w:r>
              <w:rPr>
                <w:rFonts w:eastAsia="MS Gothic"/>
                <w:sz w:val="12"/>
                <w:szCs w:val="12"/>
              </w:rPr>
              <w:t xml:space="preserve">für Follikuläres Lymphom </w:t>
            </w:r>
          </w:p>
          <w:p w14:paraId="56007C00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FLIPI: FLIPI Score </w:t>
            </w:r>
          </w:p>
        </w:tc>
      </w:tr>
    </w:tbl>
    <w:p w14:paraId="3DA7B305" w14:textId="77777777" w:rsidR="008A6408" w:rsidRDefault="008A6408" w:rsidP="008A6408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73"/>
      </w:tblGrid>
      <w:tr w:rsidR="008A6408" w14:paraId="35FE7CF7" w14:textId="77777777">
        <w:trPr>
          <w:trHeight w:val="103"/>
        </w:trPr>
        <w:tc>
          <w:tcPr>
            <w:tcW w:w="2873" w:type="dxa"/>
          </w:tcPr>
          <w:p w14:paraId="658B8F1F" w14:textId="77777777" w:rsidR="008A6408" w:rsidRDefault="008A6408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Relevante Nebendiagnosen </w:t>
            </w:r>
          </w:p>
        </w:tc>
      </w:tr>
      <w:tr w:rsidR="008A6408" w14:paraId="2E214F6F" w14:textId="77777777">
        <w:trPr>
          <w:trHeight w:val="93"/>
        </w:trPr>
        <w:tc>
          <w:tcPr>
            <w:tcW w:w="2873" w:type="dxa"/>
          </w:tcPr>
          <w:p w14:paraId="7F0CEE5D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 w14:paraId="4EF13382" w14:textId="77777777" w:rsidR="008A6408" w:rsidRDefault="008A6408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36"/>
      </w:tblGrid>
      <w:tr w:rsidR="008A6408" w14:paraId="5F4E9482" w14:textId="77777777">
        <w:trPr>
          <w:trHeight w:val="264"/>
        </w:trPr>
        <w:tc>
          <w:tcPr>
            <w:tcW w:w="9436" w:type="dxa"/>
          </w:tcPr>
          <w:p w14:paraId="1651E86E" w14:textId="77777777" w:rsidR="008A6408" w:rsidRDefault="008A64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Relevante anamnestische und klinische Angaben (z.B. Beschwerden) / Fragestellung an Tumorboard / Behandlungsvorschlag </w:t>
            </w:r>
          </w:p>
        </w:tc>
      </w:tr>
      <w:tr w:rsidR="008A6408" w14:paraId="07E68164" w14:textId="77777777">
        <w:trPr>
          <w:trHeight w:val="93"/>
        </w:trPr>
        <w:tc>
          <w:tcPr>
            <w:tcW w:w="9436" w:type="dxa"/>
          </w:tcPr>
          <w:p w14:paraId="64A4232E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Remissionsstatus? Konsolidierung mit HD-CHT (geplant 06.03.24) und ASZT (geplant 13.03.24)? </w:t>
            </w:r>
          </w:p>
        </w:tc>
      </w:tr>
    </w:tbl>
    <w:p w14:paraId="30FE9F76" w14:textId="77777777" w:rsidR="008A6408" w:rsidRDefault="008A6408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27"/>
      </w:tblGrid>
      <w:tr w:rsidR="008A6408" w14:paraId="11D42F65" w14:textId="77777777">
        <w:trPr>
          <w:trHeight w:val="103"/>
        </w:trPr>
        <w:tc>
          <w:tcPr>
            <w:tcW w:w="9427" w:type="dxa"/>
          </w:tcPr>
          <w:p w14:paraId="33384C4F" w14:textId="77777777" w:rsidR="008A6408" w:rsidRDefault="008A64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Beurteilung und Therapieempfehlung </w:t>
            </w:r>
          </w:p>
        </w:tc>
      </w:tr>
      <w:tr w:rsidR="008A6408" w14:paraId="15E6AB6C" w14:textId="77777777">
        <w:trPr>
          <w:trHeight w:val="572"/>
        </w:trPr>
        <w:tc>
          <w:tcPr>
            <w:tcW w:w="9427" w:type="dxa"/>
          </w:tcPr>
          <w:p w14:paraId="142AEE1E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 PET-CT nach 3 Zyklen </w:t>
            </w:r>
            <w:proofErr w:type="spellStart"/>
            <w:r>
              <w:rPr>
                <w:sz w:val="20"/>
                <w:szCs w:val="20"/>
              </w:rPr>
              <w:t>MATRix</w:t>
            </w:r>
            <w:proofErr w:type="spellEnd"/>
            <w:r>
              <w:rPr>
                <w:sz w:val="20"/>
                <w:szCs w:val="20"/>
              </w:rPr>
              <w:t xml:space="preserve"> und R-ICE zeigt sich eine partielle metabolische Remission mit wenigen Residuen. Die Indikation für die Konsolidation mittels HDCT/ASCT mit </w:t>
            </w:r>
            <w:proofErr w:type="spellStart"/>
            <w:r>
              <w:rPr>
                <w:sz w:val="20"/>
                <w:szCs w:val="20"/>
              </w:rPr>
              <w:t>Carmustin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Thiotepa</w:t>
            </w:r>
            <w:proofErr w:type="spellEnd"/>
            <w:r>
              <w:rPr>
                <w:sz w:val="20"/>
                <w:szCs w:val="20"/>
              </w:rPr>
              <w:t xml:space="preserve"> (KOGU notwendig) ist gegeben nach vorgängiger kardioonkologischen (TTE/EKG) und pneumologischen (LUFU) Standortbestimmung. </w:t>
            </w:r>
          </w:p>
          <w:p w14:paraId="4DFD9FC2" w14:textId="77777777" w:rsidR="008A6408" w:rsidRDefault="008A640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Restaging</w:t>
            </w:r>
            <w:proofErr w:type="spellEnd"/>
            <w:r>
              <w:rPr>
                <w:sz w:val="20"/>
                <w:szCs w:val="20"/>
              </w:rPr>
              <w:t xml:space="preserve"> mittels PET (inkl. Kopf) insgesamt 3 Monate nach der erfolgten HDCT/ASCT. </w:t>
            </w:r>
          </w:p>
        </w:tc>
      </w:tr>
    </w:tbl>
    <w:p w14:paraId="4D4B0ED2" w14:textId="77777777" w:rsidR="008A6408" w:rsidRDefault="008A6408"/>
    <w:p w14:paraId="53847E28" w14:textId="77777777" w:rsidR="008A6408" w:rsidRDefault="008A6408"/>
    <w:p w14:paraId="1CE8A5A4" w14:textId="77777777" w:rsidR="008A6408" w:rsidRDefault="008A6408"/>
    <w:p w14:paraId="242747A4" w14:textId="77777777" w:rsidR="00E94267" w:rsidRDefault="00E94267">
      <w:pPr>
        <w:spacing w:after="160" w:line="259" w:lineRule="auto"/>
      </w:pPr>
      <w:r>
        <w:br w:type="page"/>
      </w:r>
    </w:p>
    <w:p w14:paraId="11F427DC" w14:textId="77777777" w:rsidR="008A6408" w:rsidRDefault="008A6408">
      <w:r>
        <w:lastRenderedPageBreak/>
        <w:t>2</w:t>
      </w:r>
      <w:r w:rsidR="003D7C92">
        <w:t>-20240227-DePe</w:t>
      </w:r>
    </w:p>
    <w:p w14:paraId="5EA9EF1F" w14:textId="77777777" w:rsidR="008A6408" w:rsidRDefault="008A6408" w:rsidP="008A6408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3"/>
        <w:gridCol w:w="2850"/>
        <w:gridCol w:w="1743"/>
      </w:tblGrid>
      <w:tr w:rsidR="008A6408" w14:paraId="2755B0E1" w14:textId="77777777" w:rsidTr="008A6408">
        <w:trPr>
          <w:trHeight w:val="103"/>
        </w:trPr>
        <w:tc>
          <w:tcPr>
            <w:tcW w:w="9186" w:type="dxa"/>
            <w:gridSpan w:val="3"/>
          </w:tcPr>
          <w:p w14:paraId="38476E0D" w14:textId="77777777" w:rsidR="008A6408" w:rsidRDefault="008A6408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Hauptdiagnose </w:t>
            </w:r>
          </w:p>
        </w:tc>
      </w:tr>
      <w:tr w:rsidR="008A6408" w14:paraId="595501BD" w14:textId="77777777" w:rsidTr="008A6408">
        <w:trPr>
          <w:trHeight w:val="106"/>
        </w:trPr>
        <w:tc>
          <w:tcPr>
            <w:tcW w:w="9186" w:type="dxa"/>
            <w:gridSpan w:val="3"/>
          </w:tcPr>
          <w:p w14:paraId="1D6F7E82" w14:textId="77777777" w:rsidR="008A6408" w:rsidRDefault="008A6408">
            <w:pPr>
              <w:pStyle w:val="Default"/>
              <w:rPr>
                <w:rFonts w:eastAsia="MS Gothic"/>
                <w:sz w:val="20"/>
                <w:szCs w:val="20"/>
              </w:rPr>
            </w:pPr>
            <w:r>
              <w:rPr>
                <w:rFonts w:ascii="MS Gothic" w:eastAsia="MS Gothic" w:cs="MS Gothic" w:hint="eastAsia"/>
                <w:sz w:val="20"/>
                <w:szCs w:val="20"/>
              </w:rPr>
              <w:t>☐</w:t>
            </w:r>
            <w:r>
              <w:rPr>
                <w:rFonts w:ascii="MS Gothic" w:eastAsia="MS Gothic" w:cs="MS Gothic"/>
                <w:sz w:val="20"/>
                <w:szCs w:val="20"/>
              </w:rPr>
              <w:t xml:space="preserve"> </w:t>
            </w:r>
            <w:r>
              <w:rPr>
                <w:rFonts w:eastAsia="MS Gothic"/>
                <w:sz w:val="20"/>
                <w:szCs w:val="20"/>
              </w:rPr>
              <w:t xml:space="preserve">Erstvorstellung </w:t>
            </w:r>
            <w:r>
              <w:rPr>
                <w:rFonts w:ascii="MS Gothic" w:eastAsia="MS Gothic" w:cs="MS Gothic" w:hint="eastAsia"/>
                <w:sz w:val="20"/>
                <w:szCs w:val="20"/>
              </w:rPr>
              <w:t>☒</w:t>
            </w:r>
            <w:r>
              <w:rPr>
                <w:rFonts w:ascii="MS Gothic" w:eastAsia="MS Gothic" w:cs="MS Gothic"/>
                <w:sz w:val="20"/>
                <w:szCs w:val="20"/>
              </w:rPr>
              <w:t xml:space="preserve"> </w:t>
            </w:r>
            <w:r>
              <w:rPr>
                <w:rFonts w:eastAsia="MS Gothic"/>
                <w:sz w:val="20"/>
                <w:szCs w:val="20"/>
              </w:rPr>
              <w:t xml:space="preserve">Folgevorstellung </w:t>
            </w:r>
          </w:p>
        </w:tc>
      </w:tr>
      <w:tr w:rsidR="008A6408" w:rsidRPr="008A6408" w14:paraId="2466ED65" w14:textId="77777777" w:rsidTr="008A6408">
        <w:trPr>
          <w:trHeight w:val="3339"/>
        </w:trPr>
        <w:tc>
          <w:tcPr>
            <w:tcW w:w="4593" w:type="dxa"/>
          </w:tcPr>
          <w:p w14:paraId="2D309890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E94267">
              <w:rPr>
                <w:b/>
                <w:bCs/>
                <w:sz w:val="20"/>
                <w:szCs w:val="20"/>
              </w:rPr>
              <w:t xml:space="preserve">Lymphome à </w:t>
            </w:r>
            <w:proofErr w:type="spellStart"/>
            <w:r w:rsidRPr="00E94267">
              <w:rPr>
                <w:b/>
                <w:bCs/>
                <w:sz w:val="20"/>
                <w:szCs w:val="20"/>
              </w:rPr>
              <w:t>grandes</w:t>
            </w:r>
            <w:proofErr w:type="spellEnd"/>
            <w:r w:rsidRPr="00E9426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4267">
              <w:rPr>
                <w:b/>
                <w:bCs/>
                <w:sz w:val="20"/>
                <w:szCs w:val="20"/>
              </w:rPr>
              <w:t>cellules</w:t>
            </w:r>
            <w:proofErr w:type="spellEnd"/>
            <w:r w:rsidRPr="00E94267">
              <w:rPr>
                <w:b/>
                <w:bCs/>
                <w:sz w:val="20"/>
                <w:szCs w:val="20"/>
              </w:rPr>
              <w:t xml:space="preserve"> B </w:t>
            </w:r>
            <w:proofErr w:type="spellStart"/>
            <w:r w:rsidRPr="00E94267">
              <w:rPr>
                <w:b/>
                <w:bCs/>
                <w:sz w:val="20"/>
                <w:szCs w:val="20"/>
              </w:rPr>
              <w:t>riche</w:t>
            </w:r>
            <w:proofErr w:type="spellEnd"/>
            <w:r w:rsidRPr="00E94267">
              <w:rPr>
                <w:b/>
                <w:bCs/>
                <w:sz w:val="20"/>
                <w:szCs w:val="20"/>
              </w:rPr>
              <w:t xml:space="preserve"> en </w:t>
            </w:r>
            <w:proofErr w:type="spellStart"/>
            <w:r w:rsidRPr="00E94267">
              <w:rPr>
                <w:b/>
                <w:bCs/>
                <w:sz w:val="20"/>
                <w:szCs w:val="20"/>
              </w:rPr>
              <w:t>lymphocytes</w:t>
            </w:r>
            <w:proofErr w:type="spellEnd"/>
            <w:r w:rsidRPr="00E94267">
              <w:rPr>
                <w:b/>
                <w:bCs/>
                <w:sz w:val="20"/>
                <w:szCs w:val="20"/>
              </w:rPr>
              <w:t xml:space="preserve"> T / </w:t>
            </w:r>
            <w:proofErr w:type="spellStart"/>
            <w:r w:rsidRPr="00E94267">
              <w:rPr>
                <w:b/>
                <w:bCs/>
                <w:sz w:val="20"/>
                <w:szCs w:val="20"/>
              </w:rPr>
              <w:t>histiocytes</w:t>
            </w:r>
            <w:proofErr w:type="spellEnd"/>
            <w:r w:rsidRPr="00E94267">
              <w:rPr>
                <w:b/>
                <w:bCs/>
                <w:sz w:val="20"/>
                <w:szCs w:val="20"/>
              </w:rPr>
              <w:t xml:space="preserve"> (TH</w:t>
            </w:r>
            <w:r w:rsidRPr="008A6408">
              <w:rPr>
                <w:b/>
                <w:bCs/>
                <w:sz w:val="20"/>
                <w:szCs w:val="20"/>
                <w:lang w:val="fr-CH"/>
              </w:rPr>
              <w:t xml:space="preserve">RLBCL selon OMS 2022/2017 et ICC 2022) - stade IVB </w:t>
            </w:r>
          </w:p>
          <w:p w14:paraId="3C598B2E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date du diagnostic définitif le 06.07.2023 par biopsie ganglionnaire </w:t>
            </w:r>
          </w:p>
          <w:p w14:paraId="523D2665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stratification : haut risque selon IPI </w:t>
            </w:r>
          </w:p>
          <w:p w14:paraId="0EF6E3DC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contexte : bilan initial par PBM en raison d’une pancytopénie avec symptômes B </w:t>
            </w:r>
          </w:p>
          <w:p w14:paraId="3090295E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---Bilan initial--- </w:t>
            </w:r>
          </w:p>
          <w:p w14:paraId="258FC8B3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Ponction biopsie de la moelle osseuse le 22.06.2023: </w:t>
            </w:r>
          </w:p>
          <w:p w14:paraId="181354CB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aspiration : interprétation limitée (empreintes) </w:t>
            </w:r>
          </w:p>
          <w:p w14:paraId="38A8BA73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pathologie (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Promed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) : Prolifération tumorale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lymphomateuse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avec infiltration diffuse de la moelle osseuse (environ 70 à 80%), constituée de blastes B matures (&lt; 10%) et nombreux lymphocytes T d'un aspect réactif ainsi que macrophages/histiocytes très nombreux </w:t>
            </w:r>
          </w:p>
          <w:p w14:paraId="3C05AB4A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cytométrie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de flux (Berne) : pas de population lymphocytaire évocatrice d’un lymphome </w:t>
            </w:r>
          </w:p>
          <w:p w14:paraId="408903BC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cytogénétique (CHUV) : puce ADN sans particularité </w:t>
            </w:r>
          </w:p>
          <w:p w14:paraId="63611292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biologie moléculaire (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Unilabs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) : mutation TET2 isolée VAF à 29% (DD CHIP) </w:t>
            </w:r>
          </w:p>
          <w:p w14:paraId="1E124BA0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PET-CT le 04.07.2023 : multiples adénopathies sus et sous diaphragmatiques associées à une splénomégalie de 15 cm, avec des lésions nodulaires focales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hypermétaboliques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de la rate, hypermétabolisme osseux diffus. </w:t>
            </w:r>
          </w:p>
          <w:p w14:paraId="3EEBF1C5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implantation de Port-à-Cath le 05.07.2023 </w:t>
            </w:r>
          </w:p>
          <w:p w14:paraId="7CA6F8B1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contrôle cardiaque par ETT le 06.07.2023 : FEVG 67 %. </w:t>
            </w:r>
          </w:p>
          <w:p w14:paraId="2C9F8E3F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biopsie-exérèse ganglionnaire (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Promed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P2023.8309) le 06.07.2023: Lymphome à cellules B matures de type Lymphome à grandes cellules B riche en lymphocytes T / histiocytes (THRLBCL selon OMS 2022/2017 et ICC 2022) </w:t>
            </w:r>
          </w:p>
          <w:p w14:paraId="0020C89A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contrôles sérologies le 22.06 et 06.07.2023 (HIV, hépatites B, C, CMV, EBV) : sans particularités </w:t>
            </w:r>
          </w:p>
          <w:p w14:paraId="04BC7AE4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ponction lombaire le 07.07.2023: cytologie et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cytométrie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de flux sans signes d’atteinte du SNC </w:t>
            </w:r>
          </w:p>
          <w:p w14:paraId="4DC3201F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</w:p>
        </w:tc>
        <w:tc>
          <w:tcPr>
            <w:tcW w:w="4593" w:type="dxa"/>
            <w:gridSpan w:val="2"/>
          </w:tcPr>
          <w:p w14:paraId="51B41C50" w14:textId="77777777" w:rsidR="008A6408" w:rsidRDefault="008A640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Ann-Arbor Stadium </w:t>
            </w:r>
          </w:p>
          <w:p w14:paraId="05AF14F7" w14:textId="77777777" w:rsidR="008A6408" w:rsidRDefault="008A6408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 </w:t>
            </w:r>
          </w:p>
          <w:p w14:paraId="28C3EA6D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III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☒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IV </w:t>
            </w:r>
          </w:p>
          <w:p w14:paraId="7F050EE4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Begleitsymptome </w:t>
            </w:r>
          </w:p>
          <w:p w14:paraId="001942FC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  <w:r>
              <w:rPr>
                <w:rFonts w:eastAsia="MS Gothic"/>
                <w:sz w:val="18"/>
                <w:szCs w:val="18"/>
              </w:rPr>
              <w:t xml:space="preserve"> A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☒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B </w:t>
            </w:r>
          </w:p>
          <w:p w14:paraId="642B5E4A" w14:textId="77777777" w:rsidR="008A6408" w:rsidRDefault="008A6408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Prognose-Scores </w:t>
            </w:r>
          </w:p>
          <w:p w14:paraId="6ECD252F" w14:textId="77777777" w:rsidR="008A6408" w:rsidRDefault="008A6408">
            <w:pPr>
              <w:pStyle w:val="Default"/>
              <w:rPr>
                <w:rFonts w:eastAsia="MS Gothic"/>
                <w:sz w:val="12"/>
                <w:szCs w:val="12"/>
              </w:rPr>
            </w:pPr>
            <w:r>
              <w:rPr>
                <w:rFonts w:eastAsia="MS Gothic"/>
                <w:sz w:val="12"/>
                <w:szCs w:val="12"/>
              </w:rPr>
              <w:t xml:space="preserve">für DLBCL </w:t>
            </w:r>
          </w:p>
          <w:p w14:paraId="4F185D8E" w14:textId="77777777" w:rsidR="008A6408" w:rsidRPr="008A6408" w:rsidRDefault="008A6408">
            <w:pPr>
              <w:pStyle w:val="Default"/>
              <w:rPr>
                <w:rFonts w:eastAsia="MS Gothic"/>
                <w:sz w:val="18"/>
                <w:szCs w:val="18"/>
                <w:lang w:val="it-IT"/>
              </w:rPr>
            </w:pPr>
            <w:r w:rsidRPr="008A6408">
              <w:rPr>
                <w:rFonts w:eastAsia="MS Gothic"/>
                <w:sz w:val="18"/>
                <w:szCs w:val="18"/>
                <w:lang w:val="it-IT"/>
              </w:rPr>
              <w:t xml:space="preserve">IPI: IPI Score </w:t>
            </w:r>
          </w:p>
          <w:p w14:paraId="74C9F68F" w14:textId="77777777" w:rsidR="008A6408" w:rsidRPr="008A6408" w:rsidRDefault="008A6408">
            <w:pPr>
              <w:pStyle w:val="Default"/>
              <w:rPr>
                <w:rFonts w:eastAsia="MS Gothic"/>
                <w:sz w:val="12"/>
                <w:szCs w:val="12"/>
                <w:lang w:val="it-IT"/>
              </w:rPr>
            </w:pPr>
            <w:proofErr w:type="spellStart"/>
            <w:r w:rsidRPr="008A6408">
              <w:rPr>
                <w:rFonts w:eastAsia="MS Gothic"/>
                <w:sz w:val="12"/>
                <w:szCs w:val="12"/>
                <w:lang w:val="it-IT"/>
              </w:rPr>
              <w:t>für</w:t>
            </w:r>
            <w:proofErr w:type="spellEnd"/>
            <w:r w:rsidRPr="008A6408">
              <w:rPr>
                <w:rFonts w:eastAsia="MS Gothic"/>
                <w:sz w:val="12"/>
                <w:szCs w:val="12"/>
                <w:lang w:val="it-IT"/>
              </w:rPr>
              <w:t xml:space="preserve"> </w:t>
            </w:r>
            <w:proofErr w:type="spellStart"/>
            <w:r w:rsidRPr="008A6408">
              <w:rPr>
                <w:rFonts w:eastAsia="MS Gothic"/>
                <w:sz w:val="12"/>
                <w:szCs w:val="12"/>
                <w:lang w:val="it-IT"/>
              </w:rPr>
              <w:t>Mantelzelllymphom</w:t>
            </w:r>
            <w:proofErr w:type="spellEnd"/>
            <w:r w:rsidRPr="008A6408">
              <w:rPr>
                <w:rFonts w:eastAsia="MS Gothic"/>
                <w:sz w:val="12"/>
                <w:szCs w:val="12"/>
                <w:lang w:val="it-IT"/>
              </w:rPr>
              <w:t xml:space="preserve"> </w:t>
            </w:r>
          </w:p>
          <w:p w14:paraId="0304D453" w14:textId="77777777" w:rsidR="008A6408" w:rsidRPr="008A6408" w:rsidRDefault="008A6408">
            <w:pPr>
              <w:pStyle w:val="Default"/>
              <w:rPr>
                <w:rFonts w:eastAsia="MS Gothic"/>
                <w:sz w:val="18"/>
                <w:szCs w:val="18"/>
                <w:lang w:val="it-IT"/>
              </w:rPr>
            </w:pPr>
            <w:r w:rsidRPr="008A6408">
              <w:rPr>
                <w:rFonts w:eastAsia="MS Gothic"/>
                <w:sz w:val="18"/>
                <w:szCs w:val="18"/>
                <w:lang w:val="it-IT"/>
              </w:rPr>
              <w:t xml:space="preserve">MIPI: MIPI Score </w:t>
            </w:r>
          </w:p>
          <w:p w14:paraId="6B5217BE" w14:textId="77777777" w:rsidR="008A6408" w:rsidRPr="008A6408" w:rsidRDefault="008A6408">
            <w:pPr>
              <w:pStyle w:val="Default"/>
              <w:rPr>
                <w:rFonts w:eastAsia="MS Gothic"/>
                <w:sz w:val="12"/>
                <w:szCs w:val="12"/>
                <w:lang w:val="en-GB"/>
              </w:rPr>
            </w:pPr>
            <w:r w:rsidRPr="008A6408">
              <w:rPr>
                <w:rFonts w:eastAsia="MS Gothic"/>
                <w:sz w:val="12"/>
                <w:szCs w:val="12"/>
                <w:lang w:val="en-GB"/>
              </w:rPr>
              <w:t xml:space="preserve">für </w:t>
            </w:r>
            <w:proofErr w:type="spellStart"/>
            <w:r w:rsidRPr="008A6408">
              <w:rPr>
                <w:rFonts w:eastAsia="MS Gothic"/>
                <w:sz w:val="12"/>
                <w:szCs w:val="12"/>
                <w:lang w:val="en-GB"/>
              </w:rPr>
              <w:t>Follikuläres</w:t>
            </w:r>
            <w:proofErr w:type="spellEnd"/>
            <w:r w:rsidRPr="008A6408">
              <w:rPr>
                <w:rFonts w:eastAsia="MS Gothic"/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8A6408">
              <w:rPr>
                <w:rFonts w:eastAsia="MS Gothic"/>
                <w:sz w:val="12"/>
                <w:szCs w:val="12"/>
                <w:lang w:val="en-GB"/>
              </w:rPr>
              <w:t>Lymphom</w:t>
            </w:r>
            <w:proofErr w:type="spellEnd"/>
            <w:r w:rsidRPr="008A6408">
              <w:rPr>
                <w:rFonts w:eastAsia="MS Gothic"/>
                <w:sz w:val="12"/>
                <w:szCs w:val="12"/>
                <w:lang w:val="en-GB"/>
              </w:rPr>
              <w:t xml:space="preserve"> </w:t>
            </w:r>
          </w:p>
          <w:p w14:paraId="4765B894" w14:textId="77777777" w:rsidR="008A6408" w:rsidRPr="008A6408" w:rsidRDefault="008A6408">
            <w:pPr>
              <w:pStyle w:val="Default"/>
              <w:rPr>
                <w:rFonts w:eastAsia="MS Gothic"/>
                <w:sz w:val="18"/>
                <w:szCs w:val="18"/>
                <w:lang w:val="en-GB"/>
              </w:rPr>
            </w:pPr>
            <w:r w:rsidRPr="008A6408">
              <w:rPr>
                <w:rFonts w:eastAsia="MS Gothic"/>
                <w:sz w:val="18"/>
                <w:szCs w:val="18"/>
                <w:lang w:val="en-GB"/>
              </w:rPr>
              <w:t xml:space="preserve">FLIPI: FLIPI Score </w:t>
            </w:r>
          </w:p>
        </w:tc>
      </w:tr>
      <w:tr w:rsidR="008A6408" w14:paraId="7BF0A874" w14:textId="77777777" w:rsidTr="008A6408">
        <w:trPr>
          <w:gridAfter w:val="1"/>
          <w:wAfter w:w="1743" w:type="dxa"/>
          <w:trHeight w:val="103"/>
        </w:trPr>
        <w:tc>
          <w:tcPr>
            <w:tcW w:w="7443" w:type="dxa"/>
            <w:gridSpan w:val="2"/>
          </w:tcPr>
          <w:p w14:paraId="1BADF730" w14:textId="77777777" w:rsidR="008A6408" w:rsidRDefault="008A640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Hauptdiagnose </w:t>
            </w:r>
          </w:p>
        </w:tc>
      </w:tr>
      <w:tr w:rsidR="008A6408" w:rsidRPr="008A6408" w14:paraId="5F0E4916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</w:tcPr>
          <w:p w14:paraId="5A7B56EF" w14:textId="77777777" w:rsidR="008A6408" w:rsidRPr="008A6408" w:rsidRDefault="008A6408">
            <w:pPr>
              <w:pStyle w:val="Default"/>
              <w:rPr>
                <w:color w:val="auto"/>
                <w:lang w:val="fr-CH"/>
              </w:rPr>
            </w:pPr>
          </w:p>
          <w:p w14:paraId="48C30523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---Traitement de 1</w:t>
            </w:r>
            <w:r w:rsidRPr="008A6408">
              <w:rPr>
                <w:sz w:val="13"/>
                <w:szCs w:val="13"/>
                <w:lang w:val="fr-CH"/>
              </w:rPr>
              <w:t xml:space="preserve">ère </w:t>
            </w:r>
            <w:r w:rsidRPr="008A6408">
              <w:rPr>
                <w:sz w:val="20"/>
                <w:szCs w:val="20"/>
                <w:lang w:val="fr-CH"/>
              </w:rPr>
              <w:t xml:space="preserve">ligne--- </w:t>
            </w:r>
          </w:p>
          <w:p w14:paraId="7CA8E248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R-CHOP débuté le 07.07.2023, 6x cycles de 21 jours effectués </w:t>
            </w:r>
          </w:p>
          <w:p w14:paraId="75FDEACD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PET-CT après 3 cycles (07.09.2023) compatible avec une rémission métabolique </w:t>
            </w:r>
          </w:p>
          <w:p w14:paraId="2925A40C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- 6e cycle de chimiothérapie R-CHOP administré le 24.10.2023 </w:t>
            </w:r>
          </w:p>
          <w:p w14:paraId="241337A7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---Bilan de récidive--- </w:t>
            </w:r>
          </w:p>
          <w:p w14:paraId="104ACC99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PET-CT le 01.12.2023 de fin de traitement : hautement suspect pour récidive métabolique avec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hypercaptation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osseuse sternale,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femur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droit et possible adénopathie hilaire (Deauville 5) </w:t>
            </w:r>
          </w:p>
          <w:p w14:paraId="2097D5A3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biopsie osseuse (sternum) par radiologie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interventionelle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le 11.12.2023 (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Promed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P2023.15006) : l'ensemble des données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histomorphologiques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et immunohistochimiques confirme l'infiltration par le lymphome à grandes cellules B riche en lymphocytes T/histiocytes connu </w:t>
            </w:r>
          </w:p>
          <w:p w14:paraId="7BEB8FB3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Evaluation fin décembre 2024 d'un traitement de rattrapage par CAR-T (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medizinische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Onkologie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Inselspital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): indication non retenue en raison de </w:t>
            </w:r>
            <w:r w:rsidRPr="008A6408">
              <w:rPr>
                <w:sz w:val="20"/>
                <w:szCs w:val="20"/>
                <w:lang w:val="fr-CH"/>
              </w:rPr>
              <w:lastRenderedPageBreak/>
              <w:t xml:space="preserve">l'absence d'expression du CD19 sur les lymphocytes malins et de données rétrospectives parlant pour une mauvaise réponse pour cette sous-entité </w:t>
            </w:r>
          </w:p>
          <w:p w14:paraId="16F4BCCB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---Traitement de 2</w:t>
            </w:r>
            <w:r w:rsidRPr="008A6408">
              <w:rPr>
                <w:sz w:val="13"/>
                <w:szCs w:val="13"/>
                <w:lang w:val="fr-CH"/>
              </w:rPr>
              <w:t xml:space="preserve">e </w:t>
            </w:r>
            <w:r w:rsidRPr="008A6408">
              <w:rPr>
                <w:sz w:val="20"/>
                <w:szCs w:val="20"/>
                <w:lang w:val="fr-CH"/>
              </w:rPr>
              <w:t xml:space="preserve">ligne--- </w:t>
            </w:r>
          </w:p>
          <w:p w14:paraId="45FB677A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PET-CT de contrôle le 09.01.2024 </w:t>
            </w:r>
          </w:p>
          <w:p w14:paraId="58BD81D8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- 1x cycle de R-DHAP dès le 10.01.2024 (ototoxicité, néphrotoxicité) </w:t>
            </w:r>
          </w:p>
          <w:p w14:paraId="792B2317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- 1x cycle de R-ICE dès le 31.01.2024 (meilleure tolérance) </w:t>
            </w:r>
          </w:p>
          <w:p w14:paraId="06EE3194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>- Aphérèse de cellules souche à l’</w:t>
            </w:r>
            <w:proofErr w:type="spellStart"/>
            <w:r w:rsidRPr="008A6408">
              <w:rPr>
                <w:sz w:val="20"/>
                <w:szCs w:val="20"/>
                <w:lang w:val="fr-CH"/>
              </w:rPr>
              <w:t>Inselspital</w:t>
            </w:r>
            <w:proofErr w:type="spellEnd"/>
            <w:r w:rsidRPr="008A6408">
              <w:rPr>
                <w:sz w:val="20"/>
                <w:szCs w:val="20"/>
                <w:lang w:val="fr-CH"/>
              </w:rPr>
              <w:t xml:space="preserve"> le 14.02.2024 </w:t>
            </w:r>
          </w:p>
          <w:p w14:paraId="7AF0B6C8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  <w:r w:rsidRPr="008A6408">
              <w:rPr>
                <w:sz w:val="20"/>
                <w:szCs w:val="20"/>
                <w:lang w:val="fr-CH"/>
              </w:rPr>
              <w:t xml:space="preserve">- PET-CT de contrôle le 20.02.2024 (transmission orale, rapport écrit en attente) : lésions métaboliques résiduelles, réponse partielle, Deauville 4 </w:t>
            </w:r>
          </w:p>
          <w:p w14:paraId="7FA10373" w14:textId="77777777" w:rsidR="008A6408" w:rsidRPr="008A6408" w:rsidRDefault="008A6408">
            <w:pPr>
              <w:pStyle w:val="Default"/>
              <w:rPr>
                <w:sz w:val="20"/>
                <w:szCs w:val="20"/>
                <w:lang w:val="fr-CH"/>
              </w:rPr>
            </w:pPr>
          </w:p>
        </w:tc>
      </w:tr>
      <w:tr w:rsidR="008A6408" w14:paraId="7F50493F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  <w:tcBorders>
              <w:left w:val="nil"/>
              <w:right w:val="nil"/>
            </w:tcBorders>
          </w:tcPr>
          <w:p w14:paraId="4216CA00" w14:textId="77777777" w:rsidR="008A6408" w:rsidRPr="008A6408" w:rsidRDefault="008A6408">
            <w:pPr>
              <w:pStyle w:val="Default"/>
              <w:rPr>
                <w:color w:val="auto"/>
                <w:lang w:val="fr-CH"/>
              </w:rPr>
            </w:pPr>
            <w:proofErr w:type="spellStart"/>
            <w:r w:rsidRPr="008A6408">
              <w:rPr>
                <w:color w:val="auto"/>
                <w:lang w:val="fr-CH"/>
              </w:rPr>
              <w:lastRenderedPageBreak/>
              <w:t>Relevante</w:t>
            </w:r>
            <w:proofErr w:type="spellEnd"/>
            <w:r w:rsidRPr="008A6408">
              <w:rPr>
                <w:color w:val="auto"/>
                <w:lang w:val="fr-CH"/>
              </w:rPr>
              <w:t xml:space="preserve"> </w:t>
            </w:r>
            <w:proofErr w:type="spellStart"/>
            <w:r w:rsidRPr="008A6408">
              <w:rPr>
                <w:color w:val="auto"/>
                <w:lang w:val="fr-CH"/>
              </w:rPr>
              <w:t>Nebendiagnosen</w:t>
            </w:r>
            <w:proofErr w:type="spellEnd"/>
            <w:r w:rsidRPr="008A6408">
              <w:rPr>
                <w:color w:val="auto"/>
                <w:lang w:val="fr-CH"/>
              </w:rPr>
              <w:t xml:space="preserve"> </w:t>
            </w:r>
          </w:p>
        </w:tc>
      </w:tr>
      <w:tr w:rsidR="008A6408" w14:paraId="7BA64E2F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  <w:tcBorders>
              <w:left w:val="nil"/>
              <w:bottom w:val="nil"/>
              <w:right w:val="nil"/>
            </w:tcBorders>
          </w:tcPr>
          <w:p w14:paraId="461701A1" w14:textId="77777777" w:rsidR="008A6408" w:rsidRPr="008A6408" w:rsidRDefault="008A6408">
            <w:pPr>
              <w:pStyle w:val="Default"/>
              <w:rPr>
                <w:color w:val="auto"/>
                <w:lang w:val="fr-CH"/>
              </w:rPr>
            </w:pPr>
            <w:proofErr w:type="spellStart"/>
            <w:r w:rsidRPr="008A6408">
              <w:rPr>
                <w:color w:val="auto"/>
                <w:lang w:val="fr-CH"/>
              </w:rPr>
              <w:t>keine</w:t>
            </w:r>
            <w:proofErr w:type="spellEnd"/>
            <w:r w:rsidRPr="008A6408">
              <w:rPr>
                <w:color w:val="auto"/>
                <w:lang w:val="fr-CH"/>
              </w:rPr>
              <w:t xml:space="preserve"> </w:t>
            </w:r>
          </w:p>
        </w:tc>
      </w:tr>
      <w:tr w:rsidR="008A6408" w14:paraId="7805AB2A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  <w:tcBorders>
              <w:left w:val="nil"/>
              <w:bottom w:val="nil"/>
              <w:right w:val="nil"/>
            </w:tcBorders>
          </w:tcPr>
          <w:p w14:paraId="361252F7" w14:textId="77777777" w:rsidR="008A6408" w:rsidRPr="008A6408" w:rsidRDefault="008A6408">
            <w:pPr>
              <w:pStyle w:val="Default"/>
              <w:rPr>
                <w:color w:val="auto"/>
              </w:rPr>
            </w:pPr>
            <w:r w:rsidRPr="008A6408">
              <w:rPr>
                <w:color w:val="auto"/>
              </w:rPr>
              <w:t xml:space="preserve">Relevante anamnestische und klinische Angaben (z.B. Beschwerden) / Fragestellung an Tumorboard / Behandlungsvorschlag </w:t>
            </w:r>
          </w:p>
        </w:tc>
      </w:tr>
      <w:tr w:rsidR="008A6408" w14:paraId="0CC63C9C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  <w:tcBorders>
              <w:left w:val="nil"/>
              <w:bottom w:val="nil"/>
              <w:right w:val="nil"/>
            </w:tcBorders>
          </w:tcPr>
          <w:p w14:paraId="0C845782" w14:textId="77777777" w:rsidR="008A6408" w:rsidRPr="008A6408" w:rsidRDefault="008A6408">
            <w:pPr>
              <w:pStyle w:val="Default"/>
              <w:rPr>
                <w:color w:val="auto"/>
              </w:rPr>
            </w:pPr>
            <w:r w:rsidRPr="008A6408">
              <w:rPr>
                <w:color w:val="auto"/>
              </w:rPr>
              <w:t xml:space="preserve">Diskussion PET Befunde nach 2x Zyklen </w:t>
            </w:r>
            <w:proofErr w:type="spellStart"/>
            <w:r w:rsidRPr="008A6408">
              <w:rPr>
                <w:color w:val="auto"/>
              </w:rPr>
              <w:t>Salvage</w:t>
            </w:r>
            <w:proofErr w:type="spellEnd"/>
            <w:r w:rsidRPr="008A6408">
              <w:rPr>
                <w:color w:val="auto"/>
              </w:rPr>
              <w:t xml:space="preserve">-Chemotherapie. PET-Befund (HFR) vereinbar mit partiellem Ansprechen, </w:t>
            </w:r>
            <w:proofErr w:type="spellStart"/>
            <w:r w:rsidRPr="008A6408">
              <w:rPr>
                <w:color w:val="auto"/>
              </w:rPr>
              <w:t>residuelle</w:t>
            </w:r>
            <w:proofErr w:type="spellEnd"/>
            <w:r w:rsidRPr="008A6408">
              <w:rPr>
                <w:color w:val="auto"/>
              </w:rPr>
              <w:t xml:space="preserve"> metabolische Aktivität in vorbekannten Läsionen, Deauville 4 </w:t>
            </w:r>
          </w:p>
          <w:p w14:paraId="4C1DC342" w14:textId="77777777" w:rsidR="008A6408" w:rsidRPr="008A6408" w:rsidRDefault="008A6408">
            <w:pPr>
              <w:pStyle w:val="Default"/>
              <w:rPr>
                <w:color w:val="auto"/>
              </w:rPr>
            </w:pPr>
            <w:r w:rsidRPr="008A6408">
              <w:rPr>
                <w:color w:val="auto"/>
              </w:rPr>
              <w:t xml:space="preserve">St. Nach SZ-Apherese am 14.02.2024 im Inselspital (ausreichende CD34 Sammlung?) </w:t>
            </w:r>
          </w:p>
          <w:p w14:paraId="2CD89B30" w14:textId="77777777" w:rsidR="008A6408" w:rsidRPr="008A6408" w:rsidRDefault="008A6408">
            <w:pPr>
              <w:pStyle w:val="Default"/>
              <w:rPr>
                <w:color w:val="auto"/>
              </w:rPr>
            </w:pPr>
            <w:r w:rsidRPr="008A6408">
              <w:rPr>
                <w:color w:val="auto"/>
              </w:rPr>
              <w:t xml:space="preserve">Empfohlene Prozedere? Weitere Behandlung mit 3. Zyklus platinhaltiger Chemotherapie (R-ICE) vor HDC/ASCT? </w:t>
            </w:r>
          </w:p>
        </w:tc>
      </w:tr>
      <w:tr w:rsidR="008A6408" w14:paraId="77450CEA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  <w:tcBorders>
              <w:left w:val="nil"/>
              <w:bottom w:val="nil"/>
              <w:right w:val="nil"/>
            </w:tcBorders>
          </w:tcPr>
          <w:p w14:paraId="2C0FDAAE" w14:textId="77777777" w:rsidR="008A6408" w:rsidRPr="008A6408" w:rsidRDefault="008A6408">
            <w:pPr>
              <w:pStyle w:val="Default"/>
              <w:rPr>
                <w:color w:val="auto"/>
              </w:rPr>
            </w:pPr>
            <w:r w:rsidRPr="008A6408">
              <w:rPr>
                <w:color w:val="auto"/>
              </w:rPr>
              <w:lastRenderedPageBreak/>
              <w:t xml:space="preserve">Beurteilung und Therapieempfehlung </w:t>
            </w:r>
          </w:p>
        </w:tc>
      </w:tr>
      <w:tr w:rsidR="008A6408" w14:paraId="405C2DC9" w14:textId="77777777" w:rsidTr="008A6408">
        <w:trPr>
          <w:gridAfter w:val="1"/>
          <w:wAfter w:w="1743" w:type="dxa"/>
          <w:trHeight w:val="2863"/>
        </w:trPr>
        <w:tc>
          <w:tcPr>
            <w:tcW w:w="7443" w:type="dxa"/>
            <w:gridSpan w:val="2"/>
            <w:tcBorders>
              <w:left w:val="nil"/>
              <w:bottom w:val="nil"/>
              <w:right w:val="nil"/>
            </w:tcBorders>
          </w:tcPr>
          <w:p w14:paraId="30296D8B" w14:textId="0ADC5FFB" w:rsidR="008A6408" w:rsidRPr="008A6408" w:rsidRDefault="008A6408">
            <w:pPr>
              <w:pStyle w:val="Default"/>
              <w:rPr>
                <w:color w:val="auto"/>
              </w:rPr>
            </w:pPr>
            <w:r w:rsidRPr="008A6408">
              <w:rPr>
                <w:color w:val="auto"/>
              </w:rPr>
              <w:t xml:space="preserve">Nach 2 Zyklen einer </w:t>
            </w:r>
            <w:proofErr w:type="spellStart"/>
            <w:r w:rsidRPr="008A6408">
              <w:rPr>
                <w:color w:val="auto"/>
              </w:rPr>
              <w:t>Salvage</w:t>
            </w:r>
            <w:proofErr w:type="spellEnd"/>
            <w:r w:rsidRPr="008A6408">
              <w:rPr>
                <w:color w:val="auto"/>
              </w:rPr>
              <w:t>-Chemotherapie (1x R-DHAP und 1x R-ICE) zeigt sich im PET-CT weiterhin eine FDG-</w:t>
            </w:r>
            <w:proofErr w:type="spellStart"/>
            <w:r w:rsidRPr="008A6408">
              <w:rPr>
                <w:color w:val="auto"/>
              </w:rPr>
              <w:t>avide</w:t>
            </w:r>
            <w:proofErr w:type="spellEnd"/>
            <w:r w:rsidRPr="008A6408">
              <w:rPr>
                <w:color w:val="auto"/>
              </w:rPr>
              <w:t xml:space="preserve"> Läsion oberhalb vom Leberniveau im Bereich vom Sternum, Femur und </w:t>
            </w:r>
            <w:proofErr w:type="spellStart"/>
            <w:r w:rsidRPr="008A6408">
              <w:rPr>
                <w:color w:val="auto"/>
              </w:rPr>
              <w:t>ilio</w:t>
            </w:r>
            <w:proofErr w:type="spellEnd"/>
            <w:r w:rsidRPr="008A6408">
              <w:rPr>
                <w:color w:val="auto"/>
              </w:rPr>
              <w:t xml:space="preserve">-sakral Gelenk mit jedoch insgesamt einem guten Therapieansprechen. </w:t>
            </w:r>
            <w:r w:rsidR="00E21279">
              <w:rPr>
                <w:color w:val="auto"/>
              </w:rPr>
              <w:t xml:space="preserve"> </w:t>
            </w:r>
            <w:r w:rsidRPr="008A6408">
              <w:rPr>
                <w:color w:val="auto"/>
              </w:rPr>
              <w:t xml:space="preserve">Empfehlung zur Konsolidation mittels HDCT/ASCT nach dem 3. Zyklus R-ICE (Sammlung aus diesem Zyklus). Vorgängig an die HDCT/ASCT sind eine kardioonkologische (TTE/EKG) und pneumologische (LUFU) Standortbestimmung indiziert. </w:t>
            </w:r>
          </w:p>
        </w:tc>
      </w:tr>
    </w:tbl>
    <w:p w14:paraId="2B554C04" w14:textId="77777777" w:rsidR="008A6408" w:rsidRPr="008A6408" w:rsidRDefault="008A6408" w:rsidP="008A6408">
      <w:pPr>
        <w:pStyle w:val="Default"/>
      </w:pPr>
    </w:p>
    <w:p w14:paraId="025200AF" w14:textId="77777777" w:rsidR="00E94267" w:rsidRDefault="00E94267">
      <w:pPr>
        <w:spacing w:after="160" w:line="259" w:lineRule="auto"/>
      </w:pPr>
      <w:r>
        <w:br w:type="page"/>
      </w:r>
    </w:p>
    <w:p w14:paraId="1EF0FB24" w14:textId="77777777" w:rsidR="008A6408" w:rsidRPr="008A6408" w:rsidRDefault="00E94267">
      <w:r>
        <w:lastRenderedPageBreak/>
        <w:t>3</w:t>
      </w:r>
      <w:r w:rsidR="003D7C92">
        <w:t>-20240227-DiEl</w:t>
      </w:r>
    </w:p>
    <w:p w14:paraId="1DDF4516" w14:textId="77777777" w:rsidR="008A6408" w:rsidRDefault="008A6408"/>
    <w:p w14:paraId="196A1F88" w14:textId="77777777" w:rsidR="00E94267" w:rsidRDefault="00E94267" w:rsidP="00E9426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3"/>
        <w:gridCol w:w="4593"/>
      </w:tblGrid>
      <w:tr w:rsidR="00E94267" w:rsidRPr="00E94267" w14:paraId="08CD1142" w14:textId="77777777">
        <w:trPr>
          <w:trHeight w:val="3219"/>
        </w:trPr>
        <w:tc>
          <w:tcPr>
            <w:tcW w:w="4593" w:type="dxa"/>
          </w:tcPr>
          <w:p w14:paraId="17486346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Diffus grosszelliges B-Zell-Lymphom (DLBCL) mit sekundärer zerebraler Beteiligung, NOS, Stadium IV (ICC 2022), ED 03/2023 </w:t>
            </w:r>
          </w:p>
          <w:p w14:paraId="4F15371E" w14:textId="77777777" w:rsidR="00E94267" w:rsidRPr="00E94267" w:rsidRDefault="00E94267">
            <w:pPr>
              <w:pStyle w:val="Default"/>
              <w:rPr>
                <w:sz w:val="20"/>
                <w:szCs w:val="20"/>
                <w:lang w:val="en-GB"/>
              </w:rPr>
            </w:pPr>
            <w:r w:rsidRPr="00E94267">
              <w:rPr>
                <w:sz w:val="20"/>
                <w:szCs w:val="20"/>
                <w:lang w:val="en-GB"/>
              </w:rPr>
              <w:t xml:space="preserve">- R-IPI: poor Prognosis (4 Pkt.), IPI: high risk </w:t>
            </w:r>
          </w:p>
          <w:p w14:paraId="7BF046B2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Klinik: Müdigkeit, Übelkeit mit Erbrechen mit Gewichtverlust seit 6 Monaten </w:t>
            </w:r>
          </w:p>
          <w:p w14:paraId="4BD521D6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- 23.02.23 CT-Abdomen (</w:t>
            </w:r>
            <w:proofErr w:type="spellStart"/>
            <w:r>
              <w:rPr>
                <w:sz w:val="20"/>
                <w:szCs w:val="20"/>
              </w:rPr>
              <w:t>Aarberg</w:t>
            </w:r>
            <w:proofErr w:type="spellEnd"/>
            <w:r>
              <w:rPr>
                <w:sz w:val="20"/>
                <w:szCs w:val="20"/>
              </w:rPr>
              <w:t xml:space="preserve">): Multiple vergrösserte Lymphknoten retroperitoneal, </w:t>
            </w:r>
            <w:proofErr w:type="spellStart"/>
            <w:r>
              <w:rPr>
                <w:sz w:val="20"/>
                <w:szCs w:val="20"/>
              </w:rPr>
              <w:t>paraaortal</w:t>
            </w:r>
            <w:proofErr w:type="spellEnd"/>
            <w:r>
              <w:rPr>
                <w:sz w:val="20"/>
                <w:szCs w:val="20"/>
              </w:rPr>
              <w:t xml:space="preserve"> sowie Lymphknotenkonglomerate mesenterial und einige vergrösserte mesenteriale Lymphknoten mit Fettdichte, DD Lymphom, DD </w:t>
            </w:r>
            <w:proofErr w:type="spellStart"/>
            <w:r>
              <w:rPr>
                <w:sz w:val="20"/>
                <w:szCs w:val="20"/>
              </w:rPr>
              <w:t>cavitating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lymph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syndrome</w:t>
            </w:r>
            <w:proofErr w:type="spellEnd"/>
            <w:r>
              <w:rPr>
                <w:sz w:val="20"/>
                <w:szCs w:val="20"/>
              </w:rPr>
              <w:t xml:space="preserve"> im Rahmen der Zöliakie mit begleitendem Lymphom. Multiple fokale </w:t>
            </w:r>
            <w:proofErr w:type="spellStart"/>
            <w:r>
              <w:rPr>
                <w:sz w:val="20"/>
                <w:szCs w:val="20"/>
              </w:rPr>
              <w:t>zirkumferenzielle</w:t>
            </w:r>
            <w:proofErr w:type="spellEnd"/>
            <w:r>
              <w:rPr>
                <w:sz w:val="20"/>
                <w:szCs w:val="20"/>
              </w:rPr>
              <w:t xml:space="preserve"> und exzentrische Dünndarmwand-verdickungen, betont im </w:t>
            </w:r>
            <w:proofErr w:type="spellStart"/>
            <w:r>
              <w:rPr>
                <w:sz w:val="20"/>
                <w:szCs w:val="20"/>
              </w:rPr>
              <w:t>Jejunumbereich</w:t>
            </w:r>
            <w:proofErr w:type="spellEnd"/>
            <w:r>
              <w:rPr>
                <w:sz w:val="20"/>
                <w:szCs w:val="20"/>
              </w:rPr>
              <w:t xml:space="preserve">, DD Lymphom-Manifestation im Rahmen einer möglichen Zöliakie. Wenig freie Flüssigkeit im Becken. Noduläre Nebennierenläsionen beidseits, DD fettarme Nebennierenadenome, DD Metastase nicht auszuschliessen. </w:t>
            </w:r>
            <w:proofErr w:type="spellStart"/>
            <w:r>
              <w:rPr>
                <w:sz w:val="20"/>
                <w:szCs w:val="20"/>
              </w:rPr>
              <w:t>Hypodense</w:t>
            </w:r>
            <w:proofErr w:type="spellEnd"/>
            <w:r>
              <w:rPr>
                <w:sz w:val="20"/>
                <w:szCs w:val="20"/>
              </w:rPr>
              <w:t xml:space="preserve"> Läsion am </w:t>
            </w:r>
            <w:proofErr w:type="spellStart"/>
            <w:r>
              <w:rPr>
                <w:sz w:val="20"/>
                <w:szCs w:val="20"/>
              </w:rPr>
              <w:t>Oberpol</w:t>
            </w:r>
            <w:proofErr w:type="spellEnd"/>
            <w:r>
              <w:rPr>
                <w:sz w:val="20"/>
                <w:szCs w:val="20"/>
              </w:rPr>
              <w:t xml:space="preserve"> der linken Niere, DD komplizierte Nierenzyste, DD solide Läsion, Metastase, Lymphom. Manifestation nicht sicher auszuschliessen. Füllungsdefekte der rechten, distalen </w:t>
            </w:r>
            <w:proofErr w:type="spellStart"/>
            <w:r>
              <w:rPr>
                <w:sz w:val="20"/>
                <w:szCs w:val="20"/>
              </w:rPr>
              <w:t>Vena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ovarica</w:t>
            </w:r>
            <w:proofErr w:type="spellEnd"/>
            <w:r>
              <w:rPr>
                <w:sz w:val="20"/>
                <w:szCs w:val="20"/>
              </w:rPr>
              <w:t xml:space="preserve"> im Becken, </w:t>
            </w:r>
          </w:p>
          <w:p w14:paraId="4A7FDC4B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DD Flussphänomene, DD Thrombose </w:t>
            </w:r>
          </w:p>
          <w:p w14:paraId="26330303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- 16.03.23 PET-CT: Multiple, teils konfluierende LK supra- und </w:t>
            </w:r>
            <w:proofErr w:type="spellStart"/>
            <w:r>
              <w:rPr>
                <w:sz w:val="20"/>
                <w:szCs w:val="20"/>
              </w:rPr>
              <w:t>infradiaphragmal</w:t>
            </w:r>
            <w:proofErr w:type="spellEnd"/>
            <w:r>
              <w:rPr>
                <w:sz w:val="20"/>
                <w:szCs w:val="20"/>
              </w:rPr>
              <w:t xml:space="preserve"> suspekt auf ein high-grade Lymphom. Verdacht auf Beteiligung intestinal und beider Nebennieren </w:t>
            </w:r>
          </w:p>
          <w:p w14:paraId="0E0754CC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Myokardbefall ist ebenfalls nicht auszuschliessen. Kein Nachweis eines Milz-bzw. Knochenmarksbefalls. Inhomogene Mehrbelegung des Myokards, der Nebennieren </w:t>
            </w:r>
            <w:proofErr w:type="spellStart"/>
            <w:r>
              <w:rPr>
                <w:sz w:val="20"/>
                <w:szCs w:val="20"/>
              </w:rPr>
              <w:t>bds</w:t>
            </w:r>
            <w:proofErr w:type="spellEnd"/>
            <w:r>
              <w:rPr>
                <w:sz w:val="20"/>
                <w:szCs w:val="20"/>
              </w:rPr>
              <w:t xml:space="preserve">. sowie des Intestinums mit V.a. Beteiligung. Aszites im kleinen Becken mit begleitender reaktiver Stoffwechselsteigerung </w:t>
            </w:r>
          </w:p>
          <w:p w14:paraId="4A4CCD42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- 22.03.23 </w:t>
            </w:r>
            <w:proofErr w:type="spellStart"/>
            <w:r>
              <w:rPr>
                <w:sz w:val="20"/>
                <w:szCs w:val="20"/>
              </w:rPr>
              <w:t>Exzisat</w:t>
            </w:r>
            <w:proofErr w:type="spellEnd"/>
            <w:r>
              <w:rPr>
                <w:sz w:val="20"/>
                <w:szCs w:val="20"/>
              </w:rPr>
              <w:t xml:space="preserve">, Lymphknoten Level IV zervikal rechts: DLBCL, CD20:+, MUM1:+, Ki-67: 80 %, EBV negativ, FISH: keine MYC, BCL-2, BCL-6 und CCND1-Rearrangments </w:t>
            </w:r>
          </w:p>
        </w:tc>
        <w:tc>
          <w:tcPr>
            <w:tcW w:w="4593" w:type="dxa"/>
          </w:tcPr>
          <w:p w14:paraId="7F6B2AD3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Ann-Arbor Stadium </w:t>
            </w:r>
          </w:p>
          <w:p w14:paraId="4D56D64A" w14:textId="77777777" w:rsidR="00E94267" w:rsidRDefault="00E94267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☐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II </w:t>
            </w:r>
          </w:p>
          <w:p w14:paraId="1767B578" w14:textId="77777777" w:rsidR="00E94267" w:rsidRDefault="00E94267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  <w:r>
              <w:rPr>
                <w:rFonts w:eastAsia="MS Gothic"/>
                <w:sz w:val="18"/>
                <w:szCs w:val="18"/>
              </w:rPr>
              <w:t xml:space="preserve"> III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☒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IV </w:t>
            </w:r>
          </w:p>
          <w:p w14:paraId="00A9753E" w14:textId="77777777" w:rsidR="00E94267" w:rsidRDefault="00E94267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Begleitsymptome </w:t>
            </w:r>
          </w:p>
          <w:p w14:paraId="00038B4B" w14:textId="77777777" w:rsidR="00E94267" w:rsidRDefault="00E94267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ascii="MS Gothic" w:eastAsia="MS Gothic" w:cs="MS Gothic" w:hint="eastAsia"/>
                <w:sz w:val="18"/>
                <w:szCs w:val="18"/>
              </w:rPr>
              <w:t>☒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A </w:t>
            </w:r>
            <w:r>
              <w:rPr>
                <w:rFonts w:ascii="MS Gothic" w:eastAsia="MS Gothic" w:cs="MS Gothic" w:hint="eastAsia"/>
                <w:sz w:val="18"/>
                <w:szCs w:val="18"/>
              </w:rPr>
              <w:t>☐</w:t>
            </w:r>
            <w:r>
              <w:rPr>
                <w:rFonts w:asci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eastAsia="MS Gothic"/>
                <w:sz w:val="18"/>
                <w:szCs w:val="18"/>
              </w:rPr>
              <w:t xml:space="preserve">B </w:t>
            </w:r>
          </w:p>
          <w:p w14:paraId="23035F77" w14:textId="77777777" w:rsidR="00E94267" w:rsidRDefault="00E94267">
            <w:pPr>
              <w:pStyle w:val="Default"/>
              <w:rPr>
                <w:rFonts w:eastAsia="MS Gothic"/>
                <w:sz w:val="18"/>
                <w:szCs w:val="18"/>
              </w:rPr>
            </w:pPr>
            <w:r>
              <w:rPr>
                <w:rFonts w:eastAsia="MS Gothic"/>
                <w:sz w:val="18"/>
                <w:szCs w:val="18"/>
              </w:rPr>
              <w:t xml:space="preserve">Prognose-Scores </w:t>
            </w:r>
          </w:p>
          <w:p w14:paraId="53722571" w14:textId="77777777" w:rsidR="00E94267" w:rsidRDefault="00E94267">
            <w:pPr>
              <w:pStyle w:val="Default"/>
              <w:rPr>
                <w:rFonts w:eastAsia="MS Gothic"/>
                <w:sz w:val="12"/>
                <w:szCs w:val="12"/>
              </w:rPr>
            </w:pPr>
            <w:r>
              <w:rPr>
                <w:rFonts w:eastAsia="MS Gothic"/>
                <w:sz w:val="12"/>
                <w:szCs w:val="12"/>
              </w:rPr>
              <w:t xml:space="preserve">für DLBCL </w:t>
            </w:r>
          </w:p>
          <w:p w14:paraId="5D133F5C" w14:textId="77777777" w:rsidR="00E94267" w:rsidRPr="00E94267" w:rsidRDefault="00E94267">
            <w:pPr>
              <w:pStyle w:val="Default"/>
              <w:rPr>
                <w:rFonts w:eastAsia="MS Gothic"/>
                <w:sz w:val="18"/>
                <w:szCs w:val="18"/>
                <w:lang w:val="it-IT"/>
              </w:rPr>
            </w:pPr>
            <w:r w:rsidRPr="00E94267">
              <w:rPr>
                <w:rFonts w:eastAsia="MS Gothic"/>
                <w:sz w:val="18"/>
                <w:szCs w:val="18"/>
                <w:lang w:val="it-IT"/>
              </w:rPr>
              <w:t xml:space="preserve">IPI: IPI Score </w:t>
            </w:r>
          </w:p>
          <w:p w14:paraId="4672880F" w14:textId="77777777" w:rsidR="00E94267" w:rsidRPr="00E94267" w:rsidRDefault="00E94267">
            <w:pPr>
              <w:pStyle w:val="Default"/>
              <w:rPr>
                <w:rFonts w:eastAsia="MS Gothic"/>
                <w:sz w:val="12"/>
                <w:szCs w:val="12"/>
                <w:lang w:val="it-IT"/>
              </w:rPr>
            </w:pPr>
            <w:proofErr w:type="spellStart"/>
            <w:r w:rsidRPr="00E94267">
              <w:rPr>
                <w:rFonts w:eastAsia="MS Gothic"/>
                <w:sz w:val="12"/>
                <w:szCs w:val="12"/>
                <w:lang w:val="it-IT"/>
              </w:rPr>
              <w:t>für</w:t>
            </w:r>
            <w:proofErr w:type="spellEnd"/>
            <w:r w:rsidRPr="00E94267">
              <w:rPr>
                <w:rFonts w:eastAsia="MS Gothic"/>
                <w:sz w:val="12"/>
                <w:szCs w:val="12"/>
                <w:lang w:val="it-IT"/>
              </w:rPr>
              <w:t xml:space="preserve"> </w:t>
            </w:r>
            <w:proofErr w:type="spellStart"/>
            <w:r w:rsidRPr="00E94267">
              <w:rPr>
                <w:rFonts w:eastAsia="MS Gothic"/>
                <w:sz w:val="12"/>
                <w:szCs w:val="12"/>
                <w:lang w:val="it-IT"/>
              </w:rPr>
              <w:t>Mantelzelllymphom</w:t>
            </w:r>
            <w:proofErr w:type="spellEnd"/>
            <w:r w:rsidRPr="00E94267">
              <w:rPr>
                <w:rFonts w:eastAsia="MS Gothic"/>
                <w:sz w:val="12"/>
                <w:szCs w:val="12"/>
                <w:lang w:val="it-IT"/>
              </w:rPr>
              <w:t xml:space="preserve"> </w:t>
            </w:r>
          </w:p>
          <w:p w14:paraId="32DA86E9" w14:textId="77777777" w:rsidR="00E94267" w:rsidRPr="00E94267" w:rsidRDefault="00E94267">
            <w:pPr>
              <w:pStyle w:val="Default"/>
              <w:rPr>
                <w:rFonts w:eastAsia="MS Gothic"/>
                <w:sz w:val="18"/>
                <w:szCs w:val="18"/>
                <w:lang w:val="it-IT"/>
              </w:rPr>
            </w:pPr>
            <w:r w:rsidRPr="00E94267">
              <w:rPr>
                <w:rFonts w:eastAsia="MS Gothic"/>
                <w:sz w:val="18"/>
                <w:szCs w:val="18"/>
                <w:lang w:val="it-IT"/>
              </w:rPr>
              <w:t xml:space="preserve">MIPI: MIPI Score </w:t>
            </w:r>
          </w:p>
          <w:p w14:paraId="04765BDC" w14:textId="77777777" w:rsidR="00E94267" w:rsidRPr="00E94267" w:rsidRDefault="00E94267">
            <w:pPr>
              <w:pStyle w:val="Default"/>
              <w:rPr>
                <w:rFonts w:eastAsia="MS Gothic"/>
                <w:sz w:val="12"/>
                <w:szCs w:val="12"/>
                <w:lang w:val="en-GB"/>
              </w:rPr>
            </w:pPr>
            <w:r w:rsidRPr="00E94267">
              <w:rPr>
                <w:rFonts w:eastAsia="MS Gothic"/>
                <w:sz w:val="12"/>
                <w:szCs w:val="12"/>
                <w:lang w:val="en-GB"/>
              </w:rPr>
              <w:t xml:space="preserve">für </w:t>
            </w:r>
            <w:proofErr w:type="spellStart"/>
            <w:r w:rsidRPr="00E94267">
              <w:rPr>
                <w:rFonts w:eastAsia="MS Gothic"/>
                <w:sz w:val="12"/>
                <w:szCs w:val="12"/>
                <w:lang w:val="en-GB"/>
              </w:rPr>
              <w:t>Follikuläres</w:t>
            </w:r>
            <w:proofErr w:type="spellEnd"/>
            <w:r w:rsidRPr="00E94267">
              <w:rPr>
                <w:rFonts w:eastAsia="MS Gothic"/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E94267">
              <w:rPr>
                <w:rFonts w:eastAsia="MS Gothic"/>
                <w:sz w:val="12"/>
                <w:szCs w:val="12"/>
                <w:lang w:val="en-GB"/>
              </w:rPr>
              <w:t>Lymphom</w:t>
            </w:r>
            <w:proofErr w:type="spellEnd"/>
            <w:r w:rsidRPr="00E94267">
              <w:rPr>
                <w:rFonts w:eastAsia="MS Gothic"/>
                <w:sz w:val="12"/>
                <w:szCs w:val="12"/>
                <w:lang w:val="en-GB"/>
              </w:rPr>
              <w:t xml:space="preserve"> </w:t>
            </w:r>
          </w:p>
          <w:p w14:paraId="4BAEB7C6" w14:textId="77777777" w:rsidR="00E94267" w:rsidRPr="00E94267" w:rsidRDefault="00E94267">
            <w:pPr>
              <w:pStyle w:val="Default"/>
              <w:rPr>
                <w:rFonts w:eastAsia="MS Gothic"/>
                <w:sz w:val="18"/>
                <w:szCs w:val="18"/>
                <w:lang w:val="en-GB"/>
              </w:rPr>
            </w:pPr>
            <w:r w:rsidRPr="00E94267">
              <w:rPr>
                <w:rFonts w:eastAsia="MS Gothic"/>
                <w:sz w:val="18"/>
                <w:szCs w:val="18"/>
                <w:lang w:val="en-GB"/>
              </w:rPr>
              <w:t xml:space="preserve">FLIPI: FLIPI Score </w:t>
            </w:r>
          </w:p>
        </w:tc>
      </w:tr>
    </w:tbl>
    <w:p w14:paraId="3E1BBAC9" w14:textId="77777777" w:rsidR="00E94267" w:rsidRPr="00E94267" w:rsidRDefault="00E94267">
      <w:pPr>
        <w:rPr>
          <w:lang w:val="en-GB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43"/>
      </w:tblGrid>
      <w:tr w:rsidR="00E94267" w14:paraId="5EBC140E" w14:textId="77777777">
        <w:trPr>
          <w:trHeight w:val="103"/>
        </w:trPr>
        <w:tc>
          <w:tcPr>
            <w:tcW w:w="7443" w:type="dxa"/>
          </w:tcPr>
          <w:p w14:paraId="48D9987F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Hauptdiagnose </w:t>
            </w:r>
          </w:p>
        </w:tc>
      </w:tr>
      <w:tr w:rsidR="00E94267" w14:paraId="595931FC" w14:textId="77777777">
        <w:trPr>
          <w:trHeight w:val="4413"/>
        </w:trPr>
        <w:tc>
          <w:tcPr>
            <w:tcW w:w="7443" w:type="dxa"/>
          </w:tcPr>
          <w:p w14:paraId="705A47B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- 28.03.23 Lymphom-Board: Beginn mit R-CHOP. Nach 2 Zyklen Re-Evaluation mittels PET-CT </w:t>
            </w:r>
          </w:p>
          <w:p w14:paraId="527DD6CD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- 28.03. - 30.03.23 Vorphase mit Prednison 100 mg </w:t>
            </w:r>
            <w:proofErr w:type="spellStart"/>
            <w:r>
              <w:rPr>
                <w:sz w:val="20"/>
                <w:szCs w:val="20"/>
              </w:rPr>
              <w:t>p.o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40A64D77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- 01.03 - 09.08.23 6. Zyklen Chemotherapie mit R-CHOP </w:t>
            </w:r>
          </w:p>
          <w:p w14:paraId="46F6A3A6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- 03.08.23 PET-CT: Die </w:t>
            </w:r>
            <w:proofErr w:type="spellStart"/>
            <w:r>
              <w:rPr>
                <w:sz w:val="20"/>
                <w:szCs w:val="20"/>
              </w:rPr>
              <w:t>Lymphommanifestationen</w:t>
            </w:r>
            <w:proofErr w:type="spellEnd"/>
            <w:r>
              <w:rPr>
                <w:sz w:val="20"/>
                <w:szCs w:val="20"/>
              </w:rPr>
              <w:t xml:space="preserve"> rechts </w:t>
            </w:r>
            <w:proofErr w:type="spellStart"/>
            <w:r>
              <w:rPr>
                <w:sz w:val="20"/>
                <w:szCs w:val="20"/>
              </w:rPr>
              <w:t>supraklavikulär</w:t>
            </w:r>
            <w:proofErr w:type="spellEnd"/>
            <w:r>
              <w:rPr>
                <w:sz w:val="20"/>
                <w:szCs w:val="20"/>
              </w:rPr>
              <w:t xml:space="preserve"> sind metabolisch vollständig </w:t>
            </w:r>
            <w:proofErr w:type="spellStart"/>
            <w:r>
              <w:rPr>
                <w:sz w:val="20"/>
                <w:szCs w:val="20"/>
              </w:rPr>
              <w:t>regredient</w:t>
            </w:r>
            <w:proofErr w:type="spellEnd"/>
            <w:r>
              <w:rPr>
                <w:sz w:val="20"/>
                <w:szCs w:val="20"/>
              </w:rPr>
              <w:t xml:space="preserve">. Insbesondere im kleinen Becken noch einzelne über Leberniveau liegende, darmbezogene Stoffwechselsteigerungen sind im Verlauf weiter </w:t>
            </w:r>
            <w:proofErr w:type="spellStart"/>
            <w:r>
              <w:rPr>
                <w:sz w:val="20"/>
                <w:szCs w:val="20"/>
              </w:rPr>
              <w:t>regredient</w:t>
            </w:r>
            <w:proofErr w:type="spellEnd"/>
            <w:r>
              <w:rPr>
                <w:sz w:val="20"/>
                <w:szCs w:val="20"/>
              </w:rPr>
              <w:t xml:space="preserve">, DD </w:t>
            </w:r>
            <w:proofErr w:type="spellStart"/>
            <w:r>
              <w:rPr>
                <w:sz w:val="20"/>
                <w:szCs w:val="20"/>
              </w:rPr>
              <w:t>residuell</w:t>
            </w:r>
            <w:proofErr w:type="spellEnd"/>
            <w:r>
              <w:rPr>
                <w:sz w:val="20"/>
                <w:szCs w:val="20"/>
              </w:rPr>
              <w:t xml:space="preserve"> vitales </w:t>
            </w:r>
            <w:proofErr w:type="spellStart"/>
            <w:r>
              <w:rPr>
                <w:sz w:val="20"/>
                <w:szCs w:val="20"/>
              </w:rPr>
              <w:t>Lymphomgewebe</w:t>
            </w:r>
            <w:proofErr w:type="spellEnd"/>
            <w:r>
              <w:rPr>
                <w:sz w:val="20"/>
                <w:szCs w:val="20"/>
              </w:rPr>
              <w:t xml:space="preserve"> nicht auszuschliessen, DD entzündlich bei imbibiertem mesenterialem Fettgewebe (Deauville-Score 4) </w:t>
            </w:r>
          </w:p>
          <w:p w14:paraId="7EF0F3D6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- 08.08.23 </w:t>
            </w:r>
            <w:proofErr w:type="spellStart"/>
            <w:r>
              <w:rPr>
                <w:sz w:val="20"/>
                <w:szCs w:val="20"/>
              </w:rPr>
              <w:t>Lymphomboard</w:t>
            </w:r>
            <w:proofErr w:type="spellEnd"/>
            <w:r>
              <w:rPr>
                <w:sz w:val="20"/>
                <w:szCs w:val="20"/>
              </w:rPr>
              <w:t xml:space="preserve">: Empfehlung einer kurzfristigen Verlaufs-Bildgebung mittels PET-CT in </w:t>
            </w:r>
          </w:p>
          <w:p w14:paraId="7CC76574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2 - 3 Monaten </w:t>
            </w:r>
          </w:p>
          <w:p w14:paraId="088C17FE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- 20.12.23 PET-CT (extern): Neuer intensiv stoffwechselaktiver links hilärer Lymphknoten, </w:t>
            </w:r>
            <w:proofErr w:type="spellStart"/>
            <w:r>
              <w:rPr>
                <w:sz w:val="20"/>
                <w:szCs w:val="20"/>
              </w:rPr>
              <w:t>a.e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Lymphommanifestation</w:t>
            </w:r>
            <w:proofErr w:type="spellEnd"/>
            <w:r>
              <w:rPr>
                <w:sz w:val="20"/>
                <w:szCs w:val="20"/>
              </w:rPr>
              <w:t xml:space="preserve">. Weiterhin intensiv stoffwechselaktiver Lymphknoten im Mittelbauch links bei initial ausgeprägtem abdominalem </w:t>
            </w:r>
            <w:proofErr w:type="spellStart"/>
            <w:r>
              <w:rPr>
                <w:sz w:val="20"/>
                <w:szCs w:val="20"/>
              </w:rPr>
              <w:t>Lymphombefall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a.e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Lymphommanifestation</w:t>
            </w:r>
            <w:proofErr w:type="spellEnd"/>
            <w:r>
              <w:rPr>
                <w:sz w:val="20"/>
                <w:szCs w:val="20"/>
              </w:rPr>
              <w:t xml:space="preserve">. Insgesamt </w:t>
            </w:r>
          </w:p>
          <w:p w14:paraId="018120B4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Deauville 5. </w:t>
            </w:r>
            <w:proofErr w:type="spellStart"/>
            <w:r>
              <w:rPr>
                <w:sz w:val="20"/>
                <w:szCs w:val="20"/>
              </w:rPr>
              <w:t>Nebenbefundlich</w:t>
            </w:r>
            <w:proofErr w:type="spellEnd"/>
            <w:r>
              <w:rPr>
                <w:sz w:val="20"/>
                <w:szCs w:val="20"/>
              </w:rPr>
              <w:t xml:space="preserve">: kleine Konsolidierung im linken OL mit geringer </w:t>
            </w:r>
            <w:proofErr w:type="spellStart"/>
            <w:r>
              <w:rPr>
                <w:sz w:val="20"/>
                <w:szCs w:val="20"/>
              </w:rPr>
              <w:t>Tracerpeicherung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a.e</w:t>
            </w:r>
            <w:proofErr w:type="spellEnd"/>
            <w:r>
              <w:rPr>
                <w:sz w:val="20"/>
                <w:szCs w:val="20"/>
              </w:rPr>
              <w:t>. (</w:t>
            </w:r>
            <w:proofErr w:type="spellStart"/>
            <w:r>
              <w:rPr>
                <w:sz w:val="20"/>
                <w:szCs w:val="20"/>
              </w:rPr>
              <w:t>post</w:t>
            </w:r>
            <w:proofErr w:type="spellEnd"/>
            <w:r>
              <w:rPr>
                <w:sz w:val="20"/>
                <w:szCs w:val="20"/>
              </w:rPr>
              <w:t xml:space="preserve">)entzündlich </w:t>
            </w:r>
          </w:p>
          <w:p w14:paraId="51D03A0F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Sekundäre zerebrale Beteiligung</w:t>
            </w:r>
            <w:r>
              <w:rPr>
                <w:sz w:val="20"/>
                <w:szCs w:val="20"/>
              </w:rPr>
              <w:t xml:space="preserve">: </w:t>
            </w:r>
          </w:p>
          <w:p w14:paraId="3C5032C8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- 22.12.23 Klinik: Verwirrung, Wortfindungsstörungen, Mundastschwäche rechts </w:t>
            </w:r>
          </w:p>
          <w:p w14:paraId="6BB9061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- 22.12.23 MRT-Schädel: Befund in erster Linie vereinbar mit zerebraler </w:t>
            </w:r>
            <w:proofErr w:type="spellStart"/>
            <w:r>
              <w:rPr>
                <w:sz w:val="20"/>
                <w:szCs w:val="20"/>
              </w:rPr>
              <w:t>Lymphommanifestation</w:t>
            </w:r>
            <w:proofErr w:type="spellEnd"/>
            <w:r>
              <w:rPr>
                <w:sz w:val="20"/>
                <w:szCs w:val="20"/>
              </w:rPr>
              <w:t xml:space="preserve"> mit ca. 6 cm grosser kontrastmittelanreichernder Raumforderung links frontotemporal und </w:t>
            </w:r>
            <w:proofErr w:type="spellStart"/>
            <w:r>
              <w:rPr>
                <w:sz w:val="20"/>
                <w:szCs w:val="20"/>
              </w:rPr>
              <w:t>subependymalen</w:t>
            </w:r>
            <w:proofErr w:type="spellEnd"/>
            <w:r>
              <w:rPr>
                <w:sz w:val="20"/>
                <w:szCs w:val="20"/>
              </w:rPr>
              <w:t xml:space="preserve"> Tumoraussaat. Mittellinienverlagerung nach rechts um ca. 13 mm und geringe Zeichen der </w:t>
            </w:r>
            <w:proofErr w:type="spellStart"/>
            <w:r>
              <w:rPr>
                <w:sz w:val="20"/>
                <w:szCs w:val="20"/>
              </w:rPr>
              <w:t>Liquorzirkulationsstörung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42B5542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- 28.12.23 EEG: Mittelschwerer Herdbefund frontotemporal links. Im Herd streckenweise Auftreten von </w:t>
            </w:r>
            <w:proofErr w:type="spellStart"/>
            <w:r>
              <w:rPr>
                <w:sz w:val="20"/>
                <w:szCs w:val="20"/>
              </w:rPr>
              <w:t>lateralized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rhythmic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>. Keine epilepsietypischen Signale. Kein Status epilepticus non-</w:t>
            </w:r>
            <w:proofErr w:type="spellStart"/>
            <w:r>
              <w:rPr>
                <w:sz w:val="20"/>
                <w:szCs w:val="20"/>
              </w:rPr>
              <w:t>convulsivus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728197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- 23.12. - 26.12.23 1. Zyklus IELSG-42 Studie (Marietta)-Matrix </w:t>
            </w:r>
          </w:p>
          <w:p w14:paraId="2CE27C09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(Methotrexat, Rituximab, </w:t>
            </w:r>
            <w:proofErr w:type="spellStart"/>
            <w:r>
              <w:rPr>
                <w:sz w:val="20"/>
                <w:szCs w:val="20"/>
              </w:rPr>
              <w:t>Cytarabin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07BD3A9E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- 15.01. - 18.01.24 2. Zyklus IELSG-42 Studie (Marietta)-Matrix </w:t>
            </w:r>
          </w:p>
          <w:p w14:paraId="017E6E9B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(Methotrexat, Rituximab, </w:t>
            </w:r>
            <w:proofErr w:type="spellStart"/>
            <w:r>
              <w:rPr>
                <w:sz w:val="20"/>
                <w:szCs w:val="20"/>
              </w:rPr>
              <w:t>Cytarabin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6A65F46B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- 06.02. - 09.02.24 3. Zyklus IELSG-41 Studie (Marietta)-Matrix </w:t>
            </w:r>
          </w:p>
          <w:p w14:paraId="645E8AFB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(Methotrexat, Rituximab, </w:t>
            </w:r>
            <w:proofErr w:type="spellStart"/>
            <w:r>
              <w:rPr>
                <w:sz w:val="20"/>
                <w:szCs w:val="20"/>
              </w:rPr>
              <w:t>Cytarabin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1A06A9E2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Aktuell: </w:t>
            </w:r>
            <w:r>
              <w:rPr>
                <w:sz w:val="20"/>
                <w:szCs w:val="20"/>
              </w:rPr>
              <w:t xml:space="preserve">PET-CT und MR Schädel nach 3 Zyklen Matrix </w:t>
            </w:r>
          </w:p>
          <w:p w14:paraId="0CB00FC2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</w:p>
        </w:tc>
      </w:tr>
      <w:tr w:rsidR="00E94267" w14:paraId="0E65F0A0" w14:textId="77777777" w:rsidTr="00E94267">
        <w:trPr>
          <w:trHeight w:val="4413"/>
        </w:trPr>
        <w:tc>
          <w:tcPr>
            <w:tcW w:w="7443" w:type="dxa"/>
            <w:tcBorders>
              <w:left w:val="nil"/>
              <w:right w:val="nil"/>
            </w:tcBorders>
          </w:tcPr>
          <w:p w14:paraId="4DDF6657" w14:textId="77777777" w:rsidR="00E94267" w:rsidRPr="00E94267" w:rsidRDefault="00E94267">
            <w:pPr>
              <w:pStyle w:val="Default"/>
              <w:rPr>
                <w:sz w:val="20"/>
                <w:szCs w:val="20"/>
              </w:rPr>
            </w:pPr>
            <w:r w:rsidRPr="00E94267">
              <w:rPr>
                <w:sz w:val="20"/>
                <w:szCs w:val="20"/>
              </w:rPr>
              <w:t xml:space="preserve">Relevante Nebendiagnosen </w:t>
            </w:r>
          </w:p>
        </w:tc>
      </w:tr>
      <w:tr w:rsidR="00E94267" w14:paraId="0827BC97" w14:textId="77777777" w:rsidTr="00E94267">
        <w:trPr>
          <w:trHeight w:val="4413"/>
        </w:trPr>
        <w:tc>
          <w:tcPr>
            <w:tcW w:w="7443" w:type="dxa"/>
            <w:tcBorders>
              <w:left w:val="nil"/>
              <w:bottom w:val="nil"/>
              <w:right w:val="nil"/>
            </w:tcBorders>
          </w:tcPr>
          <w:p w14:paraId="77CCD581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-- </w:t>
            </w:r>
          </w:p>
        </w:tc>
      </w:tr>
    </w:tbl>
    <w:p w14:paraId="777A9098" w14:textId="77777777" w:rsidR="00E94267" w:rsidRPr="00E94267" w:rsidRDefault="00E9426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36"/>
      </w:tblGrid>
      <w:tr w:rsidR="00E94267" w14:paraId="00235394" w14:textId="77777777">
        <w:trPr>
          <w:trHeight w:val="265"/>
        </w:trPr>
        <w:tc>
          <w:tcPr>
            <w:tcW w:w="9436" w:type="dxa"/>
          </w:tcPr>
          <w:p w14:paraId="340A09B6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Relevante anamnestische und klinische Angaben (z.B. Beschwerden) / Fragestellung an Tumorboard / Behandlungsvorschlag </w:t>
            </w:r>
          </w:p>
        </w:tc>
      </w:tr>
      <w:tr w:rsidR="00E94267" w14:paraId="3F22BB9B" w14:textId="77777777">
        <w:trPr>
          <w:trHeight w:val="241"/>
        </w:trPr>
        <w:tc>
          <w:tcPr>
            <w:tcW w:w="9436" w:type="dxa"/>
          </w:tcPr>
          <w:p w14:paraId="6649FAAD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Bilder Demonstration; Ansprechen nach 3 Zyklen Matrix → 3 x R-ICE, Sammlung autolog. STZ &amp; Hochdosis-Konsolidierung. PET-CT/MR Schädel wieder nach 3-R-ICE </w:t>
            </w:r>
          </w:p>
        </w:tc>
      </w:tr>
    </w:tbl>
    <w:p w14:paraId="3283FBBB" w14:textId="77777777" w:rsidR="00E94267" w:rsidRDefault="00E94267"/>
    <w:p w14:paraId="0C5D0749" w14:textId="77777777" w:rsidR="00E94267" w:rsidRDefault="00E9426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05"/>
      </w:tblGrid>
      <w:tr w:rsidR="00E94267" w14:paraId="0F05F746" w14:textId="77777777">
        <w:trPr>
          <w:trHeight w:val="103"/>
        </w:trPr>
        <w:tc>
          <w:tcPr>
            <w:tcW w:w="9305" w:type="dxa"/>
          </w:tcPr>
          <w:p w14:paraId="67ED2088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Beurteilung und Therapieempfehlung </w:t>
            </w:r>
          </w:p>
        </w:tc>
      </w:tr>
      <w:tr w:rsidR="00E94267" w14:paraId="2EFDE7BE" w14:textId="77777777">
        <w:trPr>
          <w:trHeight w:val="584"/>
        </w:trPr>
        <w:tc>
          <w:tcPr>
            <w:tcW w:w="9305" w:type="dxa"/>
          </w:tcPr>
          <w:p w14:paraId="72EBE130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MARIETTA-Studie, mit nun 3 Zyklen </w:t>
            </w:r>
            <w:proofErr w:type="spellStart"/>
            <w:r>
              <w:rPr>
                <w:sz w:val="20"/>
                <w:szCs w:val="20"/>
              </w:rPr>
              <w:t>MATRix</w:t>
            </w:r>
            <w:proofErr w:type="spellEnd"/>
            <w:r>
              <w:rPr>
                <w:sz w:val="20"/>
                <w:szCs w:val="20"/>
              </w:rPr>
              <w:t xml:space="preserve">, zeigte ein auch klinisch fassbares gutes Lymphom-ansprechen der zerebralen Manifestationen. In der PET/CT bleiben, nicht ganz unerwartet, stoffwechsel-aktive Residuen im Bereich des Abdomens. </w:t>
            </w:r>
          </w:p>
          <w:p w14:paraId="5E2AE772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Empfehlung zur Komplettierung der Chemotherapie mit nun tentativ 3 Zyklen R-ICE, mit Sammlung autologer Stammzellen hinsichtlich einer konsolidierenden Hochdosischemotherapie. </w:t>
            </w:r>
          </w:p>
        </w:tc>
      </w:tr>
    </w:tbl>
    <w:p w14:paraId="5DB02A01" w14:textId="77777777" w:rsidR="00E94267" w:rsidRDefault="00E94267"/>
    <w:p w14:paraId="4A485B3A" w14:textId="77777777" w:rsidR="00E94267" w:rsidRDefault="00E94267"/>
    <w:p w14:paraId="54E0AB5E" w14:textId="77777777" w:rsidR="00E94267" w:rsidRDefault="00E94267">
      <w:pPr>
        <w:spacing w:after="160" w:line="259" w:lineRule="auto"/>
      </w:pPr>
      <w:r>
        <w:br w:type="page"/>
      </w:r>
    </w:p>
    <w:p w14:paraId="4A1B132F" w14:textId="77777777" w:rsidR="00E94267" w:rsidRDefault="00E94267">
      <w:r>
        <w:lastRenderedPageBreak/>
        <w:t>4</w:t>
      </w:r>
      <w:r w:rsidR="003D7C92">
        <w:t>-20240227-EiMa</w:t>
      </w:r>
    </w:p>
    <w:p w14:paraId="0BBBCA58" w14:textId="77777777" w:rsidR="00E94267" w:rsidRDefault="00E94267"/>
    <w:p w14:paraId="3E4E4465" w14:textId="77777777" w:rsidR="00E94267" w:rsidRDefault="00E94267" w:rsidP="00E9426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3"/>
        <w:gridCol w:w="2850"/>
        <w:gridCol w:w="1743"/>
      </w:tblGrid>
      <w:tr w:rsidR="00E94267" w:rsidRPr="00E94267" w14:paraId="7B47BEF4" w14:textId="77777777" w:rsidTr="00E94267">
        <w:trPr>
          <w:trHeight w:val="3699"/>
        </w:trPr>
        <w:tc>
          <w:tcPr>
            <w:tcW w:w="4593" w:type="dxa"/>
          </w:tcPr>
          <w:p w14:paraId="5BA2B9E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b/>
                <w:bCs/>
                <w:sz w:val="20"/>
                <w:szCs w:val="20"/>
              </w:rPr>
              <w:t>Multifokale Langerhans-Zell-</w:t>
            </w:r>
            <w:proofErr w:type="spellStart"/>
            <w:r>
              <w:rPr>
                <w:b/>
                <w:bCs/>
                <w:sz w:val="20"/>
                <w:szCs w:val="20"/>
              </w:rPr>
              <w:t>Histiozytose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, ED 10/2015 </w:t>
            </w:r>
          </w:p>
          <w:p w14:paraId="0CC272EA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2002 Diagnose eines entzündlichen Pseudotumors in der Neurohypophyse und des </w:t>
            </w:r>
            <w:proofErr w:type="spellStart"/>
            <w:r>
              <w:rPr>
                <w:sz w:val="20"/>
                <w:szCs w:val="20"/>
              </w:rPr>
              <w:t>Infundibulums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ABF43FE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Panhypopituitarismus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A0179A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06/2014 Transnasale und </w:t>
            </w:r>
            <w:proofErr w:type="spellStart"/>
            <w:r>
              <w:rPr>
                <w:sz w:val="20"/>
                <w:szCs w:val="20"/>
              </w:rPr>
              <w:t>frontobasale</w:t>
            </w:r>
            <w:proofErr w:type="spellEnd"/>
            <w:r>
              <w:rPr>
                <w:sz w:val="20"/>
                <w:szCs w:val="20"/>
              </w:rPr>
              <w:t xml:space="preserve"> Resektion mit passagerer Anlage einer lumbalen </w:t>
            </w:r>
            <w:proofErr w:type="spellStart"/>
            <w:r>
              <w:rPr>
                <w:sz w:val="20"/>
                <w:szCs w:val="20"/>
              </w:rPr>
              <w:t>Liquordrainage</w:t>
            </w:r>
            <w:proofErr w:type="spellEnd"/>
            <w:r>
              <w:rPr>
                <w:sz w:val="20"/>
                <w:szCs w:val="20"/>
              </w:rPr>
              <w:t xml:space="preserve"> bei postoperativer </w:t>
            </w:r>
            <w:proofErr w:type="spellStart"/>
            <w:r>
              <w:rPr>
                <w:sz w:val="20"/>
                <w:szCs w:val="20"/>
              </w:rPr>
              <w:t>Liquorrhoe</w:t>
            </w:r>
            <w:proofErr w:type="spellEnd"/>
            <w:r>
              <w:rPr>
                <w:sz w:val="20"/>
                <w:szCs w:val="20"/>
              </w:rPr>
              <w:t>, histologisch initial als entzündlicher Pseudotumor interpretiert, Diagnose am 10.11.2015 nachträglich revidiert (</w:t>
            </w:r>
            <w:proofErr w:type="spellStart"/>
            <w:r>
              <w:rPr>
                <w:sz w:val="20"/>
                <w:szCs w:val="20"/>
              </w:rPr>
              <w:t>Patho</w:t>
            </w:r>
            <w:proofErr w:type="spellEnd"/>
            <w:r>
              <w:rPr>
                <w:sz w:val="20"/>
                <w:szCs w:val="20"/>
              </w:rPr>
              <w:t xml:space="preserve">. Bern B2014.32618) </w:t>
            </w:r>
          </w:p>
          <w:p w14:paraId="36B64EDB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seit Sommer 2015: Juckende ulzeröse Läsionen </w:t>
            </w:r>
            <w:proofErr w:type="spellStart"/>
            <w:r>
              <w:rPr>
                <w:sz w:val="20"/>
                <w:szCs w:val="20"/>
              </w:rPr>
              <w:t>vulvär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AFBEE38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13.10.15: PE Vulva links mit </w:t>
            </w:r>
            <w:proofErr w:type="spellStart"/>
            <w:r>
              <w:rPr>
                <w:sz w:val="20"/>
                <w:szCs w:val="20"/>
              </w:rPr>
              <w:t>diagnost</w:t>
            </w:r>
            <w:proofErr w:type="spellEnd"/>
            <w:r>
              <w:rPr>
                <w:sz w:val="20"/>
                <w:szCs w:val="20"/>
              </w:rPr>
              <w:t>. Histologie: Langerhans-Zell-</w:t>
            </w:r>
            <w:proofErr w:type="spellStart"/>
            <w:r>
              <w:rPr>
                <w:sz w:val="20"/>
                <w:szCs w:val="20"/>
              </w:rPr>
              <w:t>Histiozytose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Dermatopathologie</w:t>
            </w:r>
            <w:proofErr w:type="spellEnd"/>
            <w:r>
              <w:rPr>
                <w:sz w:val="20"/>
                <w:szCs w:val="20"/>
              </w:rPr>
              <w:t xml:space="preserve"> Bern D15.14076, BRAF im Codon 600 des Exon </w:t>
            </w:r>
            <w:proofErr w:type="spellStart"/>
            <w:r>
              <w:rPr>
                <w:sz w:val="20"/>
                <w:szCs w:val="20"/>
              </w:rPr>
              <w:t>unmutiert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Patho</w:t>
            </w:r>
            <w:proofErr w:type="spellEnd"/>
            <w:r>
              <w:rPr>
                <w:sz w:val="20"/>
                <w:szCs w:val="20"/>
              </w:rPr>
              <w:t xml:space="preserve">. Bern B2015.60265)) </w:t>
            </w:r>
          </w:p>
          <w:p w14:paraId="7DEE98D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05.11.15: CT Thorax/ Abdomen: Keine pulmonale Manifestation, Os </w:t>
            </w:r>
            <w:proofErr w:type="spellStart"/>
            <w:r>
              <w:rPr>
                <w:sz w:val="20"/>
                <w:szCs w:val="20"/>
              </w:rPr>
              <w:t>ilii</w:t>
            </w:r>
            <w:proofErr w:type="spellEnd"/>
            <w:r>
              <w:rPr>
                <w:sz w:val="20"/>
                <w:szCs w:val="20"/>
              </w:rPr>
              <w:t xml:space="preserve"> irreguläre Osteolyse, gut vereinbar mit Befall im Rahmen des eosinophilen Granuloms </w:t>
            </w:r>
          </w:p>
          <w:p w14:paraId="456A0FF3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12/2015: MRI Becken: Unspezifische inguinale und retroperitoneale Lymphknoten beidseits, mögliche ossäre Beteiligung im Os </w:t>
            </w:r>
            <w:proofErr w:type="spellStart"/>
            <w:r>
              <w:rPr>
                <w:sz w:val="20"/>
                <w:szCs w:val="20"/>
              </w:rPr>
              <w:t>ilium</w:t>
            </w:r>
            <w:proofErr w:type="spellEnd"/>
            <w:r>
              <w:rPr>
                <w:sz w:val="20"/>
                <w:szCs w:val="20"/>
              </w:rPr>
              <w:t xml:space="preserve"> und im Trochanter minor links </w:t>
            </w:r>
          </w:p>
          <w:p w14:paraId="10F2BEC3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12/2015: Tumorboard Lymphome: </w:t>
            </w:r>
            <w:proofErr w:type="spellStart"/>
            <w:r>
              <w:rPr>
                <w:sz w:val="20"/>
                <w:szCs w:val="20"/>
              </w:rPr>
              <w:t>Vulvär</w:t>
            </w:r>
            <w:proofErr w:type="spellEnd"/>
            <w:r>
              <w:rPr>
                <w:sz w:val="20"/>
                <w:szCs w:val="20"/>
              </w:rPr>
              <w:t xml:space="preserve"> inoperabler Befund, systemischer Therapiebedarf gegeben </w:t>
            </w:r>
          </w:p>
          <w:p w14:paraId="4B8CFE61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12/2015 - 01/2016: Chemotherapie mit </w:t>
            </w:r>
            <w:proofErr w:type="spellStart"/>
            <w:r>
              <w:rPr>
                <w:sz w:val="20"/>
                <w:szCs w:val="20"/>
              </w:rPr>
              <w:t>Vinblastin</w:t>
            </w:r>
            <w:proofErr w:type="spellEnd"/>
            <w:r>
              <w:rPr>
                <w:sz w:val="20"/>
                <w:szCs w:val="20"/>
              </w:rPr>
              <w:t xml:space="preserve"> und Prednison, klinisch gutes Ansprechen </w:t>
            </w:r>
          </w:p>
          <w:p w14:paraId="7B07AA46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03/2016: Klinischer Verdacht auf Rezidiv: Juckreiz/Brennen </w:t>
            </w:r>
            <w:proofErr w:type="spellStart"/>
            <w:r>
              <w:rPr>
                <w:sz w:val="20"/>
                <w:szCs w:val="20"/>
              </w:rPr>
              <w:t>vulvär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01C33DE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21.03.16: Probeexzision Introitus links, neoplastisch imponierende </w:t>
            </w:r>
            <w:proofErr w:type="spellStart"/>
            <w:r>
              <w:rPr>
                <w:sz w:val="20"/>
                <w:szCs w:val="20"/>
              </w:rPr>
              <w:t>histiozytäre</w:t>
            </w:r>
            <w:proofErr w:type="spellEnd"/>
            <w:r>
              <w:rPr>
                <w:sz w:val="20"/>
                <w:szCs w:val="20"/>
              </w:rPr>
              <w:t xml:space="preserve"> Infiltrate mit eosinophilen Granulozyten, vereinbar mit Manifestationen der Langerhans-</w:t>
            </w:r>
            <w:proofErr w:type="spellStart"/>
            <w:r>
              <w:rPr>
                <w:sz w:val="20"/>
                <w:szCs w:val="20"/>
              </w:rPr>
              <w:t>Histiozytose</w:t>
            </w:r>
            <w:proofErr w:type="spellEnd"/>
            <w:r>
              <w:rPr>
                <w:sz w:val="20"/>
                <w:szCs w:val="20"/>
              </w:rPr>
              <w:t xml:space="preserve"> (Pathologie Bern) </w:t>
            </w:r>
          </w:p>
          <w:p w14:paraId="04FEAFD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04.04.16: Tumorboard Gynäkologie: Empfehlung zur Radiotherapie </w:t>
            </w:r>
          </w:p>
          <w:p w14:paraId="39AC2C50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18.05. - 27.05.16 perkutane Radiotherapie </w:t>
            </w:r>
            <w:proofErr w:type="spellStart"/>
            <w:r>
              <w:rPr>
                <w:sz w:val="20"/>
                <w:szCs w:val="20"/>
              </w:rPr>
              <w:t>vulvär</w:t>
            </w:r>
            <w:proofErr w:type="spellEnd"/>
            <w:r>
              <w:rPr>
                <w:sz w:val="20"/>
                <w:szCs w:val="20"/>
              </w:rPr>
              <w:t xml:space="preserve">, Gesamtdosis 16 Gy </w:t>
            </w:r>
          </w:p>
          <w:p w14:paraId="1D2CB9CE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11/2016: 2. Lokalrezidiv einer Langerhans-</w:t>
            </w:r>
            <w:proofErr w:type="spellStart"/>
            <w:r>
              <w:rPr>
                <w:sz w:val="20"/>
                <w:szCs w:val="20"/>
              </w:rPr>
              <w:t>Histiozytose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vulvär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E0C4EA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06.12.16: Ganzkörper-MRI: Neue Läsionen in der Schädelkalotte, BWK11, dem Trochanter minor links bei unveränderter Darstellung der bekannten Läsion im </w:t>
            </w:r>
          </w:p>
          <w:p w14:paraId="64EF1DDF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14:paraId="4459DE2F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Ann-Arbor Stadium </w:t>
            </w:r>
          </w:p>
          <w:p w14:paraId="46AD99AD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 </w:t>
            </w:r>
          </w:p>
          <w:p w14:paraId="0CED4B35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III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IV </w:t>
            </w:r>
          </w:p>
          <w:p w14:paraId="066ADD11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Begleitsymptome </w:t>
            </w:r>
          </w:p>
          <w:p w14:paraId="4CAF7A1D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A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B </w:t>
            </w:r>
          </w:p>
          <w:p w14:paraId="02EC996F" w14:textId="77777777" w:rsidR="00E94267" w:rsidRDefault="00E9426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Prognose-Scores </w:t>
            </w:r>
          </w:p>
          <w:p w14:paraId="49C6E435" w14:textId="77777777" w:rsidR="00E94267" w:rsidRDefault="00E94267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für DLBCL </w:t>
            </w:r>
          </w:p>
          <w:p w14:paraId="6E2D9786" w14:textId="77777777" w:rsidR="00E94267" w:rsidRPr="00E94267" w:rsidRDefault="00E94267">
            <w:pPr>
              <w:pStyle w:val="Default"/>
              <w:rPr>
                <w:sz w:val="18"/>
                <w:szCs w:val="18"/>
                <w:lang w:val="it-IT"/>
              </w:rPr>
            </w:pPr>
            <w:r w:rsidRPr="00E94267">
              <w:rPr>
                <w:sz w:val="18"/>
                <w:szCs w:val="18"/>
                <w:lang w:val="it-IT"/>
              </w:rPr>
              <w:t xml:space="preserve">IPI: IPI Score </w:t>
            </w:r>
          </w:p>
          <w:p w14:paraId="661AF174" w14:textId="77777777" w:rsidR="00E94267" w:rsidRPr="00E94267" w:rsidRDefault="00E94267">
            <w:pPr>
              <w:pStyle w:val="Default"/>
              <w:rPr>
                <w:sz w:val="12"/>
                <w:szCs w:val="12"/>
                <w:lang w:val="it-IT"/>
              </w:rPr>
            </w:pPr>
            <w:proofErr w:type="spellStart"/>
            <w:r w:rsidRPr="00E94267">
              <w:rPr>
                <w:sz w:val="12"/>
                <w:szCs w:val="12"/>
                <w:lang w:val="it-IT"/>
              </w:rPr>
              <w:t>für</w:t>
            </w:r>
            <w:proofErr w:type="spellEnd"/>
            <w:r w:rsidRPr="00E94267">
              <w:rPr>
                <w:sz w:val="12"/>
                <w:szCs w:val="12"/>
                <w:lang w:val="it-IT"/>
              </w:rPr>
              <w:t xml:space="preserve"> </w:t>
            </w:r>
            <w:proofErr w:type="spellStart"/>
            <w:r w:rsidRPr="00E94267">
              <w:rPr>
                <w:sz w:val="12"/>
                <w:szCs w:val="12"/>
                <w:lang w:val="it-IT"/>
              </w:rPr>
              <w:t>Mantelzelllymphom</w:t>
            </w:r>
            <w:proofErr w:type="spellEnd"/>
            <w:r w:rsidRPr="00E94267">
              <w:rPr>
                <w:sz w:val="12"/>
                <w:szCs w:val="12"/>
                <w:lang w:val="it-IT"/>
              </w:rPr>
              <w:t xml:space="preserve"> </w:t>
            </w:r>
          </w:p>
          <w:p w14:paraId="32ADE00F" w14:textId="77777777" w:rsidR="00E94267" w:rsidRPr="00E94267" w:rsidRDefault="00E94267">
            <w:pPr>
              <w:pStyle w:val="Default"/>
              <w:rPr>
                <w:sz w:val="18"/>
                <w:szCs w:val="18"/>
                <w:lang w:val="it-IT"/>
              </w:rPr>
            </w:pPr>
            <w:r w:rsidRPr="00E94267">
              <w:rPr>
                <w:sz w:val="18"/>
                <w:szCs w:val="18"/>
                <w:lang w:val="it-IT"/>
              </w:rPr>
              <w:t xml:space="preserve">MIPI: MIPI Score </w:t>
            </w:r>
          </w:p>
          <w:p w14:paraId="53796F06" w14:textId="77777777" w:rsidR="00E94267" w:rsidRPr="00E94267" w:rsidRDefault="00E94267">
            <w:pPr>
              <w:pStyle w:val="Default"/>
              <w:rPr>
                <w:sz w:val="12"/>
                <w:szCs w:val="12"/>
                <w:lang w:val="en-GB"/>
              </w:rPr>
            </w:pPr>
            <w:r w:rsidRPr="00E94267">
              <w:rPr>
                <w:sz w:val="12"/>
                <w:szCs w:val="12"/>
                <w:lang w:val="en-GB"/>
              </w:rPr>
              <w:t xml:space="preserve">für </w:t>
            </w:r>
            <w:proofErr w:type="spellStart"/>
            <w:r w:rsidRPr="00E94267">
              <w:rPr>
                <w:sz w:val="12"/>
                <w:szCs w:val="12"/>
                <w:lang w:val="en-GB"/>
              </w:rPr>
              <w:t>Follikuläres</w:t>
            </w:r>
            <w:proofErr w:type="spellEnd"/>
            <w:r w:rsidRPr="00E94267">
              <w:rPr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E94267">
              <w:rPr>
                <w:sz w:val="12"/>
                <w:szCs w:val="12"/>
                <w:lang w:val="en-GB"/>
              </w:rPr>
              <w:t>Lymphom</w:t>
            </w:r>
            <w:proofErr w:type="spellEnd"/>
            <w:r w:rsidRPr="00E94267">
              <w:rPr>
                <w:sz w:val="12"/>
                <w:szCs w:val="12"/>
                <w:lang w:val="en-GB"/>
              </w:rPr>
              <w:t xml:space="preserve"> </w:t>
            </w:r>
          </w:p>
          <w:p w14:paraId="74A50F45" w14:textId="77777777" w:rsidR="00E94267" w:rsidRPr="00E94267" w:rsidRDefault="00E94267">
            <w:pPr>
              <w:pStyle w:val="Default"/>
              <w:rPr>
                <w:sz w:val="18"/>
                <w:szCs w:val="18"/>
                <w:lang w:val="en-GB"/>
              </w:rPr>
            </w:pPr>
            <w:r w:rsidRPr="00E94267">
              <w:rPr>
                <w:sz w:val="18"/>
                <w:szCs w:val="18"/>
                <w:lang w:val="en-GB"/>
              </w:rPr>
              <w:t xml:space="preserve">FLIPI: FLIPI Score </w:t>
            </w:r>
          </w:p>
        </w:tc>
      </w:tr>
      <w:tr w:rsidR="00E94267" w14:paraId="5879D8A2" w14:textId="77777777" w:rsidTr="00E94267">
        <w:trPr>
          <w:gridAfter w:val="1"/>
          <w:wAfter w:w="1743" w:type="dxa"/>
          <w:trHeight w:val="103"/>
        </w:trPr>
        <w:tc>
          <w:tcPr>
            <w:tcW w:w="7443" w:type="dxa"/>
            <w:gridSpan w:val="2"/>
          </w:tcPr>
          <w:p w14:paraId="0A757E45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Hauptdiagnose </w:t>
            </w:r>
          </w:p>
        </w:tc>
      </w:tr>
    </w:tbl>
    <w:p w14:paraId="486DD8BC" w14:textId="77777777" w:rsidR="00D91950" w:rsidRDefault="00D91950">
      <w:r>
        <w:br w:type="page"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43"/>
      </w:tblGrid>
      <w:tr w:rsidR="00E94267" w14:paraId="7F628EE3" w14:textId="77777777" w:rsidTr="00E94267">
        <w:trPr>
          <w:trHeight w:val="2973"/>
        </w:trPr>
        <w:tc>
          <w:tcPr>
            <w:tcW w:w="7443" w:type="dxa"/>
          </w:tcPr>
          <w:p w14:paraId="5578A833" w14:textId="64D7DE09" w:rsidR="00E94267" w:rsidRDefault="00E94267">
            <w:pPr>
              <w:pStyle w:val="Default"/>
              <w:rPr>
                <w:color w:val="auto"/>
              </w:rPr>
            </w:pPr>
          </w:p>
          <w:p w14:paraId="10D9953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</w:t>
            </w:r>
            <w:proofErr w:type="spellStart"/>
            <w:r>
              <w:rPr>
                <w:sz w:val="20"/>
                <w:szCs w:val="20"/>
              </w:rPr>
              <w:t>ilium</w:t>
            </w:r>
            <w:proofErr w:type="spellEnd"/>
            <w:r>
              <w:rPr>
                <w:sz w:val="20"/>
                <w:szCs w:val="20"/>
              </w:rPr>
              <w:t xml:space="preserve"> links </w:t>
            </w:r>
          </w:p>
          <w:p w14:paraId="063DBC38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22.12.16 - 06.01.17: Radiotherapie des Rezidivs in der linken Schamlippe </w:t>
            </w:r>
          </w:p>
          <w:p w14:paraId="096A5909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05/2017: Klinisch 3. Lokalrezidiv im Bereich der kleinen Labien </w:t>
            </w:r>
          </w:p>
          <w:p w14:paraId="4FE6539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09.06.17: MRI-Schädel: Progrediente Läsion der Kalotte hochparietal </w:t>
            </w:r>
            <w:proofErr w:type="spellStart"/>
            <w:r>
              <w:rPr>
                <w:sz w:val="20"/>
                <w:szCs w:val="20"/>
              </w:rPr>
              <w:t>bds</w:t>
            </w:r>
            <w:proofErr w:type="spellEnd"/>
            <w:r>
              <w:rPr>
                <w:sz w:val="20"/>
                <w:szCs w:val="20"/>
              </w:rPr>
              <w:t xml:space="preserve">., keine neuen Läsionen </w:t>
            </w:r>
          </w:p>
          <w:p w14:paraId="52216680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19.06. - 30.06.17: lokale Strahlentherapie </w:t>
            </w:r>
          </w:p>
          <w:p w14:paraId="66662180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10/2017: 4. Rezidiv lokal beziehungsweise in der Rima </w:t>
            </w:r>
            <w:proofErr w:type="spellStart"/>
            <w:r>
              <w:rPr>
                <w:sz w:val="20"/>
                <w:szCs w:val="20"/>
              </w:rPr>
              <w:t>ani</w:t>
            </w:r>
            <w:proofErr w:type="spellEnd"/>
            <w:r>
              <w:rPr>
                <w:sz w:val="20"/>
                <w:szCs w:val="20"/>
              </w:rPr>
              <w:t xml:space="preserve">; histologisch gesichert </w:t>
            </w:r>
          </w:p>
          <w:p w14:paraId="77202601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03.10.17: MR Becken und Ganzkörper: Keine neuen Läsionen, suspekt für einen Zusammenhang mit der multifokalen Langerhans-Zell-</w:t>
            </w:r>
            <w:proofErr w:type="spellStart"/>
            <w:r>
              <w:rPr>
                <w:sz w:val="20"/>
                <w:szCs w:val="20"/>
              </w:rPr>
              <w:t>Histiozytose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75EF3E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30.10. - 13.11.17: lokale Strahlentherapie </w:t>
            </w:r>
          </w:p>
          <w:p w14:paraId="00BF5184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10.04.18: Konsilium Dermatologie: Therapieoptionen mittels </w:t>
            </w:r>
            <w:proofErr w:type="spellStart"/>
            <w:r>
              <w:rPr>
                <w:sz w:val="20"/>
                <w:szCs w:val="20"/>
              </w:rPr>
              <w:t>Pulsed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Dye</w:t>
            </w:r>
            <w:proofErr w:type="spellEnd"/>
            <w:r>
              <w:rPr>
                <w:sz w:val="20"/>
                <w:szCs w:val="20"/>
              </w:rPr>
              <w:t xml:space="preserve"> Laser, lokalen Steroiden, in Abwechslung mit </w:t>
            </w:r>
            <w:proofErr w:type="spellStart"/>
            <w:r>
              <w:rPr>
                <w:sz w:val="20"/>
                <w:szCs w:val="20"/>
              </w:rPr>
              <w:t>Protopic</w:t>
            </w:r>
            <w:proofErr w:type="spellEnd"/>
            <w:r>
              <w:rPr>
                <w:sz w:val="20"/>
                <w:szCs w:val="20"/>
              </w:rPr>
              <w:t xml:space="preserve">, Vorstellung am Meeting der </w:t>
            </w:r>
            <w:proofErr w:type="spellStart"/>
            <w:r>
              <w:rPr>
                <w:sz w:val="20"/>
                <w:szCs w:val="20"/>
              </w:rPr>
              <w:t>Groupe</w:t>
            </w:r>
            <w:proofErr w:type="spellEnd"/>
            <w:r>
              <w:rPr>
                <w:sz w:val="20"/>
                <w:szCs w:val="20"/>
              </w:rPr>
              <w:t xml:space="preserve"> Français </w:t>
            </w:r>
            <w:proofErr w:type="spellStart"/>
            <w:r>
              <w:rPr>
                <w:sz w:val="20"/>
                <w:szCs w:val="20"/>
              </w:rPr>
              <w:t>pour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études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lymphomes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cutanés</w:t>
            </w:r>
            <w:proofErr w:type="spellEnd"/>
            <w:r>
              <w:rPr>
                <w:sz w:val="20"/>
                <w:szCs w:val="20"/>
              </w:rPr>
              <w:t xml:space="preserve"> in Paris - Empfehlung einer Behandlung mit MTX oder </w:t>
            </w:r>
            <w:proofErr w:type="spellStart"/>
            <w:r>
              <w:rPr>
                <w:sz w:val="20"/>
                <w:szCs w:val="20"/>
              </w:rPr>
              <w:t>Ledaga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6A6E6B5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16.04.18 Tumorboard Gynäkologie: 5. Rezidiv bei neuer ossärer Läsion in der 3. Rippe dorsal, Knochenmarksödem der Tibia und Unverträglichkeit von Tacrolimus lokal, Systemtherapie mit MTX </w:t>
            </w:r>
          </w:p>
          <w:p w14:paraId="0BED789D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04 - 08/2018: Chemotherapie mit wöchentlichem Methotrexat, leichtgradige Hepatopathie </w:t>
            </w:r>
          </w:p>
          <w:p w14:paraId="3038C939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11/2018 - 02/2019: Chemotherapie mit wöchentlichem Methotrexat bei erneutem Rezidiv </w:t>
            </w:r>
          </w:p>
          <w:p w14:paraId="0D8C4D4D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 05/2020: Erneute Therapie mit Methotrexat bei erneutem Rezidiv, Absetzen nach 2 Monaten </w:t>
            </w:r>
          </w:p>
          <w:p w14:paraId="5A7E4249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 02/2021: Wiederaufnahme von Methotrexat bei erneutem Rezidiv </w:t>
            </w:r>
          </w:p>
          <w:p w14:paraId="38C1D704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310A3E3" w14:textId="77777777" w:rsidR="00E94267" w:rsidRPr="00E94267" w:rsidRDefault="00E94267"/>
    <w:p w14:paraId="306BF3E3" w14:textId="77777777" w:rsidR="00E94267" w:rsidRDefault="00E9426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93"/>
      </w:tblGrid>
      <w:tr w:rsidR="00E94267" w14:paraId="72F178E1" w14:textId="77777777">
        <w:trPr>
          <w:trHeight w:val="103"/>
        </w:trPr>
        <w:tc>
          <w:tcPr>
            <w:tcW w:w="7893" w:type="dxa"/>
          </w:tcPr>
          <w:p w14:paraId="38781CB1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Relevante Nebendiagnosen </w:t>
            </w:r>
          </w:p>
        </w:tc>
      </w:tr>
      <w:tr w:rsidR="00E94267" w14:paraId="781DDB50" w14:textId="77777777">
        <w:trPr>
          <w:trHeight w:val="93"/>
        </w:trPr>
        <w:tc>
          <w:tcPr>
            <w:tcW w:w="7893" w:type="dxa"/>
          </w:tcPr>
          <w:p w14:paraId="34B753FD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Panhypopituitarismus</w:t>
            </w:r>
            <w:proofErr w:type="spellEnd"/>
            <w:r>
              <w:rPr>
                <w:sz w:val="20"/>
                <w:szCs w:val="20"/>
              </w:rPr>
              <w:t xml:space="preserve"> bei hypophysärer Manifestation einer Langerhans-Zell-</w:t>
            </w:r>
            <w:proofErr w:type="spellStart"/>
            <w:r>
              <w:rPr>
                <w:sz w:val="20"/>
                <w:szCs w:val="20"/>
              </w:rPr>
              <w:t>Histiozytose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737411" w14:textId="77777777" w:rsidR="00E94267" w:rsidRDefault="00E9426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36"/>
      </w:tblGrid>
      <w:tr w:rsidR="00E94267" w14:paraId="63004794" w14:textId="77777777">
        <w:trPr>
          <w:trHeight w:val="265"/>
        </w:trPr>
        <w:tc>
          <w:tcPr>
            <w:tcW w:w="9436" w:type="dxa"/>
          </w:tcPr>
          <w:p w14:paraId="64386825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Relevante anamnestische und klinische Angaben (z.B. Beschwerden) / Fragestellung an Tumorboard / Behandlungsvorschlag </w:t>
            </w:r>
          </w:p>
        </w:tc>
      </w:tr>
      <w:tr w:rsidR="00E94267" w14:paraId="3CD83E86" w14:textId="77777777">
        <w:trPr>
          <w:trHeight w:val="1476"/>
        </w:trPr>
        <w:tc>
          <w:tcPr>
            <w:tcW w:w="9436" w:type="dxa"/>
          </w:tcPr>
          <w:p w14:paraId="1CC6E770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Bekannte LCH Patientin in Betreuung durch Onkologie. Dermatologische Zuweisung wegen Blutung, Intertrigo und Ulzerationen inguinal. Mikrobiologisch Nachweis einer relevanten Infektion kutan (DD </w:t>
            </w:r>
            <w:proofErr w:type="spellStart"/>
            <w:r>
              <w:rPr>
                <w:sz w:val="20"/>
                <w:szCs w:val="20"/>
              </w:rPr>
              <w:t>Ekthyma</w:t>
            </w:r>
            <w:proofErr w:type="spellEnd"/>
            <w:r>
              <w:rPr>
                <w:sz w:val="20"/>
                <w:szCs w:val="20"/>
              </w:rPr>
              <w:t xml:space="preserve">), welche aktuell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. mit Antibiotika behandelt wird. Zusätzlich inguinal disseminierte, kleine, flache, petechiale Papeln mit schuppender bis </w:t>
            </w:r>
            <w:proofErr w:type="spellStart"/>
            <w:r>
              <w:rPr>
                <w:sz w:val="20"/>
                <w:szCs w:val="20"/>
              </w:rPr>
              <w:t>krustöser</w:t>
            </w:r>
            <w:proofErr w:type="spellEnd"/>
            <w:r>
              <w:rPr>
                <w:sz w:val="20"/>
                <w:szCs w:val="20"/>
              </w:rPr>
              <w:t xml:space="preserve"> Oberfläche, welche histologisch nun als LCH Manifestationen diagnostiziert wurden. </w:t>
            </w:r>
          </w:p>
          <w:p w14:paraId="15A97208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Weitere Diagnostik? Therapie? </w:t>
            </w:r>
          </w:p>
          <w:p w14:paraId="2088552E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Lokal: </w:t>
            </w:r>
          </w:p>
          <w:p w14:paraId="29388900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Erneute </w:t>
            </w:r>
            <w:proofErr w:type="spellStart"/>
            <w:r>
              <w:rPr>
                <w:sz w:val="20"/>
                <w:szCs w:val="20"/>
              </w:rPr>
              <w:t>RxTherapie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  <w:p w14:paraId="78EC7CD2" w14:textId="77777777" w:rsidR="00E94267" w:rsidRPr="00E94267" w:rsidRDefault="00E94267">
            <w:pPr>
              <w:pStyle w:val="Default"/>
              <w:rPr>
                <w:sz w:val="20"/>
                <w:szCs w:val="20"/>
                <w:lang w:val="en-GB"/>
              </w:rPr>
            </w:pPr>
            <w:r w:rsidRPr="00E94267">
              <w:rPr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E94267">
              <w:rPr>
                <w:sz w:val="20"/>
                <w:szCs w:val="20"/>
                <w:lang w:val="en-GB"/>
              </w:rPr>
              <w:t>Ledaga</w:t>
            </w:r>
            <w:proofErr w:type="spellEnd"/>
            <w:r w:rsidRPr="00E94267">
              <w:rPr>
                <w:sz w:val="20"/>
                <w:szCs w:val="20"/>
                <w:lang w:val="en-GB"/>
              </w:rPr>
              <w:t xml:space="preserve">=Chlormethine Gel? (Bui AN, Cutaneous Langerhans Cell Histiocytosis Responsive to Topical Nitrogen Mustard. J Drugs Dermatol. 2020 Aug) </w:t>
            </w:r>
          </w:p>
          <w:p w14:paraId="237D6A7E" w14:textId="77777777" w:rsidR="00E94267" w:rsidRPr="00E94267" w:rsidRDefault="00E94267">
            <w:pPr>
              <w:pStyle w:val="Default"/>
              <w:rPr>
                <w:sz w:val="20"/>
                <w:szCs w:val="20"/>
                <w:lang w:val="en-GB"/>
              </w:rPr>
            </w:pPr>
          </w:p>
          <w:p w14:paraId="1D6B3453" w14:textId="77777777" w:rsidR="00E94267" w:rsidRPr="00E94267" w:rsidRDefault="00E94267">
            <w:pPr>
              <w:pStyle w:val="Default"/>
              <w:rPr>
                <w:sz w:val="20"/>
                <w:szCs w:val="20"/>
                <w:lang w:val="en-GB"/>
              </w:rPr>
            </w:pPr>
            <w:proofErr w:type="spellStart"/>
            <w:r w:rsidRPr="00E94267">
              <w:rPr>
                <w:sz w:val="20"/>
                <w:szCs w:val="20"/>
                <w:lang w:val="en-GB"/>
              </w:rPr>
              <w:t>Systemisch</w:t>
            </w:r>
            <w:proofErr w:type="spellEnd"/>
            <w:r w:rsidRPr="00E94267">
              <w:rPr>
                <w:sz w:val="20"/>
                <w:szCs w:val="20"/>
                <w:lang w:val="en-GB"/>
              </w:rPr>
              <w:t xml:space="preserve">: </w:t>
            </w:r>
          </w:p>
          <w:p w14:paraId="34C311BF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 w:rsidRPr="00E94267">
              <w:rPr>
                <w:sz w:val="20"/>
                <w:szCs w:val="20"/>
                <w:lang w:val="en-GB"/>
              </w:rPr>
              <w:t xml:space="preserve">- Thalidomide/Lenalidomide? (Ruiz </w:t>
            </w:r>
            <w:proofErr w:type="spellStart"/>
            <w:r w:rsidRPr="00E94267">
              <w:rPr>
                <w:sz w:val="20"/>
                <w:szCs w:val="20"/>
                <w:lang w:val="en-GB"/>
              </w:rPr>
              <w:t>Beguerie</w:t>
            </w:r>
            <w:proofErr w:type="spellEnd"/>
            <w:r w:rsidRPr="00E94267">
              <w:rPr>
                <w:sz w:val="20"/>
                <w:szCs w:val="20"/>
                <w:lang w:val="en-GB"/>
              </w:rPr>
              <w:t xml:space="preserve"> J, Vulvar Langerhans cell histiocytosis and thalidomide: an effective treatment option.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J </w:t>
            </w:r>
            <w:proofErr w:type="spellStart"/>
            <w:r>
              <w:rPr>
                <w:sz w:val="20"/>
                <w:szCs w:val="20"/>
              </w:rPr>
              <w:t>Dermatol</w:t>
            </w:r>
            <w:proofErr w:type="spellEnd"/>
            <w:r>
              <w:rPr>
                <w:sz w:val="20"/>
                <w:szCs w:val="20"/>
              </w:rPr>
              <w:t xml:space="preserve">. 2017) </w:t>
            </w:r>
          </w:p>
          <w:p w14:paraId="3A8C8BB4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4EE3751E" w14:textId="77777777" w:rsidR="00E94267" w:rsidRDefault="00E94267"/>
    <w:p w14:paraId="0710E2F5" w14:textId="77777777" w:rsidR="00E94267" w:rsidRDefault="00E9426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35"/>
      </w:tblGrid>
      <w:tr w:rsidR="00E94267" w14:paraId="73A7EBD1" w14:textId="77777777">
        <w:trPr>
          <w:trHeight w:val="103"/>
        </w:trPr>
        <w:tc>
          <w:tcPr>
            <w:tcW w:w="9235" w:type="dxa"/>
          </w:tcPr>
          <w:p w14:paraId="2DDF896D" w14:textId="77777777" w:rsidR="00E94267" w:rsidRDefault="00E9426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Beurteilung und Therapieempfehlung </w:t>
            </w:r>
          </w:p>
        </w:tc>
      </w:tr>
      <w:tr w:rsidR="00E94267" w14:paraId="63815F57" w14:textId="77777777">
        <w:trPr>
          <w:trHeight w:val="1159"/>
        </w:trPr>
        <w:tc>
          <w:tcPr>
            <w:tcW w:w="9235" w:type="dxa"/>
          </w:tcPr>
          <w:p w14:paraId="0C0EAD3C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Bioptisch verifiziertes Rezidiv einer Langerhans-Zell-</w:t>
            </w:r>
            <w:proofErr w:type="spellStart"/>
            <w:r>
              <w:rPr>
                <w:sz w:val="20"/>
                <w:szCs w:val="20"/>
              </w:rPr>
              <w:t>Histiozytose</w:t>
            </w:r>
            <w:proofErr w:type="spellEnd"/>
            <w:r>
              <w:rPr>
                <w:sz w:val="20"/>
                <w:szCs w:val="20"/>
              </w:rPr>
              <w:t xml:space="preserve"> mit inguinal disseminierten, kleinen petechiale Papeln mit schuppender bis </w:t>
            </w:r>
            <w:proofErr w:type="spellStart"/>
            <w:r>
              <w:rPr>
                <w:sz w:val="20"/>
                <w:szCs w:val="20"/>
              </w:rPr>
              <w:t>krustöser</w:t>
            </w:r>
            <w:proofErr w:type="spellEnd"/>
            <w:r>
              <w:rPr>
                <w:sz w:val="20"/>
                <w:szCs w:val="20"/>
              </w:rPr>
              <w:t xml:space="preserve"> Oberfläche. </w:t>
            </w:r>
          </w:p>
          <w:p w14:paraId="2A189776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b/>
                <w:bCs/>
                <w:sz w:val="20"/>
                <w:szCs w:val="20"/>
              </w:rPr>
              <w:t xml:space="preserve">Empfehlung </w:t>
            </w:r>
            <w:r>
              <w:rPr>
                <w:sz w:val="20"/>
                <w:szCs w:val="20"/>
              </w:rPr>
              <w:t>zur Durchführung eines Re-</w:t>
            </w:r>
            <w:proofErr w:type="spellStart"/>
            <w:r>
              <w:rPr>
                <w:sz w:val="20"/>
                <w:szCs w:val="20"/>
              </w:rPr>
              <w:t>Stagings</w:t>
            </w:r>
            <w:proofErr w:type="spellEnd"/>
            <w:r>
              <w:rPr>
                <w:sz w:val="20"/>
                <w:szCs w:val="20"/>
              </w:rPr>
              <w:t xml:space="preserve"> mit Low-</w:t>
            </w:r>
            <w:proofErr w:type="spellStart"/>
            <w:r>
              <w:rPr>
                <w:sz w:val="20"/>
                <w:szCs w:val="20"/>
              </w:rPr>
              <w:t>dose</w:t>
            </w:r>
            <w:proofErr w:type="spellEnd"/>
            <w:r>
              <w:rPr>
                <w:sz w:val="20"/>
                <w:szCs w:val="20"/>
              </w:rPr>
              <w:t xml:space="preserve"> Ganzkörper-CT (Frage nach Osteo-lysen). </w:t>
            </w:r>
          </w:p>
          <w:p w14:paraId="0C775A58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Bei Bestätigung einer lokalisierten Erkrankung, Evaluation einer Behandlung mit Chlormethin-Gel im Bereich der betroffenen Stellen (nach KOGU). </w:t>
            </w:r>
          </w:p>
          <w:p w14:paraId="59D19897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Empfehlung zur </w:t>
            </w:r>
            <w:proofErr w:type="spellStart"/>
            <w:r>
              <w:rPr>
                <w:sz w:val="20"/>
                <w:szCs w:val="20"/>
              </w:rPr>
              <w:t>Reevaluation</w:t>
            </w:r>
            <w:proofErr w:type="spellEnd"/>
            <w:r>
              <w:rPr>
                <w:sz w:val="20"/>
                <w:szCs w:val="20"/>
              </w:rPr>
              <w:t xml:space="preserve"> einer Radiotherapie im Bereich der befallenen Stellen unter Berück-</w:t>
            </w:r>
            <w:proofErr w:type="spellStart"/>
            <w:r>
              <w:rPr>
                <w:sz w:val="20"/>
                <w:szCs w:val="20"/>
              </w:rPr>
              <w:t>sichtigung</w:t>
            </w:r>
            <w:proofErr w:type="spellEnd"/>
            <w:r>
              <w:rPr>
                <w:sz w:val="20"/>
                <w:szCs w:val="20"/>
              </w:rPr>
              <w:t xml:space="preserve"> der Strahlenvorbelastung im Falle eines fehlenden resp. ungenügenden Ansprechens auf Chlormethin-Gel oder fehlender Kostengutsprache. </w:t>
            </w:r>
          </w:p>
          <w:p w14:paraId="58D7C2A7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Erneuter Ausschluss einer BRAF-Mutation in der aktuellen Hautbiopsie </w:t>
            </w:r>
          </w:p>
          <w:p w14:paraId="68536CCA" w14:textId="77777777" w:rsidR="00E94267" w:rsidRDefault="00E94267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75338443" w14:textId="77777777" w:rsidR="00E94267" w:rsidRDefault="00E94267">
      <w:pPr>
        <w:spacing w:after="160" w:line="259" w:lineRule="auto"/>
      </w:pPr>
      <w:r>
        <w:br w:type="page"/>
      </w:r>
    </w:p>
    <w:p w14:paraId="5466019D" w14:textId="77777777" w:rsidR="00E94267" w:rsidRDefault="00E94267">
      <w:r>
        <w:lastRenderedPageBreak/>
        <w:t>5</w:t>
      </w:r>
      <w:r w:rsidR="003D7C92">
        <w:t>-20240227-FaMi</w:t>
      </w:r>
    </w:p>
    <w:p w14:paraId="6858C6DD" w14:textId="77777777" w:rsidR="00E94267" w:rsidRDefault="00E94267"/>
    <w:p w14:paraId="30D1FC87" w14:textId="77777777" w:rsidR="00E65917" w:rsidRDefault="00E65917" w:rsidP="00E6591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3"/>
        <w:gridCol w:w="4593"/>
        <w:gridCol w:w="33"/>
      </w:tblGrid>
      <w:tr w:rsidR="00E65917" w:rsidRPr="00E65917" w14:paraId="522DBEAF" w14:textId="77777777" w:rsidTr="00E65917">
        <w:trPr>
          <w:gridAfter w:val="1"/>
          <w:wAfter w:w="33" w:type="dxa"/>
          <w:trHeight w:val="2013"/>
        </w:trPr>
        <w:tc>
          <w:tcPr>
            <w:tcW w:w="4593" w:type="dxa"/>
          </w:tcPr>
          <w:p w14:paraId="02D1A4A2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Mantelzell-Lymphom, initial Stadium IVA, MIPI-Score 6.3 (high </w:t>
            </w:r>
            <w:proofErr w:type="spellStart"/>
            <w:r>
              <w:rPr>
                <w:b/>
                <w:bCs/>
                <w:sz w:val="20"/>
                <w:szCs w:val="20"/>
              </w:rPr>
              <w:t>risk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) DD iatrogene </w:t>
            </w:r>
            <w:proofErr w:type="spellStart"/>
            <w:r>
              <w:rPr>
                <w:b/>
                <w:bCs/>
                <w:sz w:val="20"/>
                <w:szCs w:val="20"/>
              </w:rPr>
              <w:t>lympho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-proliferative Erkrankung bei langjähriger Therapie mit Methotrexat bzw. Steroiden </w:t>
            </w:r>
          </w:p>
          <w:p w14:paraId="3FA5894F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- 25.11.21: </w:t>
            </w:r>
            <w:proofErr w:type="spellStart"/>
            <w:r>
              <w:rPr>
                <w:sz w:val="20"/>
                <w:szCs w:val="20"/>
              </w:rPr>
              <w:t>Subtenon</w:t>
            </w:r>
            <w:proofErr w:type="spellEnd"/>
            <w:r>
              <w:rPr>
                <w:sz w:val="20"/>
                <w:szCs w:val="20"/>
              </w:rPr>
              <w:t xml:space="preserve">-Biopsie Auge rechts mit </w:t>
            </w:r>
            <w:proofErr w:type="spellStart"/>
            <w:r>
              <w:rPr>
                <w:sz w:val="20"/>
                <w:szCs w:val="20"/>
              </w:rPr>
              <w:t>diagn</w:t>
            </w:r>
            <w:proofErr w:type="spellEnd"/>
            <w:r>
              <w:rPr>
                <w:sz w:val="20"/>
                <w:szCs w:val="20"/>
              </w:rPr>
              <w:t xml:space="preserve">. Histologie (Pathologie Bern B2021.44298) </w:t>
            </w:r>
          </w:p>
          <w:p w14:paraId="4C9166DB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- 04.02.22 PET/CT mit </w:t>
            </w:r>
            <w:proofErr w:type="spellStart"/>
            <w:r>
              <w:rPr>
                <w:sz w:val="20"/>
                <w:szCs w:val="20"/>
              </w:rPr>
              <w:t>i.v.</w:t>
            </w:r>
            <w:proofErr w:type="spellEnd"/>
            <w:r>
              <w:rPr>
                <w:sz w:val="20"/>
                <w:szCs w:val="20"/>
              </w:rPr>
              <w:t>-Kontrast: Moderat stoffwechselgesteigerte Lymph-</w:t>
            </w:r>
            <w:proofErr w:type="spellStart"/>
            <w:r>
              <w:rPr>
                <w:sz w:val="20"/>
                <w:szCs w:val="20"/>
              </w:rPr>
              <w:t>knoten</w:t>
            </w:r>
            <w:proofErr w:type="spellEnd"/>
            <w:r>
              <w:rPr>
                <w:sz w:val="20"/>
                <w:szCs w:val="20"/>
              </w:rPr>
              <w:t xml:space="preserve"> beidseits zervikal und links inguinal, intensive Stoffwechselsteigerung der rechten Axilla, DD postinterventionell </w:t>
            </w:r>
          </w:p>
          <w:p w14:paraId="0123B129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- 13.09.23 PET/CT: Rezidiv (Orbita, den Tonsillen sowie zervikalen und </w:t>
            </w:r>
            <w:proofErr w:type="spellStart"/>
            <w:r>
              <w:rPr>
                <w:sz w:val="20"/>
                <w:szCs w:val="20"/>
              </w:rPr>
              <w:t>inguina-len</w:t>
            </w:r>
            <w:proofErr w:type="spellEnd"/>
            <w:r>
              <w:rPr>
                <w:sz w:val="20"/>
                <w:szCs w:val="20"/>
              </w:rPr>
              <w:t xml:space="preserve"> Lymphknoten) </w:t>
            </w:r>
          </w:p>
          <w:p w14:paraId="51501DF4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</w:p>
          <w:p w14:paraId="0999EBFE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Therapie: </w:t>
            </w:r>
          </w:p>
          <w:p w14:paraId="70FF1FC0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- 06.10.23 - 11.10.23 1. Zyklus R-DHAO </w:t>
            </w:r>
          </w:p>
          <w:p w14:paraId="0671F699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- 31.10.23 - 01.11.23 2. Zyklus R-DHAO </w:t>
            </w:r>
          </w:p>
          <w:p w14:paraId="5D0E09FF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- 22.11.23 - 25.11.23 3. Zyklus R-DHAO und Mobilisation </w:t>
            </w:r>
          </w:p>
          <w:p w14:paraId="7EA2613C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- 13.12.23 1. Zyklus R-CHOP </w:t>
            </w:r>
          </w:p>
          <w:p w14:paraId="367946B0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- 08.01.24 2. Zyklus R-CHOP </w:t>
            </w:r>
          </w:p>
          <w:p w14:paraId="6599AC92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- 31.01.24 3. Zyklus R-CHOP </w:t>
            </w:r>
          </w:p>
          <w:p w14:paraId="537E46B0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93" w:type="dxa"/>
          </w:tcPr>
          <w:p w14:paraId="2E6AAC20" w14:textId="77777777" w:rsidR="00E65917" w:rsidRDefault="00E659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Ann-Arbor Stadium </w:t>
            </w:r>
          </w:p>
          <w:p w14:paraId="4D5A0777" w14:textId="77777777" w:rsidR="00E65917" w:rsidRDefault="00E65917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 </w:t>
            </w:r>
          </w:p>
          <w:p w14:paraId="11DD30C8" w14:textId="77777777" w:rsidR="00E65917" w:rsidRDefault="00E65917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III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IV </w:t>
            </w:r>
          </w:p>
          <w:p w14:paraId="6DA5263F" w14:textId="77777777" w:rsidR="00E65917" w:rsidRDefault="00E659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Begleitsymptome </w:t>
            </w:r>
          </w:p>
          <w:p w14:paraId="73B92490" w14:textId="77777777" w:rsidR="00E65917" w:rsidRDefault="00E65917">
            <w:pPr>
              <w:pStyle w:val="Default"/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A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 B </w:t>
            </w:r>
          </w:p>
          <w:p w14:paraId="20BC94E3" w14:textId="77777777" w:rsidR="00E65917" w:rsidRDefault="00E659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Prognose-Scores </w:t>
            </w:r>
          </w:p>
          <w:p w14:paraId="7DA88394" w14:textId="77777777" w:rsidR="00E65917" w:rsidRDefault="00E65917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für DLBCL </w:t>
            </w:r>
          </w:p>
          <w:p w14:paraId="44CCD108" w14:textId="77777777" w:rsidR="00E65917" w:rsidRPr="00E65917" w:rsidRDefault="00E65917">
            <w:pPr>
              <w:pStyle w:val="Default"/>
              <w:rPr>
                <w:sz w:val="18"/>
                <w:szCs w:val="18"/>
                <w:lang w:val="it-IT"/>
              </w:rPr>
            </w:pPr>
            <w:r w:rsidRPr="00E65917">
              <w:rPr>
                <w:sz w:val="18"/>
                <w:szCs w:val="18"/>
                <w:lang w:val="it-IT"/>
              </w:rPr>
              <w:t xml:space="preserve">IPI: IPI Score </w:t>
            </w:r>
          </w:p>
          <w:p w14:paraId="007BFAF3" w14:textId="77777777" w:rsidR="00E65917" w:rsidRPr="00E65917" w:rsidRDefault="00E65917">
            <w:pPr>
              <w:pStyle w:val="Default"/>
              <w:rPr>
                <w:sz w:val="12"/>
                <w:szCs w:val="12"/>
                <w:lang w:val="it-IT"/>
              </w:rPr>
            </w:pPr>
            <w:proofErr w:type="spellStart"/>
            <w:r w:rsidRPr="00E65917">
              <w:rPr>
                <w:sz w:val="12"/>
                <w:szCs w:val="12"/>
                <w:lang w:val="it-IT"/>
              </w:rPr>
              <w:t>für</w:t>
            </w:r>
            <w:proofErr w:type="spellEnd"/>
            <w:r w:rsidRPr="00E65917">
              <w:rPr>
                <w:sz w:val="12"/>
                <w:szCs w:val="12"/>
                <w:lang w:val="it-IT"/>
              </w:rPr>
              <w:t xml:space="preserve"> </w:t>
            </w:r>
            <w:proofErr w:type="spellStart"/>
            <w:r w:rsidRPr="00E65917">
              <w:rPr>
                <w:sz w:val="12"/>
                <w:szCs w:val="12"/>
                <w:lang w:val="it-IT"/>
              </w:rPr>
              <w:t>Mantelzelllymphom</w:t>
            </w:r>
            <w:proofErr w:type="spellEnd"/>
            <w:r w:rsidRPr="00E65917">
              <w:rPr>
                <w:sz w:val="12"/>
                <w:szCs w:val="12"/>
                <w:lang w:val="it-IT"/>
              </w:rPr>
              <w:t xml:space="preserve"> </w:t>
            </w:r>
          </w:p>
          <w:p w14:paraId="2F56E3FE" w14:textId="77777777" w:rsidR="00E65917" w:rsidRPr="00E65917" w:rsidRDefault="00E65917">
            <w:pPr>
              <w:pStyle w:val="Default"/>
              <w:rPr>
                <w:sz w:val="18"/>
                <w:szCs w:val="18"/>
                <w:lang w:val="it-IT"/>
              </w:rPr>
            </w:pPr>
            <w:r w:rsidRPr="00E65917">
              <w:rPr>
                <w:sz w:val="18"/>
                <w:szCs w:val="18"/>
                <w:lang w:val="it-IT"/>
              </w:rPr>
              <w:t xml:space="preserve">MIPI: MIPI Score </w:t>
            </w:r>
          </w:p>
          <w:p w14:paraId="33754517" w14:textId="77777777" w:rsidR="00E65917" w:rsidRPr="00E65917" w:rsidRDefault="00E65917">
            <w:pPr>
              <w:pStyle w:val="Default"/>
              <w:rPr>
                <w:sz w:val="12"/>
                <w:szCs w:val="12"/>
                <w:lang w:val="en-GB"/>
              </w:rPr>
            </w:pPr>
            <w:r w:rsidRPr="00E65917">
              <w:rPr>
                <w:sz w:val="12"/>
                <w:szCs w:val="12"/>
                <w:lang w:val="en-GB"/>
              </w:rPr>
              <w:t xml:space="preserve">für </w:t>
            </w:r>
            <w:proofErr w:type="spellStart"/>
            <w:r w:rsidRPr="00E65917">
              <w:rPr>
                <w:sz w:val="12"/>
                <w:szCs w:val="12"/>
                <w:lang w:val="en-GB"/>
              </w:rPr>
              <w:t>Follikuläres</w:t>
            </w:r>
            <w:proofErr w:type="spellEnd"/>
            <w:r w:rsidRPr="00E65917">
              <w:rPr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E65917">
              <w:rPr>
                <w:sz w:val="12"/>
                <w:szCs w:val="12"/>
                <w:lang w:val="en-GB"/>
              </w:rPr>
              <w:t>Lymphom</w:t>
            </w:r>
            <w:proofErr w:type="spellEnd"/>
            <w:r w:rsidRPr="00E65917">
              <w:rPr>
                <w:sz w:val="12"/>
                <w:szCs w:val="12"/>
                <w:lang w:val="en-GB"/>
              </w:rPr>
              <w:t xml:space="preserve"> </w:t>
            </w:r>
          </w:p>
          <w:p w14:paraId="34E86314" w14:textId="77777777" w:rsidR="00E65917" w:rsidRPr="00E65917" w:rsidRDefault="00E65917">
            <w:pPr>
              <w:pStyle w:val="Default"/>
              <w:rPr>
                <w:sz w:val="18"/>
                <w:szCs w:val="18"/>
                <w:lang w:val="en-GB"/>
              </w:rPr>
            </w:pPr>
            <w:r w:rsidRPr="00E65917">
              <w:rPr>
                <w:sz w:val="18"/>
                <w:szCs w:val="18"/>
                <w:lang w:val="en-GB"/>
              </w:rPr>
              <w:t xml:space="preserve">FLIPI: FLIPI Score </w:t>
            </w:r>
          </w:p>
        </w:tc>
      </w:tr>
      <w:tr w:rsidR="00E65917" w14:paraId="52A2B588" w14:textId="77777777" w:rsidTr="00E65917">
        <w:trPr>
          <w:trHeight w:val="103"/>
        </w:trPr>
        <w:tc>
          <w:tcPr>
            <w:tcW w:w="9219" w:type="dxa"/>
            <w:gridSpan w:val="3"/>
          </w:tcPr>
          <w:p w14:paraId="3FF91B8D" w14:textId="77777777" w:rsidR="00E65917" w:rsidRDefault="00E6591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Relevante Nebendiagnosen </w:t>
            </w:r>
          </w:p>
        </w:tc>
      </w:tr>
      <w:tr w:rsidR="00E65917" w14:paraId="60328037" w14:textId="77777777" w:rsidTr="00E65917">
        <w:trPr>
          <w:trHeight w:val="3093"/>
        </w:trPr>
        <w:tc>
          <w:tcPr>
            <w:tcW w:w="9219" w:type="dxa"/>
            <w:gridSpan w:val="3"/>
          </w:tcPr>
          <w:p w14:paraId="471AFCEB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SARS-CoV2-Infektion, ED 03.01.24 </w:t>
            </w:r>
          </w:p>
          <w:p w14:paraId="7165AD64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- 07.02.24 - 09.02.24 Paxlovid </w:t>
            </w:r>
          </w:p>
          <w:p w14:paraId="64B9D65A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</w:p>
          <w:p w14:paraId="486132A8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Peripher-arterielle Verschlusskrankheit, Stadium </w:t>
            </w:r>
            <w:proofErr w:type="spellStart"/>
            <w:r>
              <w:rPr>
                <w:sz w:val="20"/>
                <w:szCs w:val="20"/>
              </w:rPr>
              <w:t>IIb</w:t>
            </w:r>
            <w:proofErr w:type="spellEnd"/>
            <w:r>
              <w:rPr>
                <w:sz w:val="20"/>
                <w:szCs w:val="20"/>
              </w:rPr>
              <w:t xml:space="preserve"> links, I rechts nach Fontaine </w:t>
            </w:r>
          </w:p>
          <w:p w14:paraId="53E12974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Mittelschwere Aortenklappenstenose, ED 09.02.24 </w:t>
            </w:r>
          </w:p>
          <w:p w14:paraId="0000197E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- 09.02.24 TTE: Normale LV- und RV- Dimension und Funktion, relative Hypertrophie, diastolisch </w:t>
            </w:r>
          </w:p>
          <w:p w14:paraId="1EDE9BCA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Dysfunktion Grad 1, mittelschwere Aortenklappenstenose (</w:t>
            </w:r>
            <w:proofErr w:type="spellStart"/>
            <w:r>
              <w:rPr>
                <w:sz w:val="20"/>
                <w:szCs w:val="20"/>
              </w:rPr>
              <w:t>KöF</w:t>
            </w:r>
            <w:proofErr w:type="spellEnd"/>
            <w:r>
              <w:rPr>
                <w:sz w:val="20"/>
                <w:szCs w:val="20"/>
              </w:rPr>
              <w:t xml:space="preserve"> 1.25cm^2), kein Anhalt für </w:t>
            </w:r>
          </w:p>
          <w:p w14:paraId="5D0B63E2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pulmonale Hypertonie </w:t>
            </w:r>
          </w:p>
          <w:p w14:paraId="1903B204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jährliche Kontrollen empfohlen </w:t>
            </w:r>
          </w:p>
          <w:p w14:paraId="3DD0FFEC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</w:p>
          <w:p w14:paraId="15F6CA9E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Infrarenales</w:t>
            </w:r>
            <w:proofErr w:type="spellEnd"/>
            <w:r>
              <w:rPr>
                <w:sz w:val="20"/>
                <w:szCs w:val="20"/>
              </w:rPr>
              <w:t xml:space="preserve"> Bauchaortenaneurysma </w:t>
            </w:r>
          </w:p>
          <w:p w14:paraId="37C7C69F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Bauchaortaaneurysma</w:t>
            </w:r>
            <w:proofErr w:type="spellEnd"/>
            <w:r>
              <w:rPr>
                <w:sz w:val="20"/>
                <w:szCs w:val="20"/>
              </w:rPr>
              <w:t xml:space="preserve"> stabil bei einem Durchmesser von 35 mm </w:t>
            </w:r>
          </w:p>
          <w:p w14:paraId="061B9696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</w:p>
          <w:p w14:paraId="6B6C9D48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traumatisch bedingter Wirbelkörperfraktur Th12 </w:t>
            </w:r>
          </w:p>
          <w:p w14:paraId="40DAB41D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abszedierender und granulomatöser Entzündungsreaktion mit </w:t>
            </w:r>
            <w:proofErr w:type="spellStart"/>
            <w:r>
              <w:rPr>
                <w:sz w:val="20"/>
                <w:szCs w:val="20"/>
              </w:rPr>
              <w:t>Pannikulitis</w:t>
            </w:r>
            <w:proofErr w:type="spellEnd"/>
            <w:r>
              <w:rPr>
                <w:sz w:val="20"/>
                <w:szCs w:val="20"/>
              </w:rPr>
              <w:t xml:space="preserve"> und Hämorrhagie 05/22 </w:t>
            </w:r>
          </w:p>
          <w:p w14:paraId="213C9806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Pangonarthrose</w:t>
            </w:r>
            <w:proofErr w:type="spellEnd"/>
            <w:r>
              <w:rPr>
                <w:sz w:val="20"/>
                <w:szCs w:val="20"/>
              </w:rPr>
              <w:t xml:space="preserve"> Knie rechts </w:t>
            </w:r>
          </w:p>
          <w:p w14:paraId="2CA0EFB4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Degenerative Läsionen des linken Fusses und Sprunggelenks </w:t>
            </w:r>
          </w:p>
          <w:p w14:paraId="351897D8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Lumbovertebrales</w:t>
            </w:r>
            <w:proofErr w:type="spellEnd"/>
            <w:r>
              <w:rPr>
                <w:sz w:val="20"/>
                <w:szCs w:val="20"/>
              </w:rPr>
              <w:t xml:space="preserve"> Schmerzsyndrom </w:t>
            </w:r>
          </w:p>
          <w:p w14:paraId="0B860FF1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Psoriasis-Arthritis HLAB27 positiv, ED 2021, bei seit Jahren bekannter Psoriasis </w:t>
            </w:r>
          </w:p>
          <w:p w14:paraId="311E3531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Polyarthralgien im Bereich der Hände und der Wirbel </w:t>
            </w:r>
          </w:p>
          <w:p w14:paraId="6EEB6BD2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- 2012 – 2018: Behandlung mit Methotrexat 15 mg, Wiederaufnahme 2021 für 3 Monate </w:t>
            </w:r>
          </w:p>
          <w:p w14:paraId="58943B04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Ab 01/2022: Behandlung mit </w:t>
            </w:r>
            <w:proofErr w:type="spellStart"/>
            <w:r>
              <w:rPr>
                <w:sz w:val="20"/>
                <w:szCs w:val="20"/>
              </w:rPr>
              <w:t>Otezla</w:t>
            </w:r>
            <w:proofErr w:type="spellEnd"/>
            <w:r>
              <w:rPr>
                <w:sz w:val="20"/>
                <w:szCs w:val="20"/>
              </w:rPr>
              <w:t xml:space="preserve"> und </w:t>
            </w:r>
            <w:proofErr w:type="spellStart"/>
            <w:r>
              <w:rPr>
                <w:sz w:val="20"/>
                <w:szCs w:val="20"/>
              </w:rPr>
              <w:t>Spiricort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9A8FFAA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</w:t>
            </w:r>
            <w:proofErr w:type="spellStart"/>
            <w:r>
              <w:rPr>
                <w:sz w:val="20"/>
                <w:szCs w:val="20"/>
              </w:rPr>
              <w:t>Trochlearisparese</w:t>
            </w:r>
            <w:proofErr w:type="spellEnd"/>
            <w:r>
              <w:rPr>
                <w:sz w:val="20"/>
                <w:szCs w:val="20"/>
              </w:rPr>
              <w:t xml:space="preserve"> rechts nach zweimaliger Schieloperation, letztmals 02/2020 </w:t>
            </w:r>
          </w:p>
          <w:p w14:paraId="7364F638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Degenerative Läsionen der Füsse resp. des linken OSG nach Arthrodese </w:t>
            </w:r>
          </w:p>
          <w:p w14:paraId="0346BDE8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Angioplastie bei PAVK 02/2011 </w:t>
            </w:r>
          </w:p>
          <w:p w14:paraId="4BF00EA0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sistiertem Nikotinkonsum </w:t>
            </w:r>
          </w:p>
          <w:p w14:paraId="536DE372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Thrombolyse und PTA </w:t>
            </w:r>
            <w:proofErr w:type="spellStart"/>
            <w:r>
              <w:rPr>
                <w:sz w:val="20"/>
                <w:szCs w:val="20"/>
              </w:rPr>
              <w:t>femoralis</w:t>
            </w:r>
            <w:proofErr w:type="spellEnd"/>
            <w:r>
              <w:rPr>
                <w:sz w:val="20"/>
                <w:szCs w:val="20"/>
              </w:rPr>
              <w:t xml:space="preserve"> superficialis 07/2013 </w:t>
            </w:r>
          </w:p>
          <w:p w14:paraId="39BB7CA8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Nierenkolik 2005 </w:t>
            </w:r>
          </w:p>
          <w:p w14:paraId="68AA169D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St. n. Kataraktoperation 2016 </w:t>
            </w:r>
          </w:p>
        </w:tc>
      </w:tr>
    </w:tbl>
    <w:p w14:paraId="0C6DAF80" w14:textId="77777777" w:rsidR="00E94267" w:rsidRDefault="00E94267"/>
    <w:p w14:paraId="66F27C18" w14:textId="77777777" w:rsidR="00E65917" w:rsidRDefault="00E6591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36"/>
      </w:tblGrid>
      <w:tr w:rsidR="00E65917" w14:paraId="3F3642C7" w14:textId="77777777">
        <w:trPr>
          <w:trHeight w:val="265"/>
        </w:trPr>
        <w:tc>
          <w:tcPr>
            <w:tcW w:w="9436" w:type="dxa"/>
          </w:tcPr>
          <w:p w14:paraId="7F8F8034" w14:textId="77777777" w:rsidR="00E65917" w:rsidRDefault="00E6591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Relevante anamnestische und klinische Angaben (z.B. Beschwerden) / Fragestellung an Tumorboard / Behandlungsvorschlag </w:t>
            </w:r>
          </w:p>
        </w:tc>
      </w:tr>
      <w:tr w:rsidR="00E65917" w14:paraId="3B4650DB" w14:textId="77777777">
        <w:trPr>
          <w:trHeight w:val="93"/>
        </w:trPr>
        <w:tc>
          <w:tcPr>
            <w:tcW w:w="9436" w:type="dxa"/>
          </w:tcPr>
          <w:p w14:paraId="1FAC97C0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PET-CT und Festlegung der Hochdosis? </w:t>
            </w:r>
          </w:p>
        </w:tc>
      </w:tr>
    </w:tbl>
    <w:p w14:paraId="1398AC91" w14:textId="77777777" w:rsidR="00E65917" w:rsidRPr="00E65917" w:rsidRDefault="00E6591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28"/>
      </w:tblGrid>
      <w:tr w:rsidR="00E65917" w14:paraId="7FBE179B" w14:textId="77777777">
        <w:trPr>
          <w:trHeight w:val="103"/>
        </w:trPr>
        <w:tc>
          <w:tcPr>
            <w:tcW w:w="9428" w:type="dxa"/>
          </w:tcPr>
          <w:p w14:paraId="6320E355" w14:textId="77777777" w:rsidR="00E65917" w:rsidRDefault="00E6591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Beurteilung und Therapieempfehlung </w:t>
            </w:r>
          </w:p>
        </w:tc>
      </w:tr>
      <w:tr w:rsidR="00E65917" w14:paraId="719C9AF5" w14:textId="77777777">
        <w:trPr>
          <w:trHeight w:val="1273"/>
        </w:trPr>
        <w:tc>
          <w:tcPr>
            <w:tcW w:w="9428" w:type="dxa"/>
          </w:tcPr>
          <w:p w14:paraId="3A9C8C72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bookmarkStart w:id="2" w:name="OLE_LINK1"/>
            <w:bookmarkStart w:id="3" w:name="OLE_LINK2"/>
            <w:r>
              <w:rPr>
                <w:sz w:val="20"/>
                <w:szCs w:val="20"/>
              </w:rPr>
              <w:t xml:space="preserve">Nach 6 Therapiezyklen (3x-R-DHAO und 3x R-CHOP bei fehlender KOGU für </w:t>
            </w:r>
            <w:proofErr w:type="spellStart"/>
            <w:r>
              <w:rPr>
                <w:sz w:val="20"/>
                <w:szCs w:val="20"/>
              </w:rPr>
              <w:t>Ibrutinib</w:t>
            </w:r>
            <w:proofErr w:type="spellEnd"/>
            <w:r>
              <w:rPr>
                <w:sz w:val="20"/>
                <w:szCs w:val="20"/>
              </w:rPr>
              <w:t>) findet sich im PET-CT allenfalls noch eine minime FDG-</w:t>
            </w:r>
            <w:proofErr w:type="spellStart"/>
            <w:r>
              <w:rPr>
                <w:sz w:val="20"/>
                <w:szCs w:val="20"/>
              </w:rPr>
              <w:t>Avidität</w:t>
            </w:r>
            <w:proofErr w:type="spellEnd"/>
            <w:r>
              <w:rPr>
                <w:sz w:val="20"/>
                <w:szCs w:val="20"/>
              </w:rPr>
              <w:t xml:space="preserve"> am rechten Bulbus oculi und im Bereich der übrigen vormals bekannten </w:t>
            </w:r>
            <w:proofErr w:type="spellStart"/>
            <w:r>
              <w:rPr>
                <w:sz w:val="20"/>
                <w:szCs w:val="20"/>
              </w:rPr>
              <w:t>Lymphomlokalisationen</w:t>
            </w:r>
            <w:proofErr w:type="spellEnd"/>
            <w:r>
              <w:rPr>
                <w:sz w:val="20"/>
                <w:szCs w:val="20"/>
              </w:rPr>
              <w:t xml:space="preserve"> (Deauville-Score 2). Die neuen stoffwechselaktiven, intrapulmonalen Verdichtungen </w:t>
            </w:r>
            <w:proofErr w:type="spellStart"/>
            <w:r>
              <w:rPr>
                <w:sz w:val="20"/>
                <w:szCs w:val="20"/>
              </w:rPr>
              <w:t>bds</w:t>
            </w:r>
            <w:proofErr w:type="spellEnd"/>
            <w:r>
              <w:rPr>
                <w:sz w:val="20"/>
                <w:szCs w:val="20"/>
              </w:rPr>
              <w:t xml:space="preserve">. dorsal betont entsprechen in erster Linie entzündlichen Veränderungen. </w:t>
            </w:r>
          </w:p>
          <w:p w14:paraId="22C4C3EA" w14:textId="77777777" w:rsidR="00E65917" w:rsidRDefault="00E659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Formal ist in dieser Situation mit fehlender Möglichkeit einer Hinzugabe von </w:t>
            </w:r>
            <w:proofErr w:type="spellStart"/>
            <w:r>
              <w:rPr>
                <w:sz w:val="20"/>
                <w:szCs w:val="20"/>
              </w:rPr>
              <w:t>Ibrutinib</w:t>
            </w:r>
            <w:proofErr w:type="spellEnd"/>
            <w:r>
              <w:rPr>
                <w:sz w:val="20"/>
                <w:szCs w:val="20"/>
              </w:rPr>
              <w:t xml:space="preserve"> zur Rituximab, die Indikation für eine Konsolidation mittels Hochdosischemotherapie und autologer Stammzelltransplantation. Unter Berücksichtigung der Co-</w:t>
            </w:r>
            <w:proofErr w:type="spellStart"/>
            <w:r>
              <w:rPr>
                <w:sz w:val="20"/>
                <w:szCs w:val="20"/>
              </w:rPr>
              <w:t>Morbiditäten</w:t>
            </w:r>
            <w:proofErr w:type="spellEnd"/>
            <w:r>
              <w:rPr>
                <w:sz w:val="20"/>
                <w:szCs w:val="20"/>
              </w:rPr>
              <w:t xml:space="preserve"> mit einem Ruheschmerz bei PAVK und </w:t>
            </w:r>
            <w:proofErr w:type="spellStart"/>
            <w:r>
              <w:rPr>
                <w:sz w:val="20"/>
                <w:szCs w:val="20"/>
              </w:rPr>
              <w:t>Aggravierung</w:t>
            </w:r>
            <w:proofErr w:type="spellEnd"/>
            <w:r>
              <w:rPr>
                <w:sz w:val="20"/>
                <w:szCs w:val="20"/>
              </w:rPr>
              <w:t xml:space="preserve"> unter der Induktionstherapie ohne Möglichkeit einer angiologischen Intervention und dem Vorhandensein von effektiven, zugelassenen Therapien beim Rückfall (</w:t>
            </w:r>
            <w:proofErr w:type="spellStart"/>
            <w:r>
              <w:rPr>
                <w:sz w:val="20"/>
                <w:szCs w:val="20"/>
              </w:rPr>
              <w:t>Ibrutinib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Tecartus</w:t>
            </w:r>
            <w:proofErr w:type="spellEnd"/>
            <w:r>
              <w:rPr>
                <w:sz w:val="20"/>
                <w:szCs w:val="20"/>
              </w:rPr>
              <w:t xml:space="preserve">), ist die Indikation für eine HDCT/ASCT bei diesem Patienten zurückhaltend zu stellen. Erhaltungstherapie mit Rituximab. Nach Kostengutsprache. </w:t>
            </w:r>
            <w:bookmarkEnd w:id="2"/>
            <w:bookmarkEnd w:id="3"/>
          </w:p>
        </w:tc>
      </w:tr>
    </w:tbl>
    <w:p w14:paraId="1FF196A0" w14:textId="77777777" w:rsidR="00E94267" w:rsidRPr="00E65917" w:rsidRDefault="00E94267"/>
    <w:p w14:paraId="122C4814" w14:textId="77777777" w:rsidR="00E94267" w:rsidRPr="00E65917" w:rsidRDefault="00E94267"/>
    <w:sectPr w:rsidR="00E94267" w:rsidRPr="00E65917" w:rsidSect="008A6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08"/>
    <w:rsid w:val="003321FF"/>
    <w:rsid w:val="003D7C92"/>
    <w:rsid w:val="004260E8"/>
    <w:rsid w:val="0059572E"/>
    <w:rsid w:val="00693FDA"/>
    <w:rsid w:val="008A6408"/>
    <w:rsid w:val="00927F65"/>
    <w:rsid w:val="00BC675E"/>
    <w:rsid w:val="00C40186"/>
    <w:rsid w:val="00C60E04"/>
    <w:rsid w:val="00D91950"/>
    <w:rsid w:val="00DA65B8"/>
    <w:rsid w:val="00E21279"/>
    <w:rsid w:val="00E65917"/>
    <w:rsid w:val="00E94267"/>
    <w:rsid w:val="00EF2AC5"/>
    <w:rsid w:val="00F22137"/>
    <w:rsid w:val="00FB3399"/>
    <w:rsid w:val="00F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407"/>
  <w15:chartTrackingRefBased/>
  <w15:docId w15:val="{9B3ACE24-48CE-44D0-AFA7-71A5DC03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08"/>
    <w:pPr>
      <w:spacing w:after="0" w:line="26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64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INSELGRUPPE</Company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Bosbach, Wolfram Andreas</dc:creator>
  <cp:keywords/>
  <dc:description/>
  <cp:lastModifiedBy>Clement, Christoph Ludwig (STUDENTS)</cp:lastModifiedBy>
  <cp:revision>10</cp:revision>
  <dcterms:created xsi:type="dcterms:W3CDTF">2024-09-12T14:05:00Z</dcterms:created>
  <dcterms:modified xsi:type="dcterms:W3CDTF">2025-03-28T15:15:00Z</dcterms:modified>
</cp:coreProperties>
</file>