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BTRC EOI Response - Specific Experience</w:t>
      </w:r>
    </w:p>
    <w:p>
      <w:pPr>
        <w:jc w:val="center"/>
      </w:pPr>
      <w:r>
        <w:rPr>
          <w:b/>
          <w:sz w:val="28"/>
        </w:rPr>
        <w:t>Part 2: CDR Analyzer System (CAS)</w:t>
      </w:r>
    </w:p>
    <w:p/>
    <w:p>
      <w:r>
        <w:rPr>
          <w:b/>
        </w:rPr>
        <w:t>BTRC Requirement:</w:t>
      </w:r>
      <w:r>
        <w:br/>
      </w:r>
    </w:p>
    <w:p>
      <w:r>
        <w:rPr>
          <w:i/>
        </w:rPr>
        <w:t>Bidder shall have at least 2 (two) practical experiences in developing monitoring/analytics/SAS/OSS/BSS/QoS platforms or integrated service management platforms with integration to at least 3 external systems (e.g. NMS, billing, CRM, ERP).</w:t>
      </w:r>
    </w:p>
    <w:p/>
    <w:p>
      <w:r>
        <w:rPr>
          <w:b/>
          <w:color w:val="006633"/>
          <w:sz w:val="28"/>
        </w:rPr>
        <w:t>Project: CDR Analyzer System (CAS)</w:t>
      </w:r>
    </w:p>
    <w:tbl>
      <w:tblPr>
        <w:tblStyle w:val="TableGrid"/>
        <w:tblW w:type="auto" w:w="0"/>
        <w:tblLook w:firstColumn="1" w:firstRow="1" w:lastColumn="0" w:lastRow="0" w:noHBand="0" w:noVBand="1" w:val="04A0"/>
      </w:tblPr>
      <w:tblGrid>
        <w:gridCol w:w="4320"/>
        <w:gridCol w:w="4320"/>
      </w:tblGrid>
      <w:tr>
        <w:tc>
          <w:tcPr>
            <w:tcW w:type="dxa" w:w="4320"/>
          </w:tcPr>
          <w:p>
            <w:r>
              <w:rPr>
                <w:b/>
              </w:rPr>
              <w:t>Client</w:t>
            </w:r>
          </w:p>
        </w:tc>
        <w:tc>
          <w:tcPr>
            <w:tcW w:type="dxa" w:w="4320"/>
          </w:tcPr>
          <w:p>
            <w:r>
              <w:t>Bangladesh Telecommunication Regulatory Commission (BTRC)</w:t>
            </w:r>
          </w:p>
        </w:tc>
      </w:tr>
      <w:tr>
        <w:tc>
          <w:tcPr>
            <w:tcW w:type="dxa" w:w="4320"/>
          </w:tcPr>
          <w:p>
            <w:r>
              <w:rPr>
                <w:b/>
              </w:rPr>
              <w:t>Location</w:t>
            </w:r>
          </w:p>
        </w:tc>
        <w:tc>
          <w:tcPr>
            <w:tcW w:type="dxa" w:w="4320"/>
          </w:tcPr>
          <w:p>
            <w:r>
              <w:t>BTRC Data Center, Dhaka</w:t>
            </w:r>
          </w:p>
        </w:tc>
      </w:tr>
      <w:tr>
        <w:tc>
          <w:tcPr>
            <w:tcW w:type="dxa" w:w="4320"/>
          </w:tcPr>
          <w:p>
            <w:r>
              <w:rPr>
                <w:b/>
              </w:rPr>
              <w:t>Platform Type</w:t>
            </w:r>
          </w:p>
        </w:tc>
        <w:tc>
          <w:tcPr>
            <w:tcW w:type="dxa" w:w="4320"/>
          </w:tcPr>
          <w:p>
            <w:r>
              <w:t>CDR Mediation &amp; Central Billing System for all ICX operators</w:t>
            </w:r>
          </w:p>
        </w:tc>
      </w:tr>
      <w:tr>
        <w:tc>
          <w:tcPr>
            <w:tcW w:type="dxa" w:w="4320"/>
          </w:tcPr>
          <w:p>
            <w:r>
              <w:rPr>
                <w:b/>
              </w:rPr>
              <w:t>Data Scale</w:t>
            </w:r>
          </w:p>
        </w:tc>
        <w:tc>
          <w:tcPr>
            <w:tcW w:type="dxa" w:w="4320"/>
          </w:tcPr>
          <w:p>
            <w:r>
              <w:t>400+ Million CDRs per day</w:t>
            </w:r>
          </w:p>
        </w:tc>
      </w:tr>
      <w:tr>
        <w:tc>
          <w:tcPr>
            <w:tcW w:type="dxa" w:w="4320"/>
          </w:tcPr>
          <w:p>
            <w:r>
              <w:rPr>
                <w:b/>
              </w:rPr>
              <w:t>Status</w:t>
            </w:r>
          </w:p>
        </w:tc>
        <w:tc>
          <w:tcPr>
            <w:tcW w:type="dxa" w:w="4320"/>
          </w:tcPr>
          <w:p>
            <w:r>
              <w:t>Production - Running</w:t>
            </w:r>
          </w:p>
        </w:tc>
      </w:tr>
    </w:tbl>
    <w:p/>
    <w:p>
      <w:r>
        <w:rPr>
          <w:b/>
        </w:rPr>
        <w:t>Project Description:</w:t>
      </w:r>
    </w:p>
    <w:p>
      <w:r>
        <w:t>The CDR Analyzer System (CAS) is a large-scale CDR data processing system deployed at BTRC Data Center that generates analytics and QoS data from massive volumes of Call Detail Records. The system processes over 400 million CDRs daily from all ICX (Interconnection Exchange) operators in Bangladesh.</w:t>
      </w:r>
    </w:p>
    <w:p/>
    <w:p>
      <w:r>
        <w:rPr>
          <w:b/>
        </w:rPr>
        <w:t>QoS Analytics Generated:</w:t>
      </w:r>
    </w:p>
    <w:p>
      <w:pPr>
        <w:pStyle w:val="ListBullet"/>
      </w:pPr>
      <w:r>
        <w:t>• ASR (Answer Seizure Ratio) - Critical metric for voice call quality</w:t>
      </w:r>
    </w:p>
    <w:p>
      <w:pPr>
        <w:pStyle w:val="ListBullet"/>
      </w:pPr>
      <w:r>
        <w:t>• ACD (Average Call Duration) - Key indicator for IP call quality assessment</w:t>
      </w:r>
    </w:p>
    <w:p>
      <w:pPr>
        <w:pStyle w:val="ListBullet"/>
      </w:pPr>
      <w:r>
        <w:t>• Traffic volume analytics and trend analysis</w:t>
      </w:r>
    </w:p>
    <w:p>
      <w:pPr>
        <w:pStyle w:val="ListBullet"/>
      </w:pPr>
      <w:r>
        <w:t>• Call completion statistics per operator/route</w:t>
      </w:r>
    </w:p>
    <w:p>
      <w:pPr>
        <w:pStyle w:val="ListBullet"/>
      </w:pPr>
      <w:r>
        <w:t>• Revenue reconciliation and billing verification</w:t>
      </w:r>
    </w:p>
    <w:p/>
    <w:p>
      <w:r>
        <w:rPr>
          <w:b/>
        </w:rPr>
        <w:t>Technical Complexity:</w:t>
      </w:r>
    </w:p>
    <w:p>
      <w:r>
        <w:t>The system requires tremendous expertise in decoding and integrating with various switch vendor CDR formats. Each vendor has proprietary CDR structures requiring custom parsers and data transformation logic.</w:t>
      </w:r>
    </w:p>
    <w:p/>
    <w:p>
      <w:r>
        <w:rPr>
          <w:b/>
        </w:rPr>
        <w:t>Switch Vendor CDR Integration:</w:t>
      </w:r>
    </w:p>
    <w:p>
      <w:pPr>
        <w:pStyle w:val="ListBullet"/>
      </w:pPr>
      <w:r>
        <w:t>• Huawei</w:t>
      </w:r>
    </w:p>
    <w:p>
      <w:pPr>
        <w:pStyle w:val="ListBullet"/>
      </w:pPr>
      <w:r>
        <w:t>• ZTE</w:t>
      </w:r>
    </w:p>
    <w:p>
      <w:pPr>
        <w:pStyle w:val="ListBullet"/>
      </w:pPr>
      <w:r>
        <w:t>• Nokia</w:t>
      </w:r>
    </w:p>
    <w:p>
      <w:pPr>
        <w:pStyle w:val="ListBullet"/>
      </w:pPr>
      <w:r>
        <w:t>• Cataleya</w:t>
      </w:r>
    </w:p>
    <w:p>
      <w:pPr>
        <w:pStyle w:val="ListBullet"/>
      </w:pPr>
      <w:r>
        <w:t>• Dialogic</w:t>
      </w:r>
    </w:p>
    <w:p>
      <w:pPr>
        <w:pStyle w:val="ListBullet"/>
      </w:pPr>
      <w:r>
        <w:t>• Genband</w:t>
      </w:r>
    </w:p>
    <w:p>
      <w:pPr>
        <w:pStyle w:val="ListBullet"/>
      </w:pPr>
      <w:r>
        <w:t>• WTL (World Telecom Labs)</w:t>
      </w:r>
    </w:p>
    <w:p/>
    <w:p>
      <w:r>
        <w:rPr>
          <w:b/>
          <w:color w:val="990000"/>
          <w:sz w:val="24"/>
        </w:rPr>
        <w:t>External System Integrations (42+ Systems):</w:t>
      </w:r>
    </w:p>
    <w:p/>
    <w:p>
      <w:r>
        <w:rPr>
          <w:b/>
        </w:rPr>
        <w:t>Integration with 42 Softswitches of all ICX operators</w:t>
      </w:r>
      <w:r>
        <w:t xml:space="preserve"> supporting both IP and TDM protocols.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Integration Type</w:t>
            </w:r>
          </w:p>
        </w:tc>
        <w:tc>
          <w:tcPr>
            <w:tcW w:type="dxa" w:w="2880"/>
          </w:tcPr>
          <w:p>
            <w:r>
              <w:rPr>
                <w:b/>
              </w:rPr>
              <w:t>Count</w:t>
            </w:r>
          </w:p>
        </w:tc>
        <w:tc>
          <w:tcPr>
            <w:tcW w:type="dxa" w:w="2880"/>
          </w:tcPr>
          <w:p>
            <w:r>
              <w:rPr>
                <w:b/>
              </w:rPr>
              <w:t>Description</w:t>
            </w:r>
          </w:p>
        </w:tc>
      </w:tr>
      <w:tr>
        <w:tc>
          <w:tcPr>
            <w:tcW w:type="dxa" w:w="2880"/>
          </w:tcPr>
          <w:p>
            <w:r>
              <w:t>Softswitch CDR Feed</w:t>
            </w:r>
          </w:p>
        </w:tc>
        <w:tc>
          <w:tcPr>
            <w:tcW w:type="dxa" w:w="2880"/>
          </w:tcPr>
          <w:p>
            <w:r>
              <w:t>42</w:t>
            </w:r>
          </w:p>
        </w:tc>
        <w:tc>
          <w:tcPr>
            <w:tcW w:type="dxa" w:w="2880"/>
          </w:tcPr>
          <w:p>
            <w:r>
              <w:t>Real-time CDR collection from all ICX softswitches</w:t>
            </w:r>
          </w:p>
        </w:tc>
      </w:tr>
      <w:tr>
        <w:tc>
          <w:tcPr>
            <w:tcW w:type="dxa" w:w="2880"/>
          </w:tcPr>
          <w:p>
            <w:r>
              <w:t>IP Protocol Integration</w:t>
            </w:r>
          </w:p>
        </w:tc>
        <w:tc>
          <w:tcPr>
            <w:tcW w:type="dxa" w:w="2880"/>
          </w:tcPr>
          <w:p>
            <w:r>
              <w:t>Multiple</w:t>
            </w:r>
          </w:p>
        </w:tc>
        <w:tc>
          <w:tcPr>
            <w:tcW w:type="dxa" w:w="2880"/>
          </w:tcPr>
          <w:p>
            <w:r>
              <w:t>SIP, H.323, SIGTRAN based CDR formats</w:t>
            </w:r>
          </w:p>
        </w:tc>
      </w:tr>
      <w:tr>
        <w:tc>
          <w:tcPr>
            <w:tcW w:type="dxa" w:w="2880"/>
          </w:tcPr>
          <w:p>
            <w:r>
              <w:t>TDM Protocol Integration</w:t>
            </w:r>
          </w:p>
        </w:tc>
        <w:tc>
          <w:tcPr>
            <w:tcW w:type="dxa" w:w="2880"/>
          </w:tcPr>
          <w:p>
            <w:r>
              <w:t>Multiple</w:t>
            </w:r>
          </w:p>
        </w:tc>
        <w:tc>
          <w:tcPr>
            <w:tcW w:type="dxa" w:w="2880"/>
          </w:tcPr>
          <w:p>
            <w:r>
              <w:t>SS7/ISUP based CDR formats</w:t>
            </w:r>
          </w:p>
        </w:tc>
      </w:tr>
      <w:tr>
        <w:tc>
          <w:tcPr>
            <w:tcW w:type="dxa" w:w="2880"/>
          </w:tcPr>
          <w:p>
            <w:r>
              <w:t>Billing System</w:t>
            </w:r>
          </w:p>
        </w:tc>
        <w:tc>
          <w:tcPr>
            <w:tcW w:type="dxa" w:w="2880"/>
          </w:tcPr>
          <w:p>
            <w:r>
              <w:t>1</w:t>
            </w:r>
          </w:p>
        </w:tc>
        <w:tc>
          <w:tcPr>
            <w:tcW w:type="dxa" w:w="2880"/>
          </w:tcPr>
          <w:p>
            <w:r>
              <w:t>Central billing reconciliation</w:t>
            </w:r>
          </w:p>
        </w:tc>
      </w:tr>
      <w:tr>
        <w:tc>
          <w:tcPr>
            <w:tcW w:type="dxa" w:w="2880"/>
          </w:tcPr>
          <w:p>
            <w:r>
              <w:t>BTRC Reporting Portal</w:t>
            </w:r>
          </w:p>
        </w:tc>
        <w:tc>
          <w:tcPr>
            <w:tcW w:type="dxa" w:w="2880"/>
          </w:tcPr>
          <w:p>
            <w:r>
              <w:t>1</w:t>
            </w:r>
          </w:p>
        </w:tc>
        <w:tc>
          <w:tcPr>
            <w:tcW w:type="dxa" w:w="2880"/>
          </w:tcPr>
          <w:p>
            <w:r>
              <w:t>Analytics dashboard integration</w:t>
            </w:r>
          </w:p>
        </w:tc>
      </w:tr>
      <w:tr>
        <w:tc>
          <w:tcPr>
            <w:tcW w:type="dxa" w:w="2880"/>
          </w:tcPr>
          <w:p>
            <w:r>
              <w:t>Operator Portals</w:t>
            </w:r>
          </w:p>
        </w:tc>
        <w:tc>
          <w:tcPr>
            <w:tcW w:type="dxa" w:w="2880"/>
          </w:tcPr>
          <w:p>
            <w:r>
              <w:t>Multiple</w:t>
            </w:r>
          </w:p>
        </w:tc>
        <w:tc>
          <w:tcPr>
            <w:tcW w:type="dxa" w:w="2880"/>
          </w:tcPr>
          <w:p>
            <w:r>
              <w:t>Individual ICX operator access</w:t>
            </w:r>
          </w:p>
        </w:tc>
      </w:tr>
    </w:tbl>
    <w:p/>
    <w:p>
      <w:r>
        <w:rPr>
          <w:b/>
        </w:rPr>
        <w:t>Requirement Compliance:</w:t>
      </w:r>
      <w:r>
        <w:br/>
      </w:r>
      <w:r>
        <w:t>This project demonstrates Telcobright's capability in developing large-scale analytics/QoS platforms with integration to significantly more than 3 external systems (42+ softswitch integrations plus billing and reporting systems).</w:t>
      </w:r>
    </w:p>
    <w:p/>
    <w:p>
      <w:r>
        <w:rPr>
          <w:b/>
          <w:sz w:val="28"/>
        </w:rPr>
        <w:t>Technical Documentation &amp; Screenshots:</w:t>
      </w:r>
    </w:p>
    <w:p>
      <w:r>
        <w:t>[Screenshots and technical diagrams to be added]</w:t>
      </w:r>
    </w:p>
    <w:p w14:paraId="7E9F2D46" w14:textId="77777777" w:rsidR="00564BD3" w:rsidRDefault="00017B5D">
      <w:pPr>
        <w:jc w:val="center"/>
        <w:rPr>
          <w:b/>
          <w:color w:val="38761D"/>
          <w:sz w:val="36"/>
          <w:szCs w:val="36"/>
        </w:rPr>
      </w:pPr>
      <w:r>
        <w:rPr>
          <w:b/>
          <w:color w:val="38761D"/>
          <w:sz w:val="36"/>
          <w:szCs w:val="36"/>
        </w:rPr>
        <w:t>BTRC CAS ICX Portal User Manual for Daily Report Submission</w:t>
      </w:r>
    </w:p>
    <w:p w14:paraId="3B98D55C" w14:textId="77777777" w:rsidR="00564BD3" w:rsidRDefault="00564BD3">
      <w:pPr>
        <w:jc w:val="center"/>
        <w:rPr>
          <w:b/>
          <w:sz w:val="28"/>
          <w:szCs w:val="28"/>
        </w:rPr>
      </w:pPr>
    </w:p>
    <w:p w14:paraId="713DF8DE" w14:textId="77777777" w:rsidR="00564BD3" w:rsidRDefault="00017B5D">
      <w:pPr>
        <w:pStyle w:val="Heading2"/>
        <w:keepNext w:val="0"/>
        <w:keepLines w:val="0"/>
        <w:spacing w:after="80"/>
        <w:rPr>
          <w:b/>
          <w:sz w:val="34"/>
          <w:szCs w:val="34"/>
        </w:rPr>
      </w:pPr>
      <w:bookmarkStart w:id="0" w:name="_892xhn5ug641" w:colFirst="0" w:colLast="0"/>
      <w:bookmarkEnd w:id="0"/>
      <w:r>
        <w:rPr>
          <w:b/>
          <w:sz w:val="34"/>
          <w:szCs w:val="34"/>
        </w:rPr>
        <w:t>1. Login</w:t>
      </w:r>
    </w:p>
    <w:p w14:paraId="718163AB" w14:textId="77777777" w:rsidR="00564BD3" w:rsidRDefault="00017B5D">
      <w:pPr>
        <w:numPr>
          <w:ilvl w:val="0"/>
          <w:numId w:val="10"/>
        </w:numPr>
        <w:spacing w:before="240"/>
      </w:pPr>
      <w:r>
        <w:t xml:space="preserve">Open the </w:t>
      </w:r>
      <w:r>
        <w:rPr>
          <w:b/>
        </w:rPr>
        <w:t>BTRC CAS ICX Portal</w:t>
      </w:r>
      <w:r>
        <w:t>.</w:t>
      </w:r>
    </w:p>
    <w:p w14:paraId="0BD97D40" w14:textId="77777777" w:rsidR="00564BD3" w:rsidRDefault="00017B5D">
      <w:pPr>
        <w:numPr>
          <w:ilvl w:val="0"/>
          <w:numId w:val="10"/>
        </w:numPr>
      </w:pPr>
      <w:r>
        <w:t xml:space="preserve">Enter your </w:t>
      </w:r>
      <w:r>
        <w:rPr>
          <w:b/>
        </w:rPr>
        <w:t>Username</w:t>
      </w:r>
      <w:r>
        <w:t xml:space="preserve"> and </w:t>
      </w:r>
      <w:r>
        <w:rPr>
          <w:b/>
        </w:rPr>
        <w:t>Password</w:t>
      </w:r>
      <w:r>
        <w:t>.</w:t>
      </w:r>
    </w:p>
    <w:p w14:paraId="31A6C9E8" w14:textId="77777777" w:rsidR="00564BD3" w:rsidRDefault="00017B5D">
      <w:pPr>
        <w:numPr>
          <w:ilvl w:val="0"/>
          <w:numId w:val="10"/>
        </w:numPr>
        <w:spacing w:after="240"/>
      </w:pPr>
      <w:r>
        <w:t xml:space="preserve">Click </w:t>
      </w:r>
      <w:r>
        <w:rPr>
          <w:b/>
        </w:rPr>
        <w:t>Login</w:t>
      </w:r>
      <w:r>
        <w:t>.</w:t>
      </w:r>
      <w:r>
        <w:br/>
      </w:r>
      <w:r>
        <w:br/>
      </w:r>
      <w:r>
        <w:rPr>
          <w:noProof/>
        </w:rPr>
        <w:drawing>
          <wp:inline distT="114300" distB="114300" distL="114300" distR="114300" wp14:anchorId="17B351DB" wp14:editId="55580238">
            <wp:extent cx="5943600" cy="281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5943600" cy="2819400"/>
                    </a:xfrm>
                    <a:prstGeom prst="rect">
                      <a:avLst/>
                    </a:prstGeom>
                    <a:ln/>
                  </pic:spPr>
                </pic:pic>
              </a:graphicData>
            </a:graphic>
          </wp:inline>
        </w:drawing>
      </w:r>
    </w:p>
    <w:p w14:paraId="669C91F6" w14:textId="77777777" w:rsidR="00564BD3" w:rsidRDefault="00564BD3"/>
    <w:p w14:paraId="1F986B8D" w14:textId="77777777" w:rsidR="00564BD3" w:rsidRDefault="00564BD3"/>
    <w:p w14:paraId="3562CA41" w14:textId="77777777" w:rsidR="00564BD3" w:rsidRDefault="00564BD3">
      <w:pPr>
        <w:pStyle w:val="Heading2"/>
        <w:keepNext w:val="0"/>
        <w:keepLines w:val="0"/>
        <w:spacing w:after="80"/>
        <w:rPr>
          <w:b/>
          <w:sz w:val="34"/>
          <w:szCs w:val="34"/>
        </w:rPr>
      </w:pPr>
      <w:bookmarkStart w:id="1" w:name="_mm8w22pg4xqd" w:colFirst="0" w:colLast="0"/>
      <w:bookmarkEnd w:id="1"/>
    </w:p>
    <w:p w14:paraId="29F5E4C6" w14:textId="77777777" w:rsidR="00564BD3" w:rsidRDefault="00564BD3">
      <w:pPr>
        <w:pStyle w:val="Heading2"/>
        <w:keepNext w:val="0"/>
        <w:keepLines w:val="0"/>
        <w:spacing w:after="80"/>
        <w:rPr>
          <w:b/>
          <w:sz w:val="34"/>
          <w:szCs w:val="34"/>
        </w:rPr>
      </w:pPr>
      <w:bookmarkStart w:id="2" w:name="_e8qqdge3edqe" w:colFirst="0" w:colLast="0"/>
      <w:bookmarkEnd w:id="2"/>
    </w:p>
    <w:p w14:paraId="59564C81" w14:textId="77777777" w:rsidR="00564BD3" w:rsidRDefault="00564BD3">
      <w:pPr>
        <w:pStyle w:val="Heading2"/>
        <w:keepNext w:val="0"/>
        <w:keepLines w:val="0"/>
        <w:spacing w:after="80"/>
        <w:rPr>
          <w:b/>
          <w:sz w:val="34"/>
          <w:szCs w:val="34"/>
        </w:rPr>
      </w:pPr>
      <w:bookmarkStart w:id="3" w:name="_fsztfzqfe50" w:colFirst="0" w:colLast="0"/>
      <w:bookmarkEnd w:id="3"/>
    </w:p>
    <w:p w14:paraId="5EC1E321" w14:textId="77777777" w:rsidR="00564BD3" w:rsidRDefault="00564BD3">
      <w:pPr>
        <w:pStyle w:val="Heading2"/>
        <w:keepNext w:val="0"/>
        <w:keepLines w:val="0"/>
        <w:spacing w:after="80"/>
        <w:rPr>
          <w:b/>
          <w:sz w:val="34"/>
          <w:szCs w:val="34"/>
        </w:rPr>
      </w:pPr>
      <w:bookmarkStart w:id="4" w:name="_ds2sg32tlfpv" w:colFirst="0" w:colLast="0"/>
      <w:bookmarkEnd w:id="4"/>
    </w:p>
    <w:p w14:paraId="4F3342E7" w14:textId="77777777" w:rsidR="00564BD3" w:rsidRDefault="00564BD3">
      <w:pPr>
        <w:pStyle w:val="Heading2"/>
        <w:keepNext w:val="0"/>
        <w:keepLines w:val="0"/>
        <w:spacing w:after="80"/>
        <w:rPr>
          <w:b/>
          <w:sz w:val="34"/>
          <w:szCs w:val="34"/>
        </w:rPr>
      </w:pPr>
      <w:bookmarkStart w:id="5" w:name="_e652h109z3d" w:colFirst="0" w:colLast="0"/>
      <w:bookmarkEnd w:id="5"/>
    </w:p>
    <w:p w14:paraId="7C9A708E" w14:textId="77777777" w:rsidR="00564BD3" w:rsidRDefault="00017B5D">
      <w:pPr>
        <w:pStyle w:val="Heading2"/>
        <w:keepNext w:val="0"/>
        <w:keepLines w:val="0"/>
        <w:spacing w:after="80"/>
        <w:rPr>
          <w:b/>
          <w:sz w:val="34"/>
          <w:szCs w:val="34"/>
        </w:rPr>
      </w:pPr>
      <w:bookmarkStart w:id="6" w:name="_pl238vft460t" w:colFirst="0" w:colLast="0"/>
      <w:bookmarkEnd w:id="6"/>
      <w:r>
        <w:rPr>
          <w:b/>
          <w:sz w:val="34"/>
          <w:szCs w:val="34"/>
        </w:rPr>
        <w:lastRenderedPageBreak/>
        <w:t>2. Dashboard Overview</w:t>
      </w:r>
    </w:p>
    <w:p w14:paraId="4BDCF338" w14:textId="77777777" w:rsidR="00564BD3" w:rsidRDefault="00017B5D">
      <w:pPr>
        <w:spacing w:before="240" w:after="240"/>
      </w:pPr>
      <w:r>
        <w:t xml:space="preserve">Once logged in, you will see the </w:t>
      </w:r>
      <w:r>
        <w:rPr>
          <w:b/>
        </w:rPr>
        <w:t>Dashboard</w:t>
      </w:r>
      <w:r>
        <w:t>, which provides:</w:t>
      </w:r>
    </w:p>
    <w:p w14:paraId="766B7A17" w14:textId="77777777" w:rsidR="00564BD3" w:rsidRDefault="00017B5D">
      <w:pPr>
        <w:numPr>
          <w:ilvl w:val="0"/>
          <w:numId w:val="11"/>
        </w:numPr>
        <w:spacing w:before="240"/>
      </w:pPr>
      <w:r>
        <w:t xml:space="preserve">A summary of </w:t>
      </w:r>
      <w:r>
        <w:rPr>
          <w:b/>
        </w:rPr>
        <w:t>Domestic, International Incoming, and International Outgoing</w:t>
      </w:r>
      <w:r>
        <w:t xml:space="preserve"> data.</w:t>
      </w:r>
    </w:p>
    <w:p w14:paraId="1437C0E4" w14:textId="77777777" w:rsidR="00564BD3" w:rsidRDefault="00017B5D">
      <w:pPr>
        <w:numPr>
          <w:ilvl w:val="0"/>
          <w:numId w:val="11"/>
        </w:numPr>
      </w:pPr>
      <w:r>
        <w:t xml:space="preserve">The </w:t>
      </w:r>
      <w:r>
        <w:rPr>
          <w:b/>
        </w:rPr>
        <w:t>CDR processing status</w:t>
      </w:r>
      <w:r>
        <w:t>.</w:t>
      </w:r>
    </w:p>
    <w:p w14:paraId="39EF9A1C" w14:textId="77777777" w:rsidR="00564BD3" w:rsidRDefault="00017B5D">
      <w:pPr>
        <w:numPr>
          <w:ilvl w:val="0"/>
          <w:numId w:val="11"/>
        </w:numPr>
        <w:spacing w:after="240"/>
      </w:pPr>
      <w:r>
        <w:t xml:space="preserve">Alerts if any </w:t>
      </w:r>
      <w:r>
        <w:rPr>
          <w:b/>
        </w:rPr>
        <w:t>TGs (Trunk Groups) are missing</w:t>
      </w:r>
      <w:r>
        <w:t>.</w:t>
      </w:r>
    </w:p>
    <w:p w14:paraId="37F7EF40" w14:textId="77777777" w:rsidR="00564BD3" w:rsidRDefault="00564BD3">
      <w:pPr>
        <w:rPr>
          <w:b/>
        </w:rPr>
      </w:pPr>
    </w:p>
    <w:p w14:paraId="3DA2443D" w14:textId="77777777" w:rsidR="00564BD3" w:rsidRDefault="00017B5D">
      <w:r>
        <w:rPr>
          <w:noProof/>
        </w:rPr>
        <w:drawing>
          <wp:inline distT="114300" distB="114300" distL="114300" distR="114300" wp14:anchorId="2C59F902" wp14:editId="12B29354">
            <wp:extent cx="5943600" cy="2819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10"/>
                    <a:srcRect/>
                    <a:stretch>
                      <a:fillRect/>
                    </a:stretch>
                  </pic:blipFill>
                  <pic:spPr>
                    <a:xfrm>
                      <a:off x="0" y="0"/>
                      <a:ext cx="5943600" cy="2819400"/>
                    </a:xfrm>
                    <a:prstGeom prst="rect">
                      <a:avLst/>
                    </a:prstGeom>
                    <a:ln/>
                  </pic:spPr>
                </pic:pic>
              </a:graphicData>
            </a:graphic>
          </wp:inline>
        </w:drawing>
      </w:r>
    </w:p>
    <w:p w14:paraId="1520B7C6" w14:textId="77777777" w:rsidR="00564BD3" w:rsidRDefault="00564BD3"/>
    <w:p w14:paraId="2336D1B7" w14:textId="77777777" w:rsidR="00564BD3" w:rsidRDefault="00564BD3"/>
    <w:p w14:paraId="09182875" w14:textId="77777777" w:rsidR="00564BD3" w:rsidRDefault="00564BD3"/>
    <w:p w14:paraId="7ED4D536" w14:textId="77777777" w:rsidR="00564BD3" w:rsidRDefault="00564BD3"/>
    <w:p w14:paraId="4604681C" w14:textId="77777777" w:rsidR="00564BD3" w:rsidRDefault="00564BD3"/>
    <w:p w14:paraId="321ADECD" w14:textId="77777777" w:rsidR="00564BD3" w:rsidRDefault="00564BD3"/>
    <w:p w14:paraId="4BE23623" w14:textId="77777777" w:rsidR="00564BD3" w:rsidRDefault="00564BD3"/>
    <w:p w14:paraId="4043CA7C" w14:textId="77777777" w:rsidR="00564BD3" w:rsidRDefault="00564BD3"/>
    <w:p w14:paraId="03BBD4DC" w14:textId="77777777" w:rsidR="00564BD3" w:rsidRDefault="00564BD3"/>
    <w:p w14:paraId="57E1BF48" w14:textId="77777777" w:rsidR="00564BD3" w:rsidRDefault="00564BD3"/>
    <w:p w14:paraId="0A741250" w14:textId="77777777" w:rsidR="00564BD3" w:rsidRDefault="00564BD3"/>
    <w:p w14:paraId="21EF42C8" w14:textId="77777777" w:rsidR="00564BD3" w:rsidRDefault="00564BD3"/>
    <w:p w14:paraId="72E1C393" w14:textId="77777777" w:rsidR="00564BD3" w:rsidRDefault="00564BD3"/>
    <w:p w14:paraId="5A18E532" w14:textId="77777777" w:rsidR="00564BD3" w:rsidRDefault="00564BD3"/>
    <w:p w14:paraId="081DA6AE" w14:textId="77777777" w:rsidR="00564BD3" w:rsidRDefault="00564BD3"/>
    <w:p w14:paraId="749009D2" w14:textId="77777777" w:rsidR="00564BD3" w:rsidRDefault="00564BD3"/>
    <w:p w14:paraId="54D5A85C" w14:textId="77777777" w:rsidR="00564BD3" w:rsidRDefault="00564BD3"/>
    <w:p w14:paraId="23A8C0FE" w14:textId="77777777" w:rsidR="00564BD3" w:rsidRDefault="00564BD3"/>
    <w:p w14:paraId="1C009582" w14:textId="77777777" w:rsidR="00564BD3" w:rsidRDefault="00564BD3"/>
    <w:p w14:paraId="5D746FC5" w14:textId="77777777" w:rsidR="00564BD3" w:rsidRDefault="00017B5D">
      <w:pPr>
        <w:rPr>
          <w:b/>
          <w:sz w:val="34"/>
          <w:szCs w:val="34"/>
        </w:rPr>
      </w:pPr>
      <w:r>
        <w:rPr>
          <w:b/>
          <w:sz w:val="34"/>
          <w:szCs w:val="34"/>
        </w:rPr>
        <w:lastRenderedPageBreak/>
        <w:t>3. Submitting Daily Reports</w:t>
      </w:r>
    </w:p>
    <w:p w14:paraId="56F0C6B6" w14:textId="77777777" w:rsidR="00564BD3" w:rsidRDefault="00017B5D">
      <w:pPr>
        <w:pStyle w:val="Heading3"/>
        <w:keepNext w:val="0"/>
        <w:keepLines w:val="0"/>
        <w:spacing w:before="280"/>
        <w:rPr>
          <w:b/>
          <w:color w:val="000000"/>
          <w:sz w:val="26"/>
          <w:szCs w:val="26"/>
        </w:rPr>
      </w:pPr>
      <w:bookmarkStart w:id="7" w:name="_g7y3xkgrapls" w:colFirst="0" w:colLast="0"/>
      <w:bookmarkEnd w:id="7"/>
      <w:r>
        <w:rPr>
          <w:b/>
          <w:color w:val="000000"/>
          <w:sz w:val="26"/>
          <w:szCs w:val="26"/>
        </w:rPr>
        <w:t>Step 1: Navigate to the Submission Page</w:t>
      </w:r>
    </w:p>
    <w:p w14:paraId="6E040E67" w14:textId="77777777" w:rsidR="00564BD3" w:rsidRDefault="00017B5D">
      <w:pPr>
        <w:numPr>
          <w:ilvl w:val="0"/>
          <w:numId w:val="12"/>
        </w:numPr>
        <w:spacing w:before="240"/>
      </w:pPr>
      <w:r>
        <w:t xml:space="preserve">Click on </w:t>
      </w:r>
      <w:r>
        <w:rPr>
          <w:b/>
        </w:rPr>
        <w:t>Daily Report Submission</w:t>
      </w:r>
      <w:r>
        <w:t xml:space="preserve"> from the sidebar.</w:t>
      </w:r>
    </w:p>
    <w:p w14:paraId="2CA980E7" w14:textId="77777777" w:rsidR="00564BD3" w:rsidRDefault="00017B5D">
      <w:pPr>
        <w:numPr>
          <w:ilvl w:val="0"/>
          <w:numId w:val="12"/>
        </w:numPr>
        <w:spacing w:after="240"/>
      </w:pPr>
      <w:r>
        <w:t xml:space="preserve">The </w:t>
      </w:r>
      <w:r>
        <w:rPr>
          <w:b/>
        </w:rPr>
        <w:t>Daily Report Submission</w:t>
      </w:r>
      <w:r>
        <w:t xml:space="preserve"> page will appear.</w:t>
      </w:r>
    </w:p>
    <w:p w14:paraId="7DC2DE94" w14:textId="77777777" w:rsidR="00564BD3" w:rsidRDefault="00564BD3">
      <w:pPr>
        <w:rPr>
          <w:highlight w:val="black"/>
        </w:rPr>
      </w:pPr>
    </w:p>
    <w:p w14:paraId="37E1CA9A" w14:textId="77777777" w:rsidR="00564BD3" w:rsidRDefault="00017B5D">
      <w:r>
        <w:rPr>
          <w:noProof/>
        </w:rPr>
        <w:drawing>
          <wp:inline distT="114300" distB="114300" distL="114300" distR="114300" wp14:anchorId="67CAA992" wp14:editId="64D83EBF">
            <wp:extent cx="5943600" cy="28067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1"/>
                    <a:srcRect/>
                    <a:stretch>
                      <a:fillRect/>
                    </a:stretch>
                  </pic:blipFill>
                  <pic:spPr>
                    <a:xfrm>
                      <a:off x="0" y="0"/>
                      <a:ext cx="5943600" cy="2806700"/>
                    </a:xfrm>
                    <a:prstGeom prst="rect">
                      <a:avLst/>
                    </a:prstGeom>
                    <a:ln/>
                  </pic:spPr>
                </pic:pic>
              </a:graphicData>
            </a:graphic>
          </wp:inline>
        </w:drawing>
      </w:r>
    </w:p>
    <w:p w14:paraId="6C265314" w14:textId="77777777" w:rsidR="00564BD3" w:rsidRDefault="00564BD3"/>
    <w:p w14:paraId="154E1E01" w14:textId="77777777" w:rsidR="00564BD3" w:rsidRDefault="00564BD3"/>
    <w:p w14:paraId="70E1CA07" w14:textId="77777777" w:rsidR="00564BD3" w:rsidRDefault="00017B5D">
      <w:r>
        <w:rPr>
          <w:noProof/>
        </w:rPr>
        <w:drawing>
          <wp:inline distT="114300" distB="114300" distL="114300" distR="114300" wp14:anchorId="56EC1720" wp14:editId="3A401C7D">
            <wp:extent cx="5943600" cy="2819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2"/>
                    <a:srcRect/>
                    <a:stretch>
                      <a:fillRect/>
                    </a:stretch>
                  </pic:blipFill>
                  <pic:spPr>
                    <a:xfrm>
                      <a:off x="0" y="0"/>
                      <a:ext cx="5943600" cy="2819400"/>
                    </a:xfrm>
                    <a:prstGeom prst="rect">
                      <a:avLst/>
                    </a:prstGeom>
                    <a:ln/>
                  </pic:spPr>
                </pic:pic>
              </a:graphicData>
            </a:graphic>
          </wp:inline>
        </w:drawing>
      </w:r>
    </w:p>
    <w:p w14:paraId="21105B31" w14:textId="77777777" w:rsidR="00564BD3" w:rsidRDefault="00564BD3"/>
    <w:p w14:paraId="0B8728F7" w14:textId="77777777" w:rsidR="00564BD3" w:rsidRDefault="00564BD3"/>
    <w:p w14:paraId="5B3B4E1E" w14:textId="77777777" w:rsidR="00564BD3" w:rsidRDefault="00017B5D">
      <w:pPr>
        <w:pStyle w:val="Heading3"/>
        <w:keepNext w:val="0"/>
        <w:keepLines w:val="0"/>
        <w:spacing w:before="280"/>
        <w:rPr>
          <w:b/>
          <w:color w:val="000000"/>
          <w:sz w:val="26"/>
          <w:szCs w:val="26"/>
        </w:rPr>
      </w:pPr>
      <w:bookmarkStart w:id="8" w:name="_ksoih2rqi6s" w:colFirst="0" w:colLast="0"/>
      <w:bookmarkEnd w:id="8"/>
      <w:r>
        <w:rPr>
          <w:b/>
          <w:color w:val="000000"/>
          <w:sz w:val="26"/>
          <w:szCs w:val="26"/>
        </w:rPr>
        <w:lastRenderedPageBreak/>
        <w:t>Step 2: Enter Billing Data</w:t>
      </w:r>
    </w:p>
    <w:p w14:paraId="0D30AC31" w14:textId="77777777" w:rsidR="00564BD3" w:rsidRDefault="00017B5D">
      <w:pPr>
        <w:numPr>
          <w:ilvl w:val="0"/>
          <w:numId w:val="13"/>
        </w:numPr>
        <w:spacing w:before="240"/>
      </w:pPr>
      <w:r>
        <w:t xml:space="preserve">Click the </w:t>
      </w:r>
      <w:r>
        <w:rPr>
          <w:b/>
        </w:rPr>
        <w:t>Edit</w:t>
      </w:r>
      <w:r>
        <w:t xml:space="preserve"> button.</w:t>
      </w:r>
    </w:p>
    <w:p w14:paraId="1F4A9EBB" w14:textId="77777777" w:rsidR="00564BD3" w:rsidRDefault="00017B5D">
      <w:pPr>
        <w:numPr>
          <w:ilvl w:val="0"/>
          <w:numId w:val="13"/>
        </w:numPr>
      </w:pPr>
      <w:r>
        <w:t xml:space="preserve">Input your </w:t>
      </w:r>
      <w:r>
        <w:rPr>
          <w:b/>
        </w:rPr>
        <w:t>daily billed duration</w:t>
      </w:r>
      <w:r>
        <w:t xml:space="preserve"> for:</w:t>
      </w:r>
    </w:p>
    <w:p w14:paraId="0CB837FD" w14:textId="77777777" w:rsidR="00564BD3" w:rsidRDefault="00017B5D">
      <w:pPr>
        <w:numPr>
          <w:ilvl w:val="1"/>
          <w:numId w:val="13"/>
        </w:numPr>
      </w:pPr>
      <w:r>
        <w:rPr>
          <w:b/>
        </w:rPr>
        <w:t>Domestic</w:t>
      </w:r>
    </w:p>
    <w:p w14:paraId="1248A667" w14:textId="77777777" w:rsidR="00564BD3" w:rsidRDefault="00017B5D">
      <w:pPr>
        <w:numPr>
          <w:ilvl w:val="1"/>
          <w:numId w:val="13"/>
        </w:numPr>
      </w:pPr>
      <w:r>
        <w:rPr>
          <w:b/>
        </w:rPr>
        <w:t>International Incoming</w:t>
      </w:r>
    </w:p>
    <w:p w14:paraId="08246775" w14:textId="77777777" w:rsidR="00564BD3" w:rsidRDefault="00017B5D">
      <w:pPr>
        <w:numPr>
          <w:ilvl w:val="1"/>
          <w:numId w:val="13"/>
        </w:numPr>
      </w:pPr>
      <w:r>
        <w:rPr>
          <w:b/>
        </w:rPr>
        <w:t>International Outgoing</w:t>
      </w:r>
    </w:p>
    <w:p w14:paraId="77A1A328" w14:textId="77777777" w:rsidR="00564BD3" w:rsidRDefault="00017B5D">
      <w:pPr>
        <w:numPr>
          <w:ilvl w:val="0"/>
          <w:numId w:val="13"/>
        </w:numPr>
      </w:pPr>
      <w:r>
        <w:t xml:space="preserve">Click </w:t>
      </w:r>
      <w:r>
        <w:rPr>
          <w:b/>
        </w:rPr>
        <w:t>Update</w:t>
      </w:r>
      <w:r>
        <w:t xml:space="preserve"> to save the data.</w:t>
      </w:r>
    </w:p>
    <w:p w14:paraId="0EFD2374" w14:textId="77777777" w:rsidR="00564BD3" w:rsidRDefault="00017B5D">
      <w:pPr>
        <w:numPr>
          <w:ilvl w:val="0"/>
          <w:numId w:val="13"/>
        </w:numPr>
        <w:spacing w:after="240"/>
      </w:pPr>
      <w:r>
        <w:t xml:space="preserve">The </w:t>
      </w:r>
      <w:r>
        <w:rPr>
          <w:b/>
        </w:rPr>
        <w:t>Difference column</w:t>
      </w:r>
      <w:r>
        <w:t xml:space="preserve"> will show any discrepancies.</w:t>
      </w:r>
    </w:p>
    <w:p w14:paraId="2045DE9A" w14:textId="77777777" w:rsidR="00564BD3" w:rsidRDefault="00564BD3"/>
    <w:p w14:paraId="33797C08" w14:textId="77777777" w:rsidR="00564BD3" w:rsidRDefault="00564BD3"/>
    <w:p w14:paraId="569820B0" w14:textId="77777777" w:rsidR="00564BD3" w:rsidRDefault="00017B5D">
      <w:r>
        <w:rPr>
          <w:noProof/>
        </w:rPr>
        <w:drawing>
          <wp:inline distT="114300" distB="114300" distL="114300" distR="114300" wp14:anchorId="4891B689" wp14:editId="1914786B">
            <wp:extent cx="5943600" cy="2832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3"/>
                    <a:srcRect/>
                    <a:stretch>
                      <a:fillRect/>
                    </a:stretch>
                  </pic:blipFill>
                  <pic:spPr>
                    <a:xfrm>
                      <a:off x="0" y="0"/>
                      <a:ext cx="5943600" cy="2832100"/>
                    </a:xfrm>
                    <a:prstGeom prst="rect">
                      <a:avLst/>
                    </a:prstGeom>
                    <a:ln/>
                  </pic:spPr>
                </pic:pic>
              </a:graphicData>
            </a:graphic>
          </wp:inline>
        </w:drawing>
      </w:r>
    </w:p>
    <w:p w14:paraId="252ADB5A" w14:textId="77777777" w:rsidR="00564BD3" w:rsidRDefault="00564BD3"/>
    <w:p w14:paraId="782DD63F" w14:textId="77777777" w:rsidR="00564BD3" w:rsidRDefault="00017B5D">
      <w:r>
        <w:rPr>
          <w:noProof/>
        </w:rPr>
        <w:drawing>
          <wp:inline distT="114300" distB="114300" distL="114300" distR="114300" wp14:anchorId="415C61C2" wp14:editId="101F34DC">
            <wp:extent cx="5943600" cy="2832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4"/>
                    <a:srcRect/>
                    <a:stretch>
                      <a:fillRect/>
                    </a:stretch>
                  </pic:blipFill>
                  <pic:spPr>
                    <a:xfrm>
                      <a:off x="0" y="0"/>
                      <a:ext cx="5943600" cy="2832100"/>
                    </a:xfrm>
                    <a:prstGeom prst="rect">
                      <a:avLst/>
                    </a:prstGeom>
                    <a:ln/>
                  </pic:spPr>
                </pic:pic>
              </a:graphicData>
            </a:graphic>
          </wp:inline>
        </w:drawing>
      </w:r>
    </w:p>
    <w:p w14:paraId="118124D4" w14:textId="77777777" w:rsidR="00564BD3" w:rsidRDefault="00017B5D">
      <w:pPr>
        <w:pStyle w:val="Heading3"/>
        <w:keepNext w:val="0"/>
        <w:keepLines w:val="0"/>
        <w:spacing w:before="280"/>
        <w:rPr>
          <w:b/>
          <w:color w:val="000000"/>
          <w:sz w:val="26"/>
          <w:szCs w:val="26"/>
        </w:rPr>
      </w:pPr>
      <w:bookmarkStart w:id="9" w:name="_taxzt2o3j66h" w:colFirst="0" w:colLast="0"/>
      <w:bookmarkEnd w:id="9"/>
      <w:r>
        <w:rPr>
          <w:b/>
          <w:color w:val="000000"/>
          <w:sz w:val="26"/>
          <w:szCs w:val="26"/>
        </w:rPr>
        <w:lastRenderedPageBreak/>
        <w:t>Step 3: Submit the Report</w:t>
      </w:r>
    </w:p>
    <w:p w14:paraId="226E88E6" w14:textId="77777777" w:rsidR="00564BD3" w:rsidRDefault="00017B5D">
      <w:pPr>
        <w:numPr>
          <w:ilvl w:val="0"/>
          <w:numId w:val="14"/>
        </w:numPr>
        <w:spacing w:before="240"/>
      </w:pPr>
      <w:r>
        <w:t xml:space="preserve">If all data is correct and no disputes are found, click </w:t>
      </w:r>
      <w:r>
        <w:rPr>
          <w:b/>
        </w:rPr>
        <w:t>Submit</w:t>
      </w:r>
      <w:r>
        <w:t>.</w:t>
      </w:r>
    </w:p>
    <w:p w14:paraId="058695A8" w14:textId="77777777" w:rsidR="00564BD3" w:rsidRDefault="00017B5D">
      <w:pPr>
        <w:numPr>
          <w:ilvl w:val="0"/>
          <w:numId w:val="14"/>
        </w:numPr>
        <w:spacing w:after="240"/>
      </w:pPr>
      <w:r>
        <w:t>Your daily report is now succes</w:t>
      </w:r>
      <w:r>
        <w:t>sfully submitted.</w:t>
      </w:r>
    </w:p>
    <w:p w14:paraId="1728070E" w14:textId="77777777" w:rsidR="00564BD3" w:rsidRDefault="00564BD3"/>
    <w:p w14:paraId="75A36053" w14:textId="77777777" w:rsidR="00564BD3" w:rsidRDefault="00017B5D">
      <w:r>
        <w:rPr>
          <w:noProof/>
        </w:rPr>
        <w:drawing>
          <wp:inline distT="114300" distB="114300" distL="114300" distR="114300" wp14:anchorId="183B862F" wp14:editId="3E977DA2">
            <wp:extent cx="5943600" cy="2806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5"/>
                    <a:srcRect/>
                    <a:stretch>
                      <a:fillRect/>
                    </a:stretch>
                  </pic:blipFill>
                  <pic:spPr>
                    <a:xfrm>
                      <a:off x="0" y="0"/>
                      <a:ext cx="5943600" cy="2806700"/>
                    </a:xfrm>
                    <a:prstGeom prst="rect">
                      <a:avLst/>
                    </a:prstGeom>
                    <a:ln/>
                  </pic:spPr>
                </pic:pic>
              </a:graphicData>
            </a:graphic>
          </wp:inline>
        </w:drawing>
      </w:r>
    </w:p>
    <w:p>
      <w:r>
        <w:br w:type="page"/>
      </w:r>
    </w:p>
    <w:p>
      <w:pPr>
        <w:pStyle w:val="Heading1"/>
      </w:pPr>
      <w:r>
        <w:t>Monitoring System Overview</w:t>
      </w:r>
    </w:p>
    <w:p>
      <w:r>
        <w:rPr>
          <w:sz w:val="22"/>
        </w:rPr>
        <w:t>The following slides provide an overview of the monitoring system architecture and capabilities.</w:t>
      </w:r>
    </w:p>
    <w:p/>
    <w:p>
      <w:pPr>
        <w:jc w:val="center"/>
      </w:pPr>
      <w:r>
        <w:drawing>
          <wp:inline xmlns:a="http://schemas.openxmlformats.org/drawingml/2006/main" xmlns:pic="http://schemas.openxmlformats.org/drawingml/2006/picture">
            <wp:extent cx="5760000" cy="3238381"/>
            <wp:docPr id="8" name="Picture 8"/>
            <wp:cNvGraphicFramePr>
              <a:graphicFrameLocks noChangeAspect="1"/>
            </wp:cNvGraphicFramePr>
            <a:graphic>
              <a:graphicData uri="http://schemas.openxmlformats.org/drawingml/2006/picture">
                <pic:pic>
                  <pic:nvPicPr>
                    <pic:cNvPr id="0" name="slide-01.png"/>
                    <pic:cNvPicPr/>
                  </pic:nvPicPr>
                  <pic:blipFill>
                    <a:blip r:embed="rId16"/>
                    <a:stretch>
                      <a:fillRect/>
                    </a:stretch>
                  </pic:blipFill>
                  <pic:spPr>
                    <a:xfrm>
                      <a:off x="0" y="0"/>
                      <a:ext cx="5760000" cy="3238381"/>
                    </a:xfrm>
                    <a:prstGeom prst="rect"/>
                  </pic:spPr>
                </pic:pic>
              </a:graphicData>
            </a:graphic>
          </wp:inline>
        </w:drawing>
      </w:r>
    </w:p>
    <w:p>
      <w:pPr>
        <w:jc w:val="center"/>
      </w:pPr>
      <w:r>
        <w:rPr>
          <w:i/>
          <w:sz w:val="20"/>
        </w:rPr>
        <w:t>Slide 1</w:t>
      </w:r>
    </w:p>
    <w:p/>
    <w:p>
      <w:pPr>
        <w:jc w:val="center"/>
      </w:pPr>
      <w:r>
        <w:drawing>
          <wp:inline xmlns:a="http://schemas.openxmlformats.org/drawingml/2006/main" xmlns:pic="http://schemas.openxmlformats.org/drawingml/2006/picture">
            <wp:extent cx="5760000" cy="3238381"/>
            <wp:docPr id="9" name="Picture 9"/>
            <wp:cNvGraphicFramePr>
              <a:graphicFrameLocks noChangeAspect="1"/>
            </wp:cNvGraphicFramePr>
            <a:graphic>
              <a:graphicData uri="http://schemas.openxmlformats.org/drawingml/2006/picture">
                <pic:pic>
                  <pic:nvPicPr>
                    <pic:cNvPr id="0" name="slide-02.png"/>
                    <pic:cNvPicPr/>
                  </pic:nvPicPr>
                  <pic:blipFill>
                    <a:blip r:embed="rId17"/>
                    <a:stretch>
                      <a:fillRect/>
                    </a:stretch>
                  </pic:blipFill>
                  <pic:spPr>
                    <a:xfrm>
                      <a:off x="0" y="0"/>
                      <a:ext cx="5760000" cy="3238381"/>
                    </a:xfrm>
                    <a:prstGeom prst="rect"/>
                  </pic:spPr>
                </pic:pic>
              </a:graphicData>
            </a:graphic>
          </wp:inline>
        </w:drawing>
      </w:r>
    </w:p>
    <w:p>
      <w:pPr>
        <w:jc w:val="center"/>
      </w:pPr>
      <w:r>
        <w:rPr>
          <w:i/>
          <w:sz w:val="20"/>
        </w:rPr>
        <w:t>Slide 2</w:t>
      </w:r>
    </w:p>
    <w:p/>
    <w:p>
      <w:pPr>
        <w:jc w:val="center"/>
      </w:pPr>
      <w:r>
        <w:drawing>
          <wp:inline xmlns:a="http://schemas.openxmlformats.org/drawingml/2006/main" xmlns:pic="http://schemas.openxmlformats.org/drawingml/2006/picture">
            <wp:extent cx="5760000" cy="3238381"/>
            <wp:docPr id="10" name="Picture 10"/>
            <wp:cNvGraphicFramePr>
              <a:graphicFrameLocks noChangeAspect="1"/>
            </wp:cNvGraphicFramePr>
            <a:graphic>
              <a:graphicData uri="http://schemas.openxmlformats.org/drawingml/2006/picture">
                <pic:pic>
                  <pic:nvPicPr>
                    <pic:cNvPr id="0" name="slide-03.png"/>
                    <pic:cNvPicPr/>
                  </pic:nvPicPr>
                  <pic:blipFill>
                    <a:blip r:embed="rId18"/>
                    <a:stretch>
                      <a:fillRect/>
                    </a:stretch>
                  </pic:blipFill>
                  <pic:spPr>
                    <a:xfrm>
                      <a:off x="0" y="0"/>
                      <a:ext cx="5760000" cy="3238381"/>
                    </a:xfrm>
                    <a:prstGeom prst="rect"/>
                  </pic:spPr>
                </pic:pic>
              </a:graphicData>
            </a:graphic>
          </wp:inline>
        </w:drawing>
      </w:r>
    </w:p>
    <w:p>
      <w:pPr>
        <w:jc w:val="center"/>
      </w:pPr>
      <w:r>
        <w:rPr>
          <w:i/>
          <w:sz w:val="20"/>
        </w:rPr>
        <w:t>Slide 3</w:t>
      </w:r>
    </w:p>
    <w:p/>
    <w:p>
      <w:pPr>
        <w:jc w:val="center"/>
      </w:pPr>
      <w:r>
        <w:drawing>
          <wp:inline xmlns:a="http://schemas.openxmlformats.org/drawingml/2006/main" xmlns:pic="http://schemas.openxmlformats.org/drawingml/2006/picture">
            <wp:extent cx="5760000" cy="3238381"/>
            <wp:docPr id="11" name="Picture 11"/>
            <wp:cNvGraphicFramePr>
              <a:graphicFrameLocks noChangeAspect="1"/>
            </wp:cNvGraphicFramePr>
            <a:graphic>
              <a:graphicData uri="http://schemas.openxmlformats.org/drawingml/2006/picture">
                <pic:pic>
                  <pic:nvPicPr>
                    <pic:cNvPr id="0" name="slide-04.png"/>
                    <pic:cNvPicPr/>
                  </pic:nvPicPr>
                  <pic:blipFill>
                    <a:blip r:embed="rId19"/>
                    <a:stretch>
                      <a:fillRect/>
                    </a:stretch>
                  </pic:blipFill>
                  <pic:spPr>
                    <a:xfrm>
                      <a:off x="0" y="0"/>
                      <a:ext cx="5760000" cy="3238381"/>
                    </a:xfrm>
                    <a:prstGeom prst="rect"/>
                  </pic:spPr>
                </pic:pic>
              </a:graphicData>
            </a:graphic>
          </wp:inline>
        </w:drawing>
      </w:r>
    </w:p>
    <w:p>
      <w:pPr>
        <w:jc w:val="center"/>
      </w:pPr>
      <w:r>
        <w:rPr>
          <w:i/>
          <w:sz w:val="20"/>
        </w:rPr>
        <w:t>Slide 4</w:t>
      </w:r>
    </w:p>
    <w:p/>
    <w:p>
      <w:pPr>
        <w:jc w:val="center"/>
      </w:pPr>
      <w:r>
        <w:drawing>
          <wp:inline xmlns:a="http://schemas.openxmlformats.org/drawingml/2006/main" xmlns:pic="http://schemas.openxmlformats.org/drawingml/2006/picture">
            <wp:extent cx="5760000" cy="3238381"/>
            <wp:docPr id="12" name="Picture 12"/>
            <wp:cNvGraphicFramePr>
              <a:graphicFrameLocks noChangeAspect="1"/>
            </wp:cNvGraphicFramePr>
            <a:graphic>
              <a:graphicData uri="http://schemas.openxmlformats.org/drawingml/2006/picture">
                <pic:pic>
                  <pic:nvPicPr>
                    <pic:cNvPr id="0" name="slide-05.png"/>
                    <pic:cNvPicPr/>
                  </pic:nvPicPr>
                  <pic:blipFill>
                    <a:blip r:embed="rId20"/>
                    <a:stretch>
                      <a:fillRect/>
                    </a:stretch>
                  </pic:blipFill>
                  <pic:spPr>
                    <a:xfrm>
                      <a:off x="0" y="0"/>
                      <a:ext cx="5760000" cy="3238381"/>
                    </a:xfrm>
                    <a:prstGeom prst="rect"/>
                  </pic:spPr>
                </pic:pic>
              </a:graphicData>
            </a:graphic>
          </wp:inline>
        </w:drawing>
      </w:r>
    </w:p>
    <w:p>
      <w:pPr>
        <w:jc w:val="center"/>
      </w:pPr>
      <w:r>
        <w:rPr>
          <w:i/>
          <w:sz w:val="20"/>
        </w:rPr>
        <w:t>Slide 5</w:t>
      </w:r>
    </w:p>
    <w:p/>
    <w:p>
      <w:pPr>
        <w:jc w:val="center"/>
      </w:pPr>
      <w:r>
        <w:drawing>
          <wp:inline xmlns:a="http://schemas.openxmlformats.org/drawingml/2006/main" xmlns:pic="http://schemas.openxmlformats.org/drawingml/2006/picture">
            <wp:extent cx="5760000" cy="3238381"/>
            <wp:docPr id="13" name="Picture 13"/>
            <wp:cNvGraphicFramePr>
              <a:graphicFrameLocks noChangeAspect="1"/>
            </wp:cNvGraphicFramePr>
            <a:graphic>
              <a:graphicData uri="http://schemas.openxmlformats.org/drawingml/2006/picture">
                <pic:pic>
                  <pic:nvPicPr>
                    <pic:cNvPr id="0" name="slide-06.png"/>
                    <pic:cNvPicPr/>
                  </pic:nvPicPr>
                  <pic:blipFill>
                    <a:blip r:embed="rId21"/>
                    <a:stretch>
                      <a:fillRect/>
                    </a:stretch>
                  </pic:blipFill>
                  <pic:spPr>
                    <a:xfrm>
                      <a:off x="0" y="0"/>
                      <a:ext cx="5760000" cy="3238381"/>
                    </a:xfrm>
                    <a:prstGeom prst="rect"/>
                  </pic:spPr>
                </pic:pic>
              </a:graphicData>
            </a:graphic>
          </wp:inline>
        </w:drawing>
      </w:r>
    </w:p>
    <w:p>
      <w:pPr>
        <w:jc w:val="center"/>
      </w:pPr>
      <w:r>
        <w:rPr>
          <w:i/>
          <w:sz w:val="20"/>
        </w:rPr>
        <w:t>Slide 6</w:t>
      </w:r>
    </w:p>
    <w:p/>
    <w:p>
      <w:pPr>
        <w:jc w:val="center"/>
      </w:pPr>
      <w:r>
        <w:drawing>
          <wp:inline xmlns:a="http://schemas.openxmlformats.org/drawingml/2006/main" xmlns:pic="http://schemas.openxmlformats.org/drawingml/2006/picture">
            <wp:extent cx="5760000" cy="3238381"/>
            <wp:docPr id="14" name="Picture 14"/>
            <wp:cNvGraphicFramePr>
              <a:graphicFrameLocks noChangeAspect="1"/>
            </wp:cNvGraphicFramePr>
            <a:graphic>
              <a:graphicData uri="http://schemas.openxmlformats.org/drawingml/2006/picture">
                <pic:pic>
                  <pic:nvPicPr>
                    <pic:cNvPr id="0" name="slide-07.png"/>
                    <pic:cNvPicPr/>
                  </pic:nvPicPr>
                  <pic:blipFill>
                    <a:blip r:embed="rId22"/>
                    <a:stretch>
                      <a:fillRect/>
                    </a:stretch>
                  </pic:blipFill>
                  <pic:spPr>
                    <a:xfrm>
                      <a:off x="0" y="0"/>
                      <a:ext cx="5760000" cy="3238381"/>
                    </a:xfrm>
                    <a:prstGeom prst="rect"/>
                  </pic:spPr>
                </pic:pic>
              </a:graphicData>
            </a:graphic>
          </wp:inline>
        </w:drawing>
      </w:r>
    </w:p>
    <w:p>
      <w:pPr>
        <w:jc w:val="center"/>
      </w:pPr>
      <w:r>
        <w:rPr>
          <w:i/>
          <w:sz w:val="20"/>
        </w:rPr>
        <w:t>Slide 7</w:t>
      </w:r>
    </w:p>
    <w:p/>
    <w:p>
      <w:pPr>
        <w:jc w:val="center"/>
      </w:pPr>
      <w:r>
        <w:drawing>
          <wp:inline xmlns:a="http://schemas.openxmlformats.org/drawingml/2006/main" xmlns:pic="http://schemas.openxmlformats.org/drawingml/2006/picture">
            <wp:extent cx="5760000" cy="3238381"/>
            <wp:docPr id="15" name="Picture 15"/>
            <wp:cNvGraphicFramePr>
              <a:graphicFrameLocks noChangeAspect="1"/>
            </wp:cNvGraphicFramePr>
            <a:graphic>
              <a:graphicData uri="http://schemas.openxmlformats.org/drawingml/2006/picture">
                <pic:pic>
                  <pic:nvPicPr>
                    <pic:cNvPr id="0" name="slide-08.png"/>
                    <pic:cNvPicPr/>
                  </pic:nvPicPr>
                  <pic:blipFill>
                    <a:blip r:embed="rId23"/>
                    <a:stretch>
                      <a:fillRect/>
                    </a:stretch>
                  </pic:blipFill>
                  <pic:spPr>
                    <a:xfrm>
                      <a:off x="0" y="0"/>
                      <a:ext cx="5760000" cy="3238381"/>
                    </a:xfrm>
                    <a:prstGeom prst="rect"/>
                  </pic:spPr>
                </pic:pic>
              </a:graphicData>
            </a:graphic>
          </wp:inline>
        </w:drawing>
      </w:r>
    </w:p>
    <w:p>
      <w:pPr>
        <w:jc w:val="center"/>
      </w:pPr>
      <w:r>
        <w:rPr>
          <w:i/>
          <w:sz w:val="20"/>
        </w:rPr>
        <w:t>Slide 8</w:t>
      </w:r>
    </w:p>
    <w:p/>
    <w:p>
      <w:pPr>
        <w:jc w:val="center"/>
      </w:pPr>
      <w:r>
        <w:drawing>
          <wp:inline xmlns:a="http://schemas.openxmlformats.org/drawingml/2006/main" xmlns:pic="http://schemas.openxmlformats.org/drawingml/2006/picture">
            <wp:extent cx="5760000" cy="3238381"/>
            <wp:docPr id="16" name="Picture 16"/>
            <wp:cNvGraphicFramePr>
              <a:graphicFrameLocks noChangeAspect="1"/>
            </wp:cNvGraphicFramePr>
            <a:graphic>
              <a:graphicData uri="http://schemas.openxmlformats.org/drawingml/2006/picture">
                <pic:pic>
                  <pic:nvPicPr>
                    <pic:cNvPr id="0" name="slide-09.png"/>
                    <pic:cNvPicPr/>
                  </pic:nvPicPr>
                  <pic:blipFill>
                    <a:blip r:embed="rId24"/>
                    <a:stretch>
                      <a:fillRect/>
                    </a:stretch>
                  </pic:blipFill>
                  <pic:spPr>
                    <a:xfrm>
                      <a:off x="0" y="0"/>
                      <a:ext cx="5760000" cy="3238381"/>
                    </a:xfrm>
                    <a:prstGeom prst="rect"/>
                  </pic:spPr>
                </pic:pic>
              </a:graphicData>
            </a:graphic>
          </wp:inline>
        </w:drawing>
      </w:r>
    </w:p>
    <w:p>
      <w:pPr>
        <w:jc w:val="center"/>
      </w:pPr>
      <w:r>
        <w:rPr>
          <w:i/>
          <w:sz w:val="20"/>
        </w:rPr>
        <w:t>Slide 9</w:t>
      </w:r>
    </w:p>
    <w:p/>
    <w:p>
      <w:pPr>
        <w:jc w:val="center"/>
      </w:pPr>
      <w:r>
        <w:drawing>
          <wp:inline xmlns:a="http://schemas.openxmlformats.org/drawingml/2006/main" xmlns:pic="http://schemas.openxmlformats.org/drawingml/2006/picture">
            <wp:extent cx="5760000" cy="3238381"/>
            <wp:docPr id="17" name="Picture 17"/>
            <wp:cNvGraphicFramePr>
              <a:graphicFrameLocks noChangeAspect="1"/>
            </wp:cNvGraphicFramePr>
            <a:graphic>
              <a:graphicData uri="http://schemas.openxmlformats.org/drawingml/2006/picture">
                <pic:pic>
                  <pic:nvPicPr>
                    <pic:cNvPr id="0" name="slide-10.png"/>
                    <pic:cNvPicPr/>
                  </pic:nvPicPr>
                  <pic:blipFill>
                    <a:blip r:embed="rId25"/>
                    <a:stretch>
                      <a:fillRect/>
                    </a:stretch>
                  </pic:blipFill>
                  <pic:spPr>
                    <a:xfrm>
                      <a:off x="0" y="0"/>
                      <a:ext cx="5760000" cy="3238381"/>
                    </a:xfrm>
                    <a:prstGeom prst="rect"/>
                  </pic:spPr>
                </pic:pic>
              </a:graphicData>
            </a:graphic>
          </wp:inline>
        </w:drawing>
      </w:r>
    </w:p>
    <w:p>
      <w:pPr>
        <w:jc w:val="center"/>
      </w:pPr>
      <w:r>
        <w:rPr>
          <w:i/>
          <w:sz w:val="20"/>
        </w:rPr>
        <w:t>Slide 10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A5A698"/>
    <w:multiLevelType w:val="multilevel"/>
    <w:tmpl w:val="0658D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0" w15:restartNumberingAfterBreak="0">
    <w:nsid w:val="043DDFF9"/>
    <w:multiLevelType w:val="multilevel"/>
    <w:tmpl w:val="CB66C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1" w15:restartNumberingAfterBreak="0">
    <w:nsid w:val="016FB5E7"/>
    <w:multiLevelType w:val="multilevel"/>
    <w:tmpl w:val="31F87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2" w15:restartNumberingAfterBreak="0">
    <w:nsid w:val="02F1F891"/>
    <w:multiLevelType w:val="multilevel"/>
    <w:tmpl w:val="B686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3" w15:restartNumberingAfterBreak="0">
    <w:nsid w:val="0250D73C"/>
    <w:multiLevelType w:val="multilevel"/>
    <w:tmpl w:val="412EF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2">
    <w:abstractNumId w:val="11"/>
  </w:num>
  <w:num w:numId="13">
    <w:abstractNumId w:val="12"/>
  </w:num>
  <w:num w:numId="14">
    <w:abstractNumId w:val="1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