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1626" w:after="0"/>
        <w:ind w:left="0" w:right="1356" w:firstLine="0"/>
        <w:jc w:val="right"/>
      </w:pPr>
      <w:r>
        <w:rPr>
          <w:rFonts w:ascii="Glacial Indifference" w:hAnsi="Glacial Indifference" w:eastAsia="Glacial Indifference"/>
          <w:b/>
          <w:i w:val="0"/>
          <w:color w:val="004AAD"/>
          <w:sz w:val="48"/>
        </w:rPr>
        <w:t>MD MAHMUDUR RAHMAN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3314700</wp:posOffset>
            </wp:positionV>
            <wp:extent cx="165100" cy="1651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3378200</wp:posOffset>
            </wp:positionV>
            <wp:extent cx="4711700" cy="381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361950</wp:posOffset>
            </wp:positionH>
            <wp:positionV relativeFrom="page">
              <wp:posOffset>184150</wp:posOffset>
            </wp:positionV>
            <wp:extent cx="2292350" cy="3399814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92350" cy="33998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134" w:after="216"/>
        <w:ind w:left="0" w:right="1784" w:firstLine="0"/>
        <w:jc w:val="right"/>
      </w:pPr>
      <w:r>
        <w:rPr>
          <w:rFonts w:ascii="Arimo" w:hAnsi="Arimo" w:eastAsia="Arimo"/>
          <w:b/>
          <w:i/>
          <w:color w:val="000000"/>
          <w:sz w:val="32"/>
        </w:rPr>
        <w:t>Infrastructure Support Engineer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00.0" w:type="dxa"/>
      </w:tblPr>
      <w:tblGrid>
        <w:gridCol w:w="2257"/>
        <w:gridCol w:w="2257"/>
        <w:gridCol w:w="2257"/>
        <w:gridCol w:w="2257"/>
      </w:tblGrid>
      <w:tr>
        <w:trPr>
          <w:trHeight w:hRule="exact" w:val="146"/>
        </w:trPr>
        <w:tc>
          <w:tcPr>
            <w:tcW w:type="dxa" w:w="8840"/>
            <w:gridSpan w:val="4"/>
            <w:tcBorders>
              <w:top w:sz="12.0" w:val="single" w:color="#004AA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0"/>
        </w:trPr>
        <w:tc>
          <w:tcPr>
            <w:tcW w:type="dxa" w:w="255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5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4300" cy="1143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00" w:after="0"/>
              <w:ind w:left="0" w:right="5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1600" cy="1397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44" w:lineRule="exact" w:before="366" w:after="0"/>
              <w:ind w:left="0" w:right="48" w:firstLine="0"/>
              <w:jc w:val="right"/>
            </w:pPr>
            <w:r>
              <w:rPr>
                <w:w w:val="103.5252747252746"/>
                <w:rFonts w:ascii="helv" w:hAnsi="helv" w:eastAsia="helv"/>
                <w:b w:val="0"/>
                <w:i w:val="0"/>
                <w:color w:val="004AAD"/>
                <w:sz w:val="14"/>
              </w:rPr>
              <w:t>🌐</w:t>
            </w:r>
          </w:p>
        </w:tc>
        <w:tc>
          <w:tcPr>
            <w:tcW w:type="dxa" w:w="30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84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2"/>
              </w:rPr>
              <w:t>mahmud@comptech.com.bd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8900" cy="1143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228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2"/>
              </w:rPr>
              <w:t>+880 1872 661101</w:t>
            </w:r>
          </w:p>
        </w:tc>
      </w:tr>
      <w:tr>
        <w:trPr>
          <w:trHeight w:hRule="exact" w:val="1064"/>
        </w:trPr>
        <w:tc>
          <w:tcPr>
            <w:tcW w:type="dxa" w:w="2257"/>
            <w:vMerge/>
            <w:tcBorders/>
          </w:tcPr>
          <w:p/>
        </w:tc>
        <w:tc>
          <w:tcPr>
            <w:tcW w:type="dxa" w:w="628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8" w:after="0"/>
              <w:ind w:left="184" w:right="1152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2"/>
              </w:rPr>
              <w:t xml:space="preserve">1139, Society Bhaban, Block-b, South Banasree, </w:t>
            </w:r>
            <w:r>
              <w:rPr>
                <w:rFonts w:ascii="Arimo" w:hAnsi="Arimo" w:eastAsia="Arimo"/>
                <w:b w:val="0"/>
                <w:i w:val="0"/>
                <w:color w:val="000000"/>
                <w:sz w:val="22"/>
              </w:rPr>
              <w:t>Khilgaon, Dhaka-1212.</w:t>
            </w:r>
          </w:p>
          <w:p>
            <w:pPr>
              <w:autoSpaceDN w:val="0"/>
              <w:autoSpaceDE w:val="0"/>
              <w:widowControl/>
              <w:spacing w:line="233" w:lineRule="auto" w:before="116" w:after="0"/>
              <w:ind w:left="184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2"/>
              </w:rPr>
              <w:t>linkedin.com/mahmud1107</w:t>
            </w:r>
          </w:p>
        </w:tc>
      </w:tr>
    </w:tbl>
    <w:p>
      <w:pPr>
        <w:autoSpaceDN w:val="0"/>
        <w:autoSpaceDE w:val="0"/>
        <w:widowControl/>
        <w:spacing w:line="240" w:lineRule="auto" w:before="658" w:after="0"/>
        <w:ind w:left="1116" w:right="0" w:firstLine="0"/>
        <w:jc w:val="left"/>
      </w:pPr>
      <w:r>
        <w:rPr>
          <w:rFonts w:ascii="Glacial Indifference" w:hAnsi="Glacial Indifference" w:eastAsia="Glacial Indifference"/>
          <w:b/>
          <w:i w:val="0"/>
          <w:color w:val="004AAD"/>
          <w:sz w:val="26"/>
        </w:rPr>
        <w:t>PROFILE SUMMARY</w:t>
      </w:r>
    </w:p>
    <w:p>
      <w:pPr>
        <w:autoSpaceDN w:val="0"/>
        <w:autoSpaceDE w:val="0"/>
        <w:widowControl/>
        <w:spacing w:line="283" w:lineRule="auto" w:before="202" w:after="318"/>
        <w:ind w:left="1116" w:right="1046" w:firstLine="0"/>
        <w:jc w:val="both"/>
      </w:pPr>
      <w:r>
        <w:rPr>
          <w:rFonts w:ascii="Arimo" w:hAnsi="Arimo" w:eastAsia="Arimo"/>
          <w:b w:val="0"/>
          <w:i w:val="0"/>
          <w:color w:val="000000"/>
          <w:sz w:val="22"/>
        </w:rPr>
        <w:t xml:space="preserve">Skilled Infrastructure Engineer with hands-on experience in deploying and managing cloud 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solutions. Proficient in automation, virtualization, and network security, with a strong focus on 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building scalable and reliable systems. Experienced in OpenStack, server administration, and cloud </w:t>
      </w:r>
      <w:r>
        <w:rPr>
          <w:rFonts w:ascii="Arimo" w:hAnsi="Arimo" w:eastAsia="Arimo"/>
          <w:b w:val="0"/>
          <w:i w:val="0"/>
          <w:color w:val="000000"/>
          <w:sz w:val="22"/>
        </w:rPr>
        <w:t>migration.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542"/>
        </w:trPr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10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004AAD"/>
                <w:sz w:val="26"/>
              </w:rPr>
              <w:t>WORK EXPERIENCE</w:t>
            </w:r>
          </w:p>
        </w:tc>
        <w:tc>
          <w:tcPr>
            <w:tcW w:type="dxa" w:w="7944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2" w:after="0"/>
              <w:ind w:left="12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711700" cy="381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17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500"/>
        </w:trPr>
        <w:tc>
          <w:tcPr>
            <w:tcW w:type="dxa" w:w="8468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4" w:after="0"/>
              <w:ind w:left="798" w:right="0" w:firstLine="0"/>
              <w:jc w:val="left"/>
            </w:pPr>
            <w:r>
              <w:rPr>
                <w:rFonts w:ascii="Arimo" w:hAnsi="Arimo" w:eastAsia="Arimo"/>
                <w:b/>
                <w:i w:val="0"/>
                <w:color w:val="000000"/>
                <w:sz w:val="22"/>
              </w:rPr>
              <w:t xml:space="preserve">Infrastructure Support Engineer | </w:t>
            </w:r>
            <w:r>
              <w:rPr>
                <w:rFonts w:ascii="Arimo" w:hAnsi="Arimo" w:eastAsia="Arimo"/>
                <w:b w:val="0"/>
                <w:i/>
                <w:color w:val="000000"/>
                <w:sz w:val="22"/>
              </w:rPr>
              <w:t>CompTech Network System (Pvt) Ltd.</w:t>
            </w:r>
          </w:p>
        </w:tc>
        <w:tc>
          <w:tcPr>
            <w:tcW w:type="dxa" w:w="26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2" w:after="0"/>
              <w:ind w:left="460" w:right="0" w:firstLine="0"/>
              <w:jc w:val="left"/>
            </w:pPr>
            <w:r>
              <w:rPr>
                <w:rFonts w:ascii="Arimo" w:hAnsi="Arimo" w:eastAsia="Arimo"/>
                <w:b w:val="0"/>
                <w:i/>
                <w:color w:val="004AAD"/>
                <w:sz w:val="18"/>
              </w:rPr>
              <w:t xml:space="preserve"> JAN’25- </w:t>
            </w:r>
            <w:r>
              <w:rPr>
                <w:rFonts w:ascii="Arimo" w:hAnsi="Arimo" w:eastAsia="Arimo"/>
                <w:b/>
                <w:i/>
                <w:color w:val="004AAD"/>
                <w:sz w:val="18"/>
              </w:rPr>
              <w:t>PRESENT</w:t>
            </w:r>
          </w:p>
        </w:tc>
      </w:tr>
      <w:tr>
        <w:trPr>
          <w:trHeight w:hRule="exact" w:val="420"/>
        </w:trPr>
        <w:tc>
          <w:tcPr>
            <w:tcW w:type="dxa" w:w="7812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822" w:right="0" w:firstLine="0"/>
              <w:jc w:val="left"/>
            </w:pPr>
            <w:r>
              <w:rPr>
                <w:rFonts w:ascii="Arimo" w:hAnsi="Arimo" w:eastAsia="Arimo"/>
                <w:b/>
                <w:i w:val="0"/>
                <w:color w:val="000000"/>
                <w:sz w:val="22"/>
              </w:rPr>
              <w:t>Trainee Engineer</w:t>
            </w:r>
            <w:r>
              <w:rPr>
                <w:rFonts w:ascii="Arimo" w:hAnsi="Arimo" w:eastAsia="Arimo"/>
                <w:b/>
                <w:i w:val="0"/>
                <w:color w:val="000000"/>
                <w:sz w:val="22"/>
              </w:rPr>
              <w:t>|</w:t>
            </w:r>
            <w:r>
              <w:rPr>
                <w:rFonts w:ascii="Arimo" w:hAnsi="Arimo" w:eastAsia="Arimo"/>
                <w:b w:val="0"/>
                <w:i/>
                <w:color w:val="000000"/>
                <w:sz w:val="22"/>
              </w:rPr>
              <w:t>CompTech Network System (Pvt) Ltd.</w:t>
            </w:r>
          </w:p>
        </w:tc>
        <w:tc>
          <w:tcPr>
            <w:tcW w:type="dxa" w:w="330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6" w:after="0"/>
              <w:ind w:left="0" w:right="616" w:firstLine="0"/>
              <w:jc w:val="right"/>
            </w:pPr>
            <w:r>
              <w:rPr>
                <w:rFonts w:ascii="Arimo" w:hAnsi="Arimo" w:eastAsia="Arimo"/>
                <w:b w:val="0"/>
                <w:i/>
                <w:color w:val="004AAD"/>
                <w:sz w:val="18"/>
              </w:rPr>
              <w:t>JULY’24-DEC’24</w:t>
            </w:r>
          </w:p>
        </w:tc>
      </w:tr>
      <w:tr>
        <w:trPr>
          <w:trHeight w:hRule="exact" w:val="580"/>
        </w:trPr>
        <w:tc>
          <w:tcPr>
            <w:tcW w:type="dxa" w:w="55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822" w:right="0" w:firstLine="0"/>
              <w:jc w:val="left"/>
            </w:pPr>
            <w:r>
              <w:rPr>
                <w:rFonts w:ascii="Arimo" w:hAnsi="Arimo" w:eastAsia="Arimo"/>
                <w:b/>
                <w:i w:val="0"/>
                <w:color w:val="000000"/>
                <w:sz w:val="22"/>
              </w:rPr>
              <w:t>Front End Developer</w:t>
            </w:r>
            <w:r>
              <w:rPr>
                <w:rFonts w:ascii="Arimo" w:hAnsi="Arimo" w:eastAsia="Arimo"/>
                <w:b/>
                <w:i w:val="0"/>
                <w:color w:val="000000"/>
                <w:sz w:val="22"/>
              </w:rPr>
              <w:t>|</w:t>
            </w:r>
            <w:r>
              <w:rPr>
                <w:rFonts w:ascii="Arimo" w:hAnsi="Arimo" w:eastAsia="Arimo"/>
                <w:b w:val="0"/>
                <w:i w:val="0"/>
                <w:color w:val="000000"/>
                <w:sz w:val="22"/>
              </w:rPr>
              <w:t xml:space="preserve"> Gensoft Technologies</w:t>
            </w:r>
          </w:p>
        </w:tc>
        <w:tc>
          <w:tcPr>
            <w:tcW w:type="dxa" w:w="56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6" w:after="0"/>
              <w:ind w:left="0" w:right="600" w:firstLine="0"/>
              <w:jc w:val="right"/>
            </w:pPr>
            <w:r>
              <w:rPr>
                <w:rFonts w:ascii="Arimo" w:hAnsi="Arimo" w:eastAsia="Arimo"/>
                <w:b w:val="0"/>
                <w:i/>
                <w:color w:val="004AAD"/>
                <w:sz w:val="18"/>
              </w:rPr>
              <w:t>FEB’23-DEC’23</w:t>
            </w:r>
          </w:p>
        </w:tc>
      </w:tr>
      <w:tr>
        <w:trPr>
          <w:trHeight w:hRule="exact" w:val="600"/>
        </w:trPr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66700" cy="177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30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0" w:after="0"/>
              <w:ind w:left="24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004AAD"/>
                <w:sz w:val="26"/>
              </w:rPr>
              <w:t>EDUCATION</w:t>
            </w:r>
          </w:p>
        </w:tc>
      </w:tr>
      <w:tr>
        <w:trPr>
          <w:trHeight w:hRule="exact" w:val="400"/>
        </w:trPr>
        <w:tc>
          <w:tcPr>
            <w:tcW w:type="dxa" w:w="8078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798" w:right="0" w:firstLine="0"/>
              <w:jc w:val="left"/>
            </w:pPr>
            <w:r>
              <w:rPr>
                <w:rFonts w:ascii="Arimo" w:hAnsi="Arimo" w:eastAsia="Arimo"/>
                <w:b/>
                <w:i w:val="0"/>
                <w:color w:val="000000"/>
                <w:sz w:val="24"/>
              </w:rPr>
              <w:t>American International University Bangladesh</w:t>
            </w:r>
          </w:p>
        </w:tc>
        <w:tc>
          <w:tcPr>
            <w:tcW w:type="dxa" w:w="304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4" w:after="0"/>
              <w:ind w:left="0" w:right="616" w:firstLine="0"/>
              <w:jc w:val="right"/>
            </w:pPr>
            <w:r>
              <w:rPr>
                <w:rFonts w:ascii="Arimo" w:hAnsi="Arimo" w:eastAsia="Arimo"/>
                <w:b w:val="0"/>
                <w:i/>
                <w:color w:val="004AAD"/>
                <w:sz w:val="18"/>
              </w:rPr>
              <w:t>2020</w:t>
            </w:r>
          </w:p>
        </w:tc>
      </w:tr>
      <w:tr>
        <w:trPr>
          <w:trHeight w:hRule="exact" w:val="420"/>
        </w:trPr>
        <w:tc>
          <w:tcPr>
            <w:tcW w:type="dxa" w:w="1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4" w:after="0"/>
              <w:ind w:left="150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3"/>
              </w:rPr>
              <w:t>Bachelor of Science, CSE</w:t>
            </w:r>
          </w:p>
        </w:tc>
      </w:tr>
      <w:tr>
        <w:trPr>
          <w:trHeight w:hRule="exact" w:val="460"/>
        </w:trPr>
        <w:tc>
          <w:tcPr>
            <w:tcW w:type="dxa" w:w="55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798" w:right="0" w:firstLine="0"/>
              <w:jc w:val="left"/>
            </w:pPr>
            <w:r>
              <w:rPr>
                <w:rFonts w:ascii="Arimo" w:hAnsi="Arimo" w:eastAsia="Arimo"/>
                <w:b/>
                <w:i w:val="0"/>
                <w:color w:val="000000"/>
                <w:sz w:val="24"/>
              </w:rPr>
              <w:t>Milestone College - Dhaka</w:t>
            </w:r>
          </w:p>
        </w:tc>
        <w:tc>
          <w:tcPr>
            <w:tcW w:type="dxa" w:w="56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76" w:after="0"/>
              <w:ind w:left="0" w:right="616" w:firstLine="0"/>
              <w:jc w:val="right"/>
            </w:pPr>
            <w:r>
              <w:rPr>
                <w:rFonts w:ascii="Arimo" w:hAnsi="Arimo" w:eastAsia="Arimo"/>
                <w:b w:val="0"/>
                <w:i/>
                <w:color w:val="004AAD"/>
                <w:sz w:val="18"/>
              </w:rPr>
              <w:t>2013</w:t>
            </w:r>
          </w:p>
        </w:tc>
      </w:tr>
      <w:tr>
        <w:trPr>
          <w:trHeight w:hRule="exact" w:val="400"/>
        </w:trPr>
        <w:tc>
          <w:tcPr>
            <w:tcW w:type="dxa" w:w="1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150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3"/>
              </w:rPr>
              <w:t>Higher Secondary School Certificate</w:t>
            </w:r>
          </w:p>
        </w:tc>
      </w:tr>
      <w:tr>
        <w:trPr>
          <w:trHeight w:hRule="exact" w:val="420"/>
        </w:trPr>
        <w:tc>
          <w:tcPr>
            <w:tcW w:type="dxa" w:w="55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" w:after="0"/>
              <w:ind w:left="798" w:right="0" w:firstLine="0"/>
              <w:jc w:val="left"/>
            </w:pPr>
            <w:r>
              <w:rPr>
                <w:rFonts w:ascii="Arimo" w:hAnsi="Arimo" w:eastAsia="Arimo"/>
                <w:b/>
                <w:i w:val="0"/>
                <w:color w:val="000000"/>
                <w:sz w:val="24"/>
              </w:rPr>
              <w:t xml:space="preserve"> Uttara High School - Dhaka</w:t>
            </w:r>
          </w:p>
        </w:tc>
        <w:tc>
          <w:tcPr>
            <w:tcW w:type="dxa" w:w="56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6" w:after="0"/>
              <w:ind w:left="0" w:right="616" w:firstLine="0"/>
              <w:jc w:val="right"/>
            </w:pPr>
            <w:r>
              <w:rPr>
                <w:rFonts w:ascii="Arimo" w:hAnsi="Arimo" w:eastAsia="Arimo"/>
                <w:b w:val="0"/>
                <w:i/>
                <w:color w:val="004AAD"/>
                <w:sz w:val="18"/>
              </w:rPr>
              <w:t>2011</w:t>
            </w:r>
          </w:p>
        </w:tc>
      </w:tr>
      <w:tr>
        <w:trPr>
          <w:trHeight w:hRule="exact" w:val="520"/>
        </w:trPr>
        <w:tc>
          <w:tcPr>
            <w:tcW w:type="dxa" w:w="1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150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3"/>
              </w:rPr>
              <w:t xml:space="preserve">Secondary School Certificate </w:t>
            </w:r>
          </w:p>
        </w:tc>
      </w:tr>
      <w:tr>
        <w:trPr>
          <w:trHeight w:hRule="exact" w:val="720"/>
        </w:trPr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66700" cy="177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30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4" w:after="0"/>
              <w:ind w:left="74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004AAD"/>
                <w:sz w:val="26"/>
              </w:rPr>
              <w:t>PROFESSIONAL SKILL</w:t>
            </w:r>
          </w:p>
        </w:tc>
      </w:tr>
      <w:tr>
        <w:trPr>
          <w:trHeight w:hRule="exact" w:val="520"/>
        </w:trPr>
        <w:tc>
          <w:tcPr>
            <w:tcW w:type="dxa" w:w="1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50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0" w:after="0"/>
              <w:ind w:left="17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000000"/>
                <w:sz w:val="22"/>
              </w:rPr>
              <w:t>Openstack</w:t>
            </w:r>
          </w:p>
        </w:tc>
        <w:tc>
          <w:tcPr>
            <w:tcW w:type="dxa" w:w="3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0" w:right="7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2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16" w:after="0"/>
              <w:ind w:left="74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000000"/>
                <w:sz w:val="22"/>
              </w:rPr>
              <w:t>WordPress</w:t>
            </w:r>
          </w:p>
        </w:tc>
      </w:tr>
      <w:tr>
        <w:trPr>
          <w:trHeight w:hRule="exact" w:val="320"/>
        </w:trPr>
        <w:tc>
          <w:tcPr>
            <w:tcW w:type="dxa" w:w="1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17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000000"/>
                <w:sz w:val="22"/>
              </w:rPr>
              <w:t>Machine Learning</w:t>
            </w:r>
          </w:p>
        </w:tc>
        <w:tc>
          <w:tcPr>
            <w:tcW w:type="dxa" w:w="3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7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2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74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000000"/>
                <w:sz w:val="22"/>
              </w:rPr>
              <w:t>Virtualization</w:t>
            </w:r>
          </w:p>
        </w:tc>
      </w:tr>
      <w:tr>
        <w:trPr>
          <w:trHeight w:hRule="exact" w:val="300"/>
        </w:trPr>
        <w:tc>
          <w:tcPr>
            <w:tcW w:type="dxa" w:w="1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7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000000"/>
                <w:sz w:val="22"/>
              </w:rPr>
              <w:t>Frontend Development</w:t>
            </w:r>
          </w:p>
        </w:tc>
        <w:tc>
          <w:tcPr>
            <w:tcW w:type="dxa" w:w="3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7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508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2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4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000000"/>
                <w:sz w:val="22"/>
              </w:rPr>
              <w:t>Server Administration</w:t>
            </w:r>
          </w:p>
        </w:tc>
      </w:tr>
      <w:tr>
        <w:trPr>
          <w:trHeight w:hRule="exact" w:val="320"/>
        </w:trPr>
        <w:tc>
          <w:tcPr>
            <w:tcW w:type="dxa" w:w="1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508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7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000000"/>
                <w:sz w:val="22"/>
              </w:rPr>
              <w:t>Web Development</w:t>
            </w:r>
          </w:p>
        </w:tc>
        <w:tc>
          <w:tcPr>
            <w:tcW w:type="dxa" w:w="3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7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508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2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74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000000"/>
                <w:sz w:val="22"/>
              </w:rPr>
              <w:t>Network Administration</w:t>
            </w:r>
          </w:p>
        </w:tc>
      </w:tr>
      <w:tr>
        <w:trPr>
          <w:trHeight w:hRule="exact" w:val="320"/>
        </w:trPr>
        <w:tc>
          <w:tcPr>
            <w:tcW w:type="dxa" w:w="1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508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7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000000"/>
                <w:sz w:val="22"/>
              </w:rPr>
              <w:t>HTML, CSS</w:t>
            </w:r>
          </w:p>
        </w:tc>
        <w:tc>
          <w:tcPr>
            <w:tcW w:type="dxa" w:w="3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7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2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74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000000"/>
                <w:sz w:val="22"/>
              </w:rPr>
              <w:t>Graphics Designing</w:t>
            </w:r>
          </w:p>
        </w:tc>
      </w:tr>
      <w:tr>
        <w:trPr>
          <w:trHeight w:hRule="exact" w:val="320"/>
        </w:trPr>
        <w:tc>
          <w:tcPr>
            <w:tcW w:type="dxa" w:w="1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17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000000"/>
                <w:sz w:val="22"/>
              </w:rPr>
              <w:t>Python</w:t>
            </w:r>
          </w:p>
        </w:tc>
        <w:tc>
          <w:tcPr>
            <w:tcW w:type="dxa" w:w="3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7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2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74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000000"/>
                <w:sz w:val="22"/>
              </w:rPr>
              <w:t>Simulation and Design</w:t>
            </w:r>
          </w:p>
        </w:tc>
      </w:tr>
      <w:tr>
        <w:trPr>
          <w:trHeight w:hRule="exact" w:val="352"/>
        </w:trPr>
        <w:tc>
          <w:tcPr>
            <w:tcW w:type="dxa" w:w="1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170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000000"/>
                <w:sz w:val="22"/>
              </w:rPr>
              <w:t>C++</w:t>
            </w:r>
          </w:p>
        </w:tc>
        <w:tc>
          <w:tcPr>
            <w:tcW w:type="dxa" w:w="3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7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508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2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74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000000"/>
                <w:sz w:val="22"/>
              </w:rPr>
              <w:t>Cloud Migration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8"/>
        <w:ind w:left="0" w:right="0"/>
      </w:pPr>
    </w:p>
    <w:p>
      <w:pPr>
        <w:autoSpaceDN w:val="0"/>
        <w:tabs>
          <w:tab w:pos="346" w:val="left"/>
          <w:tab w:pos="336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0500" cy="2159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15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Glacial Indifference" w:hAnsi="Glacial Indifference" w:eastAsia="Glacial Indifference"/>
          <w:b/>
          <w:i w:val="0"/>
          <w:color w:val="004AAD"/>
          <w:sz w:val="26"/>
        </w:rPr>
        <w:t>ONLINE CERTIFICATION</w:t>
      </w:r>
      <w:r>
        <w:tab/>
      </w:r>
      <w:r>
        <w:drawing>
          <wp:inline xmlns:a="http://schemas.openxmlformats.org/drawingml/2006/main" xmlns:pic="http://schemas.openxmlformats.org/drawingml/2006/picture">
            <wp:extent cx="3924300" cy="381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84" w:val="left"/>
        </w:tabs>
        <w:autoSpaceDE w:val="0"/>
        <w:widowControl/>
        <w:spacing w:line="240" w:lineRule="auto" w:before="546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84974956512451"/>
          <w:rFonts w:ascii="Nunito" w:hAnsi="Nunito" w:eastAsia="Nunito"/>
          <w:b/>
          <w:i w:val="0"/>
          <w:color w:val="333132"/>
          <w:sz w:val="24"/>
        </w:rPr>
        <w:t>Red Hat System Administration I (RH124)</w:t>
      </w:r>
    </w:p>
    <w:p>
      <w:pPr>
        <w:autoSpaceDN w:val="0"/>
        <w:tabs>
          <w:tab w:pos="584" w:val="left"/>
        </w:tabs>
        <w:autoSpaceDE w:val="0"/>
        <w:widowControl/>
        <w:spacing w:line="240" w:lineRule="auto" w:before="5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84974956512451"/>
          <w:rFonts w:ascii="Nunito" w:hAnsi="Nunito" w:eastAsia="Nunito"/>
          <w:b/>
          <w:i w:val="0"/>
          <w:color w:val="333132"/>
          <w:sz w:val="24"/>
        </w:rPr>
        <w:t>Red Hat System Administration II (RH134)</w:t>
      </w:r>
    </w:p>
    <w:p>
      <w:pPr>
        <w:autoSpaceDN w:val="0"/>
        <w:tabs>
          <w:tab w:pos="584" w:val="left"/>
        </w:tabs>
        <w:autoSpaceDE w:val="0"/>
        <w:widowControl/>
        <w:spacing w:line="240" w:lineRule="auto" w:before="52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84974956512451"/>
          <w:rFonts w:ascii="Nunito" w:hAnsi="Nunito" w:eastAsia="Nunito"/>
          <w:b/>
          <w:i w:val="0"/>
          <w:color w:val="333132"/>
          <w:sz w:val="24"/>
        </w:rPr>
        <w:t>Red Hat OpenShift Administration I: Operating a Production Cluster (DO180)</w:t>
      </w:r>
    </w:p>
    <w:p>
      <w:pPr>
        <w:autoSpaceDN w:val="0"/>
        <w:tabs>
          <w:tab w:pos="584" w:val="left"/>
        </w:tabs>
        <w:autoSpaceDE w:val="0"/>
        <w:widowControl/>
        <w:spacing w:line="240" w:lineRule="auto" w:before="52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84974956512451"/>
          <w:rFonts w:ascii="Nunito" w:hAnsi="Nunito" w:eastAsia="Nunito"/>
          <w:b/>
          <w:i w:val="0"/>
          <w:color w:val="333132"/>
          <w:sz w:val="24"/>
        </w:rPr>
        <w:t>Red Hat OpenShift Administration II: Configuring a Production Cluster (DO280)</w:t>
      </w:r>
    </w:p>
    <w:p>
      <w:pPr>
        <w:autoSpaceDN w:val="0"/>
        <w:tabs>
          <w:tab w:pos="584" w:val="left"/>
        </w:tabs>
        <w:autoSpaceDE w:val="0"/>
        <w:widowControl/>
        <w:spacing w:line="240" w:lineRule="auto" w:before="52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84974956512451"/>
          <w:rFonts w:ascii="Nunito" w:hAnsi="Nunito" w:eastAsia="Nunito"/>
          <w:b/>
          <w:i w:val="0"/>
          <w:color w:val="333132"/>
          <w:sz w:val="24"/>
        </w:rPr>
        <w:t>Red Hat OpenShift Developer II: Deploying Cloud-native Applications (DO288)</w:t>
      </w:r>
    </w:p>
    <w:p>
      <w:pPr>
        <w:autoSpaceDN w:val="0"/>
        <w:tabs>
          <w:tab w:pos="584" w:val="left"/>
        </w:tabs>
        <w:autoSpaceDE w:val="0"/>
        <w:widowControl/>
        <w:spacing w:line="240" w:lineRule="auto" w:before="52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84974956512451"/>
          <w:rFonts w:ascii="Nunito" w:hAnsi="Nunito" w:eastAsia="Nunito"/>
          <w:b/>
          <w:i w:val="0"/>
          <w:color w:val="333132"/>
          <w:sz w:val="24"/>
        </w:rPr>
        <w:t>Red Hat Enterprise Linux Automation with Ansible (RH294)</w:t>
      </w:r>
    </w:p>
    <w:p>
      <w:pPr>
        <w:autoSpaceDN w:val="0"/>
        <w:tabs>
          <w:tab w:pos="584" w:val="left"/>
        </w:tabs>
        <w:autoSpaceDE w:val="0"/>
        <w:widowControl/>
        <w:spacing w:line="240" w:lineRule="auto" w:before="5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84974956512451"/>
          <w:rFonts w:ascii="Nunito" w:hAnsi="Nunito" w:eastAsia="Nunito"/>
          <w:b/>
          <w:i w:val="0"/>
          <w:color w:val="333132"/>
          <w:sz w:val="24"/>
        </w:rPr>
        <w:t>Red Hat OpenShift Virtualization Managing Virtual Machines (DO316)</w:t>
      </w:r>
    </w:p>
    <w:p>
      <w:pPr>
        <w:autoSpaceDN w:val="0"/>
        <w:tabs>
          <w:tab w:pos="584" w:val="left"/>
        </w:tabs>
        <w:autoSpaceDE w:val="0"/>
        <w:widowControl/>
        <w:spacing w:line="240" w:lineRule="auto" w:before="52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84974956512451"/>
          <w:rFonts w:ascii="Nunito" w:hAnsi="Nunito" w:eastAsia="Nunito"/>
          <w:b/>
          <w:i w:val="0"/>
          <w:color w:val="333132"/>
          <w:sz w:val="24"/>
        </w:rPr>
        <w:t>Red Hat Enterprise Linux 8 for Experienced Linux Administrators (RH354)</w:t>
      </w:r>
    </w:p>
    <w:p>
      <w:pPr>
        <w:autoSpaceDN w:val="0"/>
        <w:tabs>
          <w:tab w:pos="584" w:val="left"/>
        </w:tabs>
        <w:autoSpaceDE w:val="0"/>
        <w:widowControl/>
        <w:spacing w:line="240" w:lineRule="auto" w:before="5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84974956512451"/>
          <w:rFonts w:ascii="Nunito" w:hAnsi="Nunito" w:eastAsia="Nunito"/>
          <w:b/>
          <w:i w:val="0"/>
          <w:color w:val="333132"/>
          <w:sz w:val="24"/>
        </w:rPr>
        <w:t>Red Hat Security: Identity Management and Authentication (RH362)</w:t>
      </w:r>
    </w:p>
    <w:p>
      <w:pPr>
        <w:autoSpaceDN w:val="0"/>
        <w:tabs>
          <w:tab w:pos="584" w:val="left"/>
        </w:tabs>
        <w:autoSpaceDE w:val="0"/>
        <w:widowControl/>
        <w:spacing w:line="240" w:lineRule="auto" w:before="52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84974956512451"/>
          <w:rFonts w:ascii="Nunito" w:hAnsi="Nunito" w:eastAsia="Nunito"/>
          <w:b/>
          <w:i w:val="0"/>
          <w:color w:val="333132"/>
          <w:sz w:val="24"/>
        </w:rPr>
        <w:t>HPE Storage Fundamentals 24.21</w:t>
      </w:r>
    </w:p>
    <w:p>
      <w:pPr>
        <w:autoSpaceDN w:val="0"/>
        <w:tabs>
          <w:tab w:pos="584" w:val="left"/>
        </w:tabs>
        <w:autoSpaceDE w:val="0"/>
        <w:widowControl/>
        <w:spacing w:line="240" w:lineRule="auto" w:before="52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84974956512451"/>
          <w:rFonts w:ascii="Nunito" w:hAnsi="Nunito" w:eastAsia="Nunito"/>
          <w:b/>
          <w:i w:val="0"/>
          <w:color w:val="333132"/>
          <w:sz w:val="24"/>
        </w:rPr>
        <w:t>HPE Oneview Fundamentals</w:t>
      </w:r>
    </w:p>
    <w:p>
      <w:pPr>
        <w:autoSpaceDN w:val="0"/>
        <w:tabs>
          <w:tab w:pos="584" w:val="left"/>
        </w:tabs>
        <w:autoSpaceDE w:val="0"/>
        <w:widowControl/>
        <w:spacing w:line="240" w:lineRule="auto" w:before="52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84974956512451"/>
          <w:rFonts w:ascii="Nunito" w:hAnsi="Nunito" w:eastAsia="Nunito"/>
          <w:b/>
          <w:i w:val="0"/>
          <w:color w:val="333132"/>
          <w:sz w:val="24"/>
        </w:rPr>
        <w:t>HPE Aruba Managed Service Provider (MSP)</w:t>
      </w:r>
    </w:p>
    <w:p>
      <w:pPr>
        <w:autoSpaceDN w:val="0"/>
        <w:tabs>
          <w:tab w:pos="584" w:val="left"/>
        </w:tabs>
        <w:autoSpaceDE w:val="0"/>
        <w:widowControl/>
        <w:spacing w:line="240" w:lineRule="auto" w:before="52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84974956512451"/>
          <w:rFonts w:ascii="Nunito" w:hAnsi="Nunito" w:eastAsia="Nunito"/>
          <w:b/>
          <w:i w:val="0"/>
          <w:color w:val="333132"/>
          <w:sz w:val="24"/>
        </w:rPr>
        <w:t>Register HPE Insight Remote Support 7.14</w:t>
      </w:r>
    </w:p>
    <w:p>
      <w:pPr>
        <w:autoSpaceDN w:val="0"/>
        <w:tabs>
          <w:tab w:pos="584" w:val="left"/>
        </w:tabs>
        <w:autoSpaceDE w:val="0"/>
        <w:widowControl/>
        <w:spacing w:line="240" w:lineRule="auto" w:before="5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84974956512451"/>
          <w:rFonts w:ascii="Nunito" w:hAnsi="Nunito" w:eastAsia="Nunito"/>
          <w:b/>
          <w:i w:val="0"/>
          <w:color w:val="333132"/>
          <w:sz w:val="24"/>
        </w:rPr>
        <w:t>HPE Virtual Desktop Infrastructure Solutions</w:t>
      </w:r>
    </w:p>
    <w:p>
      <w:pPr>
        <w:autoSpaceDN w:val="0"/>
        <w:tabs>
          <w:tab w:pos="584" w:val="left"/>
        </w:tabs>
        <w:autoSpaceDE w:val="0"/>
        <w:widowControl/>
        <w:spacing w:line="240" w:lineRule="auto" w:before="52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84974956512451"/>
          <w:rFonts w:ascii="Nunito" w:hAnsi="Nunito" w:eastAsia="Nunito"/>
          <w:b/>
          <w:i w:val="0"/>
          <w:color w:val="333132"/>
          <w:sz w:val="24"/>
        </w:rPr>
        <w:t>HPE 3PAR Basic Provisioning and Management Labs</w:t>
      </w:r>
    </w:p>
    <w:p>
      <w:pPr>
        <w:autoSpaceDN w:val="0"/>
        <w:tabs>
          <w:tab w:pos="584" w:val="left"/>
        </w:tabs>
        <w:autoSpaceDE w:val="0"/>
        <w:widowControl/>
        <w:spacing w:line="240" w:lineRule="auto" w:before="5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84974956512451"/>
          <w:rFonts w:ascii="Nunito" w:hAnsi="Nunito" w:eastAsia="Nunito"/>
          <w:b/>
          <w:i w:val="0"/>
          <w:color w:val="333132"/>
          <w:sz w:val="24"/>
        </w:rPr>
        <w:t>HPE Greenlake for Block Storage OS Overview</w:t>
      </w:r>
    </w:p>
    <w:p>
      <w:pPr>
        <w:autoSpaceDN w:val="0"/>
        <w:tabs>
          <w:tab w:pos="584" w:val="left"/>
        </w:tabs>
        <w:autoSpaceDE w:val="0"/>
        <w:widowControl/>
        <w:spacing w:line="240" w:lineRule="auto" w:before="52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84974956512451"/>
          <w:rFonts w:ascii="Nunito" w:hAnsi="Nunito" w:eastAsia="Nunito"/>
          <w:b/>
          <w:i w:val="0"/>
          <w:color w:val="333132"/>
          <w:sz w:val="24"/>
        </w:rPr>
        <w:t>HPE 3PAR Hardware Foundations</w:t>
      </w:r>
    </w:p>
    <w:p>
      <w:pPr>
        <w:autoSpaceDN w:val="0"/>
        <w:tabs>
          <w:tab w:pos="584" w:val="left"/>
        </w:tabs>
        <w:autoSpaceDE w:val="0"/>
        <w:widowControl/>
        <w:spacing w:line="240" w:lineRule="auto" w:before="52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84974956512451"/>
          <w:rFonts w:ascii="Nunito" w:hAnsi="Nunito" w:eastAsia="Nunito"/>
          <w:b/>
          <w:i w:val="0"/>
          <w:color w:val="333132"/>
          <w:sz w:val="24"/>
        </w:rPr>
        <w:t>HPE Aruba Networking Fundmentals</w:t>
      </w:r>
    </w:p>
    <w:p>
      <w:pPr>
        <w:autoSpaceDN w:val="0"/>
        <w:tabs>
          <w:tab w:pos="584" w:val="left"/>
        </w:tabs>
        <w:autoSpaceDE w:val="0"/>
        <w:widowControl/>
        <w:spacing w:line="240" w:lineRule="auto" w:before="52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84974956512451"/>
          <w:rFonts w:ascii="Nunito" w:hAnsi="Nunito" w:eastAsia="Nunito"/>
          <w:b/>
          <w:i w:val="0"/>
          <w:color w:val="333132"/>
          <w:sz w:val="24"/>
        </w:rPr>
        <w:t>NetApp: Understanding Business Value and Opportunity.</w:t>
      </w:r>
    </w:p>
    <w:p>
      <w:pPr>
        <w:autoSpaceDN w:val="0"/>
        <w:autoSpaceDE w:val="0"/>
        <w:widowControl/>
        <w:spacing w:line="240" w:lineRule="auto" w:before="3874" w:after="0"/>
        <w:ind w:left="346" w:right="0" w:firstLine="0"/>
        <w:jc w:val="left"/>
      </w:pPr>
      <w:r>
        <w:rPr>
          <w:rFonts w:ascii="Glacial Indifference" w:hAnsi="Glacial Indifference" w:eastAsia="Glacial Indifference"/>
          <w:b/>
          <w:i w:val="0"/>
          <w:color w:val="004AAD"/>
          <w:sz w:val="26"/>
        </w:rPr>
        <w:t>REFERENCE</w:t>
      </w:r>
    </w:p>
    <w:p>
      <w:pPr>
        <w:autoSpaceDN w:val="0"/>
        <w:tabs>
          <w:tab w:pos="4776" w:val="left"/>
        </w:tabs>
        <w:autoSpaceDE w:val="0"/>
        <w:widowControl/>
        <w:spacing w:line="259" w:lineRule="auto" w:before="302" w:after="108"/>
        <w:ind w:left="182" w:right="2304" w:firstLine="0"/>
        <w:jc w:val="left"/>
      </w:pPr>
      <w:r>
        <w:rPr>
          <w:rFonts w:ascii="Glacial Indifference" w:hAnsi="Glacial Indifference" w:eastAsia="Glacial Indifference"/>
          <w:b/>
          <w:i w:val="0"/>
          <w:color w:val="333132"/>
          <w:sz w:val="24"/>
        </w:rPr>
        <w:t xml:space="preserve">Mahbubul Islam Shaikat </w:t>
      </w:r>
      <w:r>
        <w:tab/>
      </w:r>
      <w:r>
        <w:rPr>
          <w:rFonts w:ascii="Glacial Indifference" w:hAnsi="Glacial Indifference" w:eastAsia="Glacial Indifference"/>
          <w:b/>
          <w:i w:val="0"/>
          <w:color w:val="333132"/>
          <w:sz w:val="24"/>
        </w:rPr>
        <w:t xml:space="preserve">Md. Masudur Rahman </w:t>
      </w:r>
      <w:r>
        <w:rPr>
          <w:rFonts w:ascii="Glacial Indifference" w:hAnsi="Glacial Indifference" w:eastAsia="Glacial Indifference"/>
          <w:b w:val="0"/>
          <w:i w:val="0"/>
          <w:color w:val="333132"/>
          <w:sz w:val="24"/>
        </w:rPr>
        <w:t xml:space="preserve">VP of Engineering </w:t>
      </w:r>
      <w:r>
        <w:tab/>
      </w:r>
      <w:r>
        <w:rPr>
          <w:rFonts w:ascii="Glacial Indifference" w:hAnsi="Glacial Indifference" w:eastAsia="Glacial Indifference"/>
          <w:b w:val="0"/>
          <w:i w:val="0"/>
          <w:color w:val="333132"/>
          <w:sz w:val="24"/>
        </w:rPr>
        <w:t>General Manager</w:t>
      </w:r>
    </w:p>
    <w:p>
      <w:pPr>
        <w:sectPr>
          <w:pgSz w:w="11910" w:h="16845"/>
          <w:pgMar w:top="590" w:right="1170" w:bottom="934" w:left="11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3" w:lineRule="auto" w:before="0" w:after="0"/>
        <w:ind w:left="182" w:right="720" w:firstLine="0"/>
        <w:jc w:val="left"/>
      </w:pPr>
      <w:r>
        <w:rPr>
          <w:rFonts w:ascii="Glacial Indifference" w:hAnsi="Glacial Indifference" w:eastAsia="Glacial Indifference"/>
          <w:b w:val="0"/>
          <w:i w:val="0"/>
          <w:color w:val="000000"/>
          <w:sz w:val="20"/>
        </w:rPr>
        <w:t xml:space="preserve">CompTech Network System (Pvt) Ltd. </w:t>
      </w:r>
      <w:r>
        <w:rPr>
          <w:rFonts w:ascii="Glacial Indifference" w:hAnsi="Glacial Indifference" w:eastAsia="Glacial Indifference"/>
          <w:b w:val="0"/>
          <w:i w:val="0"/>
          <w:color w:val="737373"/>
          <w:sz w:val="22"/>
        </w:rPr>
        <w:t>shaikat@comptech.com.bd</w:t>
      </w:r>
    </w:p>
    <w:p>
      <w:pPr>
        <w:sectPr>
          <w:type w:val="continuous"/>
          <w:pgSz w:w="11910" w:h="16845"/>
          <w:pgMar w:top="590" w:right="1170" w:bottom="934" w:left="1180" w:header="720" w:footer="720" w:gutter="0"/>
          <w:cols w:num="2" w:equalWidth="0">
            <w:col w:w="4032" w:space="0"/>
            <w:col w:w="5528" w:space="0"/>
          </w:cols>
          <w:docGrid w:linePitch="360"/>
        </w:sectPr>
      </w:pPr>
    </w:p>
    <w:p>
      <w:pPr>
        <w:autoSpaceDN w:val="0"/>
        <w:autoSpaceDE w:val="0"/>
        <w:widowControl/>
        <w:spacing w:line="293" w:lineRule="auto" w:before="0" w:after="0"/>
        <w:ind w:left="744" w:right="1584" w:firstLine="0"/>
        <w:jc w:val="left"/>
      </w:pPr>
      <w:r>
        <w:rPr>
          <w:rFonts w:ascii="Glacial Indifference" w:hAnsi="Glacial Indifference" w:eastAsia="Glacial Indifference"/>
          <w:b w:val="0"/>
          <w:i w:val="0"/>
          <w:color w:val="000000"/>
          <w:sz w:val="20"/>
        </w:rPr>
        <w:t xml:space="preserve">CompTech Network System (Pvt) Ltd. </w:t>
      </w:r>
      <w:r>
        <w:rPr>
          <w:rFonts w:ascii="Glacial Indifference" w:hAnsi="Glacial Indifference" w:eastAsia="Glacial Indifference"/>
          <w:b w:val="0"/>
          <w:i w:val="0"/>
          <w:color w:val="737373"/>
          <w:sz w:val="22"/>
        </w:rPr>
        <w:t>masud@comptech.com.bd</w:t>
      </w:r>
    </w:p>
    <w:sectPr w:rsidR="00FC693F" w:rsidRPr="0006063C" w:rsidSect="00034616">
      <w:type w:val="nextColumn"/>
      <w:pgSz w:w="11910" w:h="16845"/>
      <w:pgMar w:top="590" w:right="1170" w:bottom="934" w:left="1180" w:header="720" w:footer="720" w:gutter="0"/>
      <w:cols w:num="2" w:equalWidth="0">
        <w:col w:w="4032" w:space="0"/>
        <w:col w:w="5528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