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Times New Roman" w:hAnsi="Times New Roman"/>
          <w:b/>
          <w:sz w:val="28"/>
        </w:rPr>
        <w:t>Deskriptive Statistiken des Untersuchungskorpus</w:t>
      </w:r>
    </w:p>
    <w:p>
      <w:pPr>
        <w:spacing w:line="480" w:lineRule="auto"/>
      </w:pPr>
      <w:r>
        <w:t>Die folgenden Tabellen dokumentieren die Zusammensetzung des Untersuchungskorpus, die Verteilung der zentralen Variablen sowie die Struktur der Partei–Umfrageintervalle.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Zusammensetzung und Länge der Reden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1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Zusammensetzung des Korpus nach Partei und Wahlperiode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Wahlperiode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Reden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Redner:innen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 Wörter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 Wörter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 Wörter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2.869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603,137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583,000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197,900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2.371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533,184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505,000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184,979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1.046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561,281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505,000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247,189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5.932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709,260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683,000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240,839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4.818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633,812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609,500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245,343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1.188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178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616,798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591,000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245,337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2.710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566,959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534,000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212,021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2.517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605,164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600,000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204,511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4.152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652,535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621,000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226,631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4.709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638,649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622,000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210,237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859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545,366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526,000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173,536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2.489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587,297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548,000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212,590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3.053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576,698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532,000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211,765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649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563,945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539,000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220,044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2.415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564,354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522,000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226,042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20. Wahlperiode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1.572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445,796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415,000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169,059</w:t>
            </w:r>
          </w:p>
        </w:tc>
      </w:tr>
      <w:tr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21. Wahlperiode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519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63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514,081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441,000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244,535</w:t>
            </w:r>
          </w:p>
        </w:tc>
      </w:tr>
    </w:tbl>
    <w:p/>
    <w:p>
      <w:pPr>
        <w:spacing w:after="0"/>
      </w:pPr>
      <w:r>
        <w:rPr>
          <w:rFonts w:ascii="Times New Roman" w:hAnsi="Times New Roman"/>
          <w:b/>
          <w:sz w:val="24"/>
        </w:rPr>
        <w:t>Tabelle 2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Deskriptive Statistiken der Redelänge nach Partei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Min.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P25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P75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Max.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569,787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204,839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544,000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443,000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661,000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2.329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669,609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246,315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645,000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511,000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778,750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4.132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585,356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209,291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562,000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453,000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688,000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3.081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636,336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216,454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613,000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491,000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748,000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3.452</w:t>
            </w:r>
          </w:p>
        </w:tc>
      </w:tr>
      <w:tr>
        <w:tc>
          <w:tcPr>
            <w:tcW w:type="dxa" w:w="10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579,622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213,069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540,000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433,000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694,000</w:t>
            </w:r>
          </w:p>
        </w:tc>
        <w:tc>
          <w:tcPr>
            <w:tcW w:type="dxa" w:w="10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2.702</w:t>
            </w:r>
          </w:p>
        </w:tc>
      </w:tr>
      <w:tr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517,203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217,241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468,000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200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387,000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609,000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2.581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Verteilung der codierten Variablen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3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Deskriptive Statistiken der Codierungsvariablen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Variable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Min.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Max.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Schiefe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Populismus-Gesamtindex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0,353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0,442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0,333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1,372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Populismussumme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1,059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1,327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1,372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GAL–TAN-Gesamtindex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31.797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2,901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2,809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0,988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Volkszentrierung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0,316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0,528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1,410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Anti-Elitismus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0,603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0,686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0,700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Ausschluss von Outgroups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0,139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0,406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3,027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11.540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3,288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3,129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0,823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7.086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4,637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3,311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0,177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4.919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2,807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3,450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0,924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13.429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2,896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2,895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0,851</w:t>
            </w:r>
          </w:p>
        </w:tc>
      </w:tr>
      <w:tr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19.261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2,954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3,035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10,000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0,934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i/>
          <w:sz w:val="20"/>
        </w:rPr>
        <w:t xml:space="preserve">Anmerkung. </w:t>
      </w:r>
      <w:r>
        <w:rPr>
          <w:rFonts w:ascii="Times New Roman" w:hAnsi="Times New Roman"/>
          <w:sz w:val="20"/>
        </w:rPr>
        <w:t>M = Mittelwert; SD = Standardabweichung; Mdn = Median. Abweichende Fallzahlen entstehen durch fehlende oder nicht anwendbare Codierungen.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4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Verteilung der Populismusdimensionen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Dimension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= 0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= 0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= 1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= 1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= 2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= 2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Volkszentrierung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31.357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71,480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11.141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25,397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1.370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3,123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0,316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0,528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Anti-Elitismus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22.480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51,245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16.310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37,180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5.078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11,576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0,603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0,686</w:t>
            </w:r>
          </w:p>
        </w:tc>
      </w:tr>
      <w:tr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Ausschluss von Outgroups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43.868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38.745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88,322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4.140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9,437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983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2,241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0,139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0,406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i/>
          <w:sz w:val="20"/>
        </w:rPr>
        <w:t xml:space="preserve">Anmerkung. </w:t>
      </w:r>
      <w:r>
        <w:rPr>
          <w:rFonts w:ascii="Times New Roman" w:hAnsi="Times New Roman"/>
          <w:sz w:val="20"/>
        </w:rPr>
        <w:t>Prozentwerte beziehen sich auf alle gültig codierten Reden der jeweiligen Dimension. M = Mittelwert; SD = Standardabweichung.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Prävalenz der GAL–TAN-Themen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5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Prävalenz und Position der GAL–TAN-Themen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tblHeader w:val="true"/>
        </w:trPr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Thema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Reden gesamt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thematisiert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thematisiert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 Position</w:t>
            </w:r>
          </w:p>
        </w:tc>
        <w:tc>
          <w:tcPr>
            <w:tcW w:type="dxa" w:w="1337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 Position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2.491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39,628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6,495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2,614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1.193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18,979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7,977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1,774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4.112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65,415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7,483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2,035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1.833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29,160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8,385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1,517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6.286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1.921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30,560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8,305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1,785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3.181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26,646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3,486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2,819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811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6,793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2,591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2,723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4.883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40,903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2,626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2,344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1.508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12,632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5,417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2,747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11.938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2.626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21,997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3,981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2,645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1.510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28,888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2,072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2,068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367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7,021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1,300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1,822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2.147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41,075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1,912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1,712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694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13,277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3,865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2,502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5.227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1.084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20,738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3,659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2,431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2.863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29,455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1,463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1,673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1.171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12,047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0,785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1,200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3.899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40,113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1,102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1,170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1.461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15,031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2,292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1,960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9.720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2.509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25,813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1,466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1,235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1.994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32,208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1,301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1,428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825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13,326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0,543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0,940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2.634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42,546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1,023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1,121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942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15,216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2,097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1,948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6.191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2.298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37,118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1,098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1,043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Bürgerrechte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1.390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30,848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1,235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1,344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Gesellschaftspolitik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552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12,250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0,630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1,170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Kosmopolitismus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1.586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35,198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1,387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1,655</w:t>
            </w:r>
          </w:p>
        </w:tc>
      </w:tr>
      <w:tr>
        <w:tc>
          <w:tcPr>
            <w:tcW w:type="dxa" w:w="1337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Migration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648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14,381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2,025</w:t>
            </w:r>
          </w:p>
        </w:tc>
        <w:tc>
          <w:tcPr>
            <w:tcW w:type="dxa" w:w="1337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2,135</w:t>
            </w:r>
          </w:p>
        </w:tc>
      </w:tr>
      <w:tr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Umwelt und Klima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4.506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1.102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24,456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1,241</w:t>
            </w:r>
          </w:p>
        </w:tc>
        <w:tc>
          <w:tcPr>
            <w:tcW w:type="dxa" w:w="1337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1,360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i/>
          <w:sz w:val="20"/>
        </w:rPr>
        <w:t xml:space="preserve">Anmerkung. </w:t>
      </w:r>
      <w:r>
        <w:rPr>
          <w:rFonts w:ascii="Times New Roman" w:hAnsi="Times New Roman"/>
          <w:sz w:val="20"/>
        </w:rPr>
        <w:t>Die Themenprävalenz bezeichnet den Anteil der Reden, für die die jeweilige has_-Variable den Wert 1 annimmt. Die Positionsmittelwerte beruhen ausschließlich auf Reden, in denen das jeweilige Thema vorkam.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Struktur der Partei–Umfrageintervalle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6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Deskriptive Statistiken der Partei–Umfrageintervalle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</w:tblGrid>
      <w:tr>
        <w:trPr>
          <w:tblHeader w:val="true"/>
        </w:trPr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Variable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Min.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Max.</w:t>
            </w:r>
          </w:p>
        </w:tc>
        <w:tc>
          <w:tcPr>
            <w:tcW w:type="dxa" w:w="117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Schiefe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Intervalllänge in Tagen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905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16,785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7,755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0,683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Reden pro Partei–Intervall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905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41,527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41,158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242,000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1,371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AfD-Unterstützung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905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14,624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4,093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0,936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Veränderung der Parteiunterstützung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893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-0,019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1,137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-5,000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0,276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Absolute Veränderung der Parteiunterstützung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893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0,767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0,839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2,060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Mittlerer Populismusindex pro Partei–Intervall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739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0,287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0,188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0,244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1,558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Mittlere Populismussumme pro Partei–Intervall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739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0,862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0,563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0,733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4,500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1,558</w:t>
            </w:r>
          </w:p>
        </w:tc>
      </w:tr>
      <w:tr>
        <w:tc>
          <w:tcPr>
            <w:tcW w:type="dxa" w:w="117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Mittlerer GAL–TAN-Index pro Partei–Intervall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732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1,923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0,999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1,573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7,678</w:t>
            </w:r>
          </w:p>
        </w:tc>
        <w:tc>
          <w:tcPr>
            <w:tcW w:type="dxa" w:w="117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1,516</w:t>
            </w:r>
          </w:p>
        </w:tc>
      </w:tr>
      <w:tr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Mittlere Wortzahl pro Partei–Intervall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739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615,159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129,218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607,872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271,000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2097,000</w:t>
            </w:r>
          </w:p>
        </w:tc>
        <w:tc>
          <w:tcPr>
            <w:tcW w:type="dxa" w:w="117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3,478</w:t>
            </w:r>
          </w:p>
        </w:tc>
      </w:tr>
    </w:tbl>
    <w:p/>
    <w:p>
      <w:pPr>
        <w:spacing w:after="0"/>
      </w:pPr>
      <w:r>
        <w:rPr>
          <w:rFonts w:ascii="Times New Roman" w:hAnsi="Times New Roman"/>
          <w:b/>
          <w:sz w:val="24"/>
        </w:rPr>
        <w:t>Tabelle 7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Besetzung der Partei–Umfrageintervalle mit Reden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Redenzahl pro Partei–Intervall</w:t>
            </w:r>
          </w:p>
        </w:tc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 Reden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166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18,343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 Rede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2,099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2–5 Reden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2,873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6–10 Reden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5,525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Mehr als 10 Reden</w:t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644</w:t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71,160</w:t>
            </w:r>
          </w:p>
        </w:tc>
      </w:tr>
    </w:tbl>
    <w:p/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AfD-Unterstützung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8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Deskriptive Statistiken der AfD-Unterstützung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tblHeader w:val="true"/>
        </w:trPr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Variable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Min.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Max.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Erster Wert</w:t>
            </w:r>
          </w:p>
        </w:tc>
        <w:tc>
          <w:tcPr>
            <w:tcW w:type="dxa" w:w="10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Letzter Wert</w:t>
            </w:r>
          </w:p>
        </w:tc>
      </w:tr>
      <w:tr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AfD-Unterstützung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181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14,624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4,102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14,000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11</w:t>
            </w:r>
          </w:p>
        </w:tc>
        <w:tc>
          <w:tcPr>
            <w:tcW w:type="dxa" w:w="10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</w:t>
            </w:r>
          </w:p>
        </w:tc>
      </w:tr>
    </w:tbl>
    <w:p>
      <w:pPr>
        <w:spacing w:before="80" w:after="200"/>
      </w:pPr>
      <w:r>
        <w:rPr>
          <w:rFonts w:ascii="Times New Roman" w:hAnsi="Times New Roman"/>
          <w:i/>
          <w:sz w:val="20"/>
        </w:rPr>
        <w:t xml:space="preserve">Anmerkung. </w:t>
      </w:r>
      <w:r>
        <w:rPr>
          <w:rFonts w:ascii="Times New Roman" w:hAnsi="Times New Roman"/>
          <w:sz w:val="20"/>
        </w:rPr>
        <w:t>Jeder Umfragewert wurde nur einmal pro poll_interval_id berücksichtigt, damit identische Werte nicht durch die Anzahl der Parteien im Intervall mehrfach gewichtet werden.</w:t>
      </w:r>
    </w:p>
    <w:p>
      <w:pPr>
        <w:pStyle w:val="Heading1"/>
        <w:spacing w:before="240" w:after="120"/>
      </w:pPr>
      <w:r>
        <w:rPr>
          <w:rFonts w:ascii="Times New Roman" w:hAnsi="Times New Roman" w:eastAsia="Times New Roman"/>
        </w:rPr>
        <w:t>Moderatorvariablen</w:t>
      </w:r>
    </w:p>
    <w:p>
      <w:pPr>
        <w:spacing w:after="0"/>
      </w:pPr>
      <w:r>
        <w:rPr>
          <w:rFonts w:ascii="Times New Roman" w:hAnsi="Times New Roman"/>
          <w:b/>
          <w:sz w:val="24"/>
        </w:rPr>
        <w:t>Tabelle 9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Ordinale Nähe der Mainstream-Parteien zur AfD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Ordinale Nähe zur AfD</w:t>
            </w:r>
          </w:p>
        </w:tc>
        <w:tc>
          <w:tcPr>
            <w:tcW w:type="dxa" w:w="312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Nähekategorie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Die Linke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1,000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Bündnis 90/Die Grünen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3,000</w:t>
            </w:r>
          </w:p>
        </w:tc>
        <w:tc>
          <w:tcPr>
            <w:tcW w:type="dxa" w:w="312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</w:tr>
      <w:tr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4,000</w:t>
            </w:r>
          </w:p>
        </w:tc>
        <w:tc>
          <w:tcPr>
            <w:tcW w:type="dxa" w:w="312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</w:tr>
    </w:tbl>
    <w:p/>
    <w:p>
      <w:pPr>
        <w:spacing w:after="0"/>
      </w:pPr>
      <w:r>
        <w:rPr>
          <w:rFonts w:ascii="Times New Roman" w:hAnsi="Times New Roman"/>
          <w:b/>
          <w:sz w:val="24"/>
        </w:rPr>
        <w:t>Tabelle 10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Veränderung der Parteiunterstützung nach Partei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</w:tblGrid>
      <w:tr>
        <w:trPr>
          <w:tblHeader w:val="true"/>
        </w:trPr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SD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Mdn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Min.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Max.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Verlust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unverändert</w:t>
            </w:r>
          </w:p>
        </w:tc>
        <w:tc>
          <w:tcPr>
            <w:tcW w:type="dxa" w:w="936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% Gewinn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-0,022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1,430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-5,000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33,702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30,939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34,807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-0,044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0,864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-3,000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29,834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43,094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26,519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-0,039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1,174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-5,000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33,149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34,807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31,492</w:t>
            </w:r>
          </w:p>
        </w:tc>
      </w:tr>
      <w:tr>
        <w:tc>
          <w:tcPr>
            <w:tcW w:type="dxa" w:w="936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180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0,011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1,337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-5,000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8,000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34,254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34,807</w:t>
            </w:r>
          </w:p>
        </w:tc>
        <w:tc>
          <w:tcPr>
            <w:tcW w:type="dxa" w:w="936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30,387</w:t>
            </w:r>
          </w:p>
        </w:tc>
      </w:tr>
      <w:tr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173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0,707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0,000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-2,000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3,000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19,890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55,801</w:t>
            </w:r>
          </w:p>
        </w:tc>
        <w:tc>
          <w:tcPr>
            <w:tcW w:type="dxa" w:w="936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19,890</w:t>
            </w:r>
          </w:p>
        </w:tc>
      </w:tr>
    </w:tbl>
    <w:p/>
    <w:p>
      <w:pPr>
        <w:spacing w:after="0"/>
      </w:pPr>
      <w:r>
        <w:rPr>
          <w:rFonts w:ascii="Times New Roman" w:hAnsi="Times New Roman"/>
          <w:b/>
          <w:sz w:val="24"/>
        </w:rPr>
        <w:t>Tabelle 11</w:t>
      </w:r>
    </w:p>
    <w:p>
      <w:pPr>
        <w:spacing w:after="120"/>
      </w:pPr>
      <w:r>
        <w:rPr>
          <w:rFonts w:ascii="Times New Roman" w:hAnsi="Times New Roman"/>
          <w:i/>
          <w:sz w:val="24"/>
        </w:rPr>
        <w:t>Regierungs- und Oppositionsstatus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/>
                <w:sz w:val="20"/>
              </w:rPr>
              <w:t>Partei</w:t>
            </w:r>
          </w:p>
        </w:tc>
        <w:tc>
          <w:tcPr>
            <w:tcW w:type="dxa" w:w="23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Rolle</w:t>
            </w:r>
          </w:p>
        </w:tc>
        <w:tc>
          <w:tcPr>
            <w:tcW w:type="dxa" w:w="23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Partei–Intervalle</w:t>
            </w:r>
          </w:p>
        </w:tc>
        <w:tc>
          <w:tcPr>
            <w:tcW w:type="dxa" w:w="2340"/>
            <w:tcBorders>
              <w:top w:val="single" w:sz="8" w:color="000000"/>
              <w:bottom w:val="single" w:sz="8" w:color="000000"/>
              <w:left w:val="nil"/>
              <w:right w:val="nil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n Reden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afd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Opposition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6286,000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Opposition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4818,000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Regierung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88,000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7120,000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cdu/csu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Opposition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79,000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2710,000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Regierung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2517,000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fdp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40,000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Regierung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150,000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9720,000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spd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Opposition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88,000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3138,000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Regierung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62,000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3053,000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grüne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31,000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</w:tr>
      <w:tr>
        <w:tc>
          <w:tcPr>
            <w:tcW w:type="dxa" w:w="2340"/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Opposition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148,000</w:t>
            </w:r>
          </w:p>
        </w:tc>
        <w:tc>
          <w:tcPr>
            <w:tcW w:type="dxa" w:w="2340"/>
            <w:vAlign w:val="center"/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4506,000</w:t>
            </w:r>
          </w:p>
        </w:tc>
      </w:tr>
      <w:tr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lef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linke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33,000</w:t>
            </w:r>
          </w:p>
        </w:tc>
        <w:tc>
          <w:tcPr>
            <w:tcW w:type="dxa" w:w="2340"/>
            <w:vAlign w:val="center"/>
            <w:tcBorders>
              <w:top w:val="nil"/>
              <w:bottom w:val="single" w:sz="8" w:color="000000"/>
              <w:left w:val="nil"/>
              <w:right w:val="nil"/>
            </w:tcBorders>
          </w:tcPr>
          <w:p>
            <w:pPr>
              <w:spacing w:before="0" w:after="0"/>
              <w:jc w:val="right"/>
            </w:pPr>
            <w:r>
              <w:rPr>
                <w:rFonts w:ascii="Times New Roman" w:hAnsi="Times New Roman" w:eastAsia="Times New Roman"/>
                <w:b w:val="0"/>
                <w:sz w:val="20"/>
              </w:rPr>
              <w:t>–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